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shd w:val="clear" w:color="auto" w:fill="FFFFFF"/>
        </w:rPr>
      </w:pPr>
      <w:bookmarkStart w:id="0" w:name="OLE_LINK1"/>
      <w:bookmarkStart w:id="1" w:name="OLE_LINK2"/>
      <w:r>
        <w:rPr>
          <w:b/>
          <w:sz w:val="44"/>
          <w:szCs w:val="44"/>
          <w:highlight w:val="none"/>
        </w:rPr>
        <w:t>南京信息工程大学</w:t>
      </w:r>
      <w:bookmarkEnd w:id="0"/>
      <w:bookmarkEnd w:id="1"/>
      <w:r>
        <w:rPr>
          <w:rFonts w:hint="eastAsia" w:ascii="宋体" w:hAnsi="宋体"/>
          <w:b/>
          <w:sz w:val="44"/>
          <w:szCs w:val="44"/>
          <w:highlight w:val="none"/>
          <w:shd w:val="clear" w:color="auto" w:fill="FFFFFF"/>
        </w:rPr>
        <w:t>信息系统安全等级认定备案服务</w:t>
      </w:r>
    </w:p>
    <w:p>
      <w:pPr>
        <w:jc w:val="center"/>
        <w:rPr>
          <w:b/>
          <w:sz w:val="44"/>
          <w:szCs w:val="44"/>
          <w:highlight w:val="none"/>
        </w:rPr>
      </w:pP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keepNext w:val="0"/>
        <w:keepLines w:val="0"/>
        <w:widowControl/>
        <w:suppressLineNumbers w:val="0"/>
        <w:spacing w:before="75" w:beforeAutospacing="0" w:after="75" w:afterAutospacing="0" w:line="555" w:lineRule="atLeast"/>
        <w:ind w:left="0" w:right="0" w:firstLine="555"/>
        <w:jc w:val="center"/>
        <w:rPr>
          <w:rFonts w:hint="default" w:ascii="宋体" w:hAnsi="宋体" w:cs="仿宋"/>
          <w:sz w:val="28"/>
          <w:szCs w:val="28"/>
          <w:highlight w:val="none"/>
          <w:u w:val="single"/>
          <w:lang w:val="en-US"/>
        </w:rPr>
      </w:pPr>
      <w:r>
        <w:rPr>
          <w:rFonts w:hint="eastAsia" w:ascii="宋体" w:hAnsi="宋体" w:cs="仿宋"/>
          <w:sz w:val="28"/>
          <w:szCs w:val="28"/>
          <w:highlight w:val="none"/>
          <w:u w:val="single"/>
        </w:rPr>
        <w:t>（招标编号：</w:t>
      </w:r>
      <w:bookmarkStart w:id="11" w:name="_GoBack"/>
      <w:bookmarkEnd w:id="11"/>
      <w:r>
        <w:rPr>
          <w:rFonts w:hint="eastAsia" w:ascii="仿宋" w:hAnsi="仿宋" w:eastAsia="仿宋" w:cs="仿宋"/>
          <w:i w:val="0"/>
          <w:iCs w:val="0"/>
          <w:caps w:val="0"/>
          <w:color w:val="000000"/>
          <w:spacing w:val="0"/>
          <w:kern w:val="0"/>
          <w:sz w:val="28"/>
          <w:szCs w:val="28"/>
          <w:highlight w:val="none"/>
          <w:u w:val="single"/>
          <w:lang w:val="en-US" w:eastAsia="zh-CN" w:bidi="ar"/>
        </w:rPr>
        <w:t>JZCG-2021-00143）</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月0</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信息化建设与管理处</w:t>
      </w:r>
      <w:r>
        <w:rPr>
          <w:rFonts w:ascii="宋体" w:hAnsi="宋体"/>
          <w:sz w:val="28"/>
          <w:szCs w:val="28"/>
          <w:highlight w:val="none"/>
        </w:rPr>
        <w:t>委托，就</w:t>
      </w:r>
      <w:r>
        <w:rPr>
          <w:rFonts w:hint="eastAsia" w:ascii="宋体" w:hAnsi="宋体"/>
          <w:sz w:val="28"/>
          <w:szCs w:val="28"/>
          <w:highlight w:val="none"/>
        </w:rPr>
        <w:t>信息系统安全等级认定备案服务采购项目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信息系统安全等级认定备案服务采购项目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8"/>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8"/>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9.本项目的特定资格要求：投标人需在“中国信息安全等级保护网 ”（www.djbh.net）公布的测评机构备案信息中。（提供截图并盖单位公章）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10.本项目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六、本项目预算价（最高限价）为25.00万元，本项目只接受人民币报价。</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i w:val="0"/>
          <w:iCs w:val="0"/>
          <w:caps w:val="0"/>
          <w:color w:val="000000"/>
          <w:spacing w:val="0"/>
          <w:kern w:val="0"/>
          <w:sz w:val="28"/>
          <w:szCs w:val="28"/>
          <w:highlight w:val="none"/>
          <w:lang w:val="en-US" w:eastAsia="zh-CN" w:bidi="ar"/>
        </w:rPr>
        <w:t>JZCG-2021-00143</w:t>
      </w:r>
      <w:r>
        <w:rPr>
          <w:rFonts w:hint="eastAsia" w:ascii="宋体" w:hAnsi="宋体" w:cs="宋体"/>
          <w:b w:val="0"/>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个工作日内，中标单位须及时缴纳中标价的10%作为履约保证金并前来我校领取《中标通知书》（一式二份）。服务完成，完成公安部门备案并领取相关认证证书后，一次性无息返还。</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688" w:firstLineChars="246"/>
        <w:rPr>
          <w:rFonts w:ascii="宋体" w:hAnsi="宋体" w:cs="宋体"/>
          <w:sz w:val="28"/>
          <w:szCs w:val="28"/>
          <w:highlight w:val="none"/>
        </w:rPr>
      </w:pPr>
      <w:r>
        <w:rPr>
          <w:rFonts w:hint="eastAsia" w:ascii="宋体" w:hAnsi="宋体" w:cs="宋体"/>
          <w:sz w:val="28"/>
          <w:szCs w:val="28"/>
          <w:highlight w:val="none"/>
        </w:rPr>
        <w:t>中标单位提交的备案报告通过南京市公安局审核，校方取得相关备案证书后一次性支付全部报酬</w:t>
      </w:r>
      <w:r>
        <w:rPr>
          <w:rFonts w:ascii="宋体" w:hAnsi="宋体" w:cs="宋体"/>
          <w:sz w:val="28"/>
          <w:szCs w:val="28"/>
          <w:highlight w:val="none"/>
        </w:rPr>
        <w:t>。备案报告未通过南京市公安局审核的，甲方不支付服务费用。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b/>
          <w:bCs/>
          <w:sz w:val="28"/>
          <w:szCs w:val="28"/>
          <w:highlight w:val="none"/>
          <w:lang w:eastAsia="zh-CN"/>
        </w:rPr>
        <w:t>）</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JZCG-2021-00143</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b/>
          <w:bCs/>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服务完成，完成公安部门备案并领取相关认证证书后，一次性无息返还。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月1</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月25日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r>
        <w:rPr>
          <w:rFonts w:hint="eastAsia" w:ascii="宋体" w:hAnsi="宋体"/>
          <w:sz w:val="28"/>
          <w:szCs w:val="28"/>
          <w:highlight w:val="none"/>
          <w:lang w:val="en-US" w:eastAsia="zh-CN"/>
        </w:rPr>
        <w:t>（北京时间）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w:t>
      </w:r>
      <w:r>
        <w:rPr>
          <w:rFonts w:hint="eastAsia" w:ascii="宋体" w:hAnsi="宋体" w:cs="宋体"/>
          <w:kern w:val="0"/>
          <w:sz w:val="28"/>
          <w:szCs w:val="28"/>
          <w:highlight w:val="none"/>
          <w:lang w:val="en-US" w:eastAsia="zh-CN"/>
        </w:rPr>
        <w:t>罗老师、</w:t>
      </w:r>
      <w:r>
        <w:rPr>
          <w:rFonts w:hint="eastAsia" w:ascii="宋体" w:hAnsi="宋体" w:cs="宋体"/>
          <w:kern w:val="0"/>
          <w:sz w:val="28"/>
          <w:szCs w:val="28"/>
          <w:highlight w:val="none"/>
        </w:rPr>
        <w:t>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月25日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r>
        <w:rPr>
          <w:rFonts w:hint="eastAsia" w:ascii="宋体" w:hAnsi="宋体"/>
          <w:sz w:val="28"/>
          <w:szCs w:val="28"/>
          <w:highlight w:val="none"/>
          <w:lang w:val="en-US" w:eastAsia="zh-CN"/>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hint="eastAsia"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w:t>
      </w:r>
      <w:r>
        <w:rPr>
          <w:rFonts w:hint="eastAsia" w:ascii="宋体" w:hAnsi="宋体"/>
          <w:sz w:val="28"/>
          <w:szCs w:val="28"/>
          <w:highlight w:val="none"/>
        </w:rPr>
        <w:t>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w:t>
      </w:r>
      <w:r>
        <w:rPr>
          <w:rFonts w:hint="eastAsia" w:ascii="宋体" w:hAnsi="宋体" w:eastAsia="宋体" w:cs="宋体"/>
          <w:kern w:val="2"/>
          <w:sz w:val="28"/>
          <w:szCs w:val="28"/>
          <w:highlight w:val="none"/>
          <w:lang w:val="en-US" w:eastAsia="zh-CN" w:bidi="ar-SA"/>
        </w:rPr>
        <w:t>位联系电话：15951611039，联系人：管老师。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lang w:val="en-US"/>
        </w:rPr>
        <w:t>1</w:t>
      </w:r>
      <w:r>
        <w:rPr>
          <w:rStyle w:val="47"/>
          <w:rFonts w:hint="eastAsia" w:ascii="宋体" w:hAnsi="宋体" w:eastAsia="宋体"/>
          <w:sz w:val="28"/>
          <w:szCs w:val="28"/>
          <w:highlight w:val="none"/>
        </w:rPr>
        <w:t>年</w:t>
      </w:r>
      <w:r>
        <w:rPr>
          <w:rStyle w:val="47"/>
          <w:rFonts w:hint="eastAsia" w:ascii="宋体" w:hAnsi="宋体"/>
          <w:sz w:val="28"/>
          <w:szCs w:val="28"/>
          <w:highlight w:val="none"/>
          <w:lang w:val="en-US"/>
        </w:rPr>
        <w:t>11</w:t>
      </w:r>
      <w:r>
        <w:rPr>
          <w:rStyle w:val="47"/>
          <w:rFonts w:hint="eastAsia" w:ascii="宋体" w:hAnsi="宋体" w:eastAsia="宋体"/>
          <w:sz w:val="28"/>
          <w:szCs w:val="28"/>
          <w:highlight w:val="none"/>
        </w:rPr>
        <w:t>月</w:t>
      </w:r>
      <w:r>
        <w:rPr>
          <w:rStyle w:val="47"/>
          <w:rFonts w:hint="eastAsia" w:ascii="宋体" w:hAnsi="宋体"/>
          <w:sz w:val="28"/>
          <w:szCs w:val="28"/>
          <w:highlight w:val="none"/>
        </w:rPr>
        <w:t>0</w:t>
      </w:r>
      <w:r>
        <w:rPr>
          <w:rStyle w:val="47"/>
          <w:rFonts w:hint="eastAsia" w:ascii="宋体" w:hAnsi="宋体"/>
          <w:sz w:val="28"/>
          <w:szCs w:val="28"/>
          <w:highlight w:val="none"/>
          <w:lang w:val="en-US"/>
        </w:rPr>
        <w:t>5</w:t>
      </w:r>
      <w:r>
        <w:rPr>
          <w:rStyle w:val="47"/>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7"/>
          <w:rFonts w:ascii="宋体" w:hAnsi="宋体" w:eastAsia="宋体"/>
          <w:b w:val="0"/>
          <w:sz w:val="28"/>
          <w:szCs w:val="28"/>
          <w:highlight w:val="none"/>
        </w:rPr>
      </w:pPr>
      <w:r>
        <w:rPr>
          <w:rStyle w:val="47"/>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pStyle w:val="6"/>
        <w:spacing w:line="360" w:lineRule="auto"/>
        <w:rPr>
          <w:rFonts w:cs="宋体"/>
          <w:b/>
          <w:bCs/>
          <w:sz w:val="28"/>
          <w:szCs w:val="28"/>
          <w:highlight w:val="none"/>
        </w:rPr>
      </w:pPr>
      <w:r>
        <w:rPr>
          <w:rFonts w:hint="eastAsia" w:cs="宋体"/>
          <w:b/>
          <w:bCs/>
          <w:sz w:val="28"/>
          <w:szCs w:val="28"/>
          <w:highlight w:val="none"/>
        </w:rPr>
        <w:t>一、项目概况</w:t>
      </w:r>
    </w:p>
    <w:p>
      <w:pPr>
        <w:pStyle w:val="6"/>
        <w:spacing w:line="360" w:lineRule="auto"/>
        <w:rPr>
          <w:rFonts w:cs="宋体"/>
          <w:b/>
          <w:sz w:val="28"/>
          <w:szCs w:val="28"/>
          <w:highlight w:val="none"/>
        </w:rPr>
      </w:pPr>
      <w:r>
        <w:rPr>
          <w:rFonts w:hint="eastAsia" w:cs="宋体"/>
          <w:b/>
          <w:sz w:val="28"/>
          <w:szCs w:val="28"/>
          <w:highlight w:val="none"/>
        </w:rPr>
        <w:t>1、项目背景</w:t>
      </w:r>
    </w:p>
    <w:p>
      <w:pPr>
        <w:pStyle w:val="58"/>
        <w:ind w:firstLine="560"/>
        <w:rPr>
          <w:sz w:val="28"/>
          <w:szCs w:val="28"/>
          <w:highlight w:val="none"/>
          <w:lang w:eastAsia="zh-CN"/>
        </w:rPr>
      </w:pPr>
      <w:r>
        <w:rPr>
          <w:rFonts w:hint="eastAsia" w:eastAsia="宋体" w:cs="宋体"/>
          <w:sz w:val="28"/>
          <w:szCs w:val="28"/>
          <w:highlight w:val="none"/>
          <w:lang w:eastAsia="zh-CN"/>
        </w:rPr>
        <w:t>为更好的推进学校网络信息安全等级保护工作，计划对</w:t>
      </w:r>
      <w:r>
        <w:rPr>
          <w:rFonts w:eastAsia="宋体" w:cs="宋体"/>
          <w:sz w:val="28"/>
          <w:szCs w:val="28"/>
          <w:highlight w:val="none"/>
          <w:lang w:eastAsia="zh-CN"/>
        </w:rPr>
        <w:t>统一身份认证、主数据管理中心、网上办事大厅、学生注册管理、学生公寓通道管理</w:t>
      </w:r>
      <w:r>
        <w:rPr>
          <w:rFonts w:hint="eastAsia" w:eastAsia="宋体" w:cs="宋体"/>
          <w:sz w:val="28"/>
          <w:szCs w:val="28"/>
          <w:highlight w:val="none"/>
          <w:lang w:eastAsia="zh-CN"/>
        </w:rPr>
        <w:t>进行定级备案，并开展等级保护规划建设、测评整改工作。</w:t>
      </w:r>
    </w:p>
    <w:p>
      <w:pPr>
        <w:pStyle w:val="6"/>
        <w:spacing w:line="360" w:lineRule="auto"/>
        <w:rPr>
          <w:rFonts w:cs="宋体"/>
          <w:b/>
          <w:sz w:val="28"/>
          <w:szCs w:val="28"/>
          <w:highlight w:val="none"/>
        </w:rPr>
      </w:pPr>
      <w:r>
        <w:rPr>
          <w:rFonts w:hint="eastAsia" w:cs="宋体"/>
          <w:b/>
          <w:sz w:val="28"/>
          <w:szCs w:val="28"/>
          <w:highlight w:val="none"/>
        </w:rPr>
        <w:t>1、项目依据</w:t>
      </w:r>
    </w:p>
    <w:p>
      <w:pPr>
        <w:pStyle w:val="6"/>
        <w:spacing w:line="360" w:lineRule="auto"/>
        <w:rPr>
          <w:rFonts w:cs="宋体"/>
          <w:bCs/>
          <w:sz w:val="28"/>
          <w:szCs w:val="28"/>
          <w:highlight w:val="none"/>
        </w:rPr>
      </w:pPr>
      <w:r>
        <w:rPr>
          <w:rFonts w:hint="eastAsia" w:cs="宋体"/>
          <w:bCs/>
          <w:sz w:val="28"/>
          <w:szCs w:val="28"/>
          <w:highlight w:val="none"/>
        </w:rPr>
        <w:t>本次等级测评项目的主要依据如下：</w:t>
      </w:r>
    </w:p>
    <w:p>
      <w:pPr>
        <w:pStyle w:val="58"/>
        <w:ind w:firstLine="560"/>
        <w:rPr>
          <w:rFonts w:eastAsia="宋体" w:cs="宋体"/>
          <w:sz w:val="28"/>
          <w:szCs w:val="28"/>
          <w:highlight w:val="none"/>
          <w:lang w:eastAsia="zh-CN"/>
        </w:rPr>
      </w:pPr>
      <w:r>
        <w:rPr>
          <w:rFonts w:hint="eastAsia" w:eastAsia="宋体" w:cs="宋体"/>
          <w:sz w:val="28"/>
          <w:szCs w:val="28"/>
          <w:highlight w:val="none"/>
          <w:lang w:eastAsia="zh-CN"/>
        </w:rPr>
        <w:t>《中华人民共和国网络安全法》</w:t>
      </w:r>
    </w:p>
    <w:p>
      <w:pPr>
        <w:pStyle w:val="58"/>
        <w:ind w:firstLine="560"/>
        <w:rPr>
          <w:rFonts w:eastAsia="宋体" w:cs="宋体"/>
          <w:sz w:val="28"/>
          <w:szCs w:val="28"/>
          <w:highlight w:val="none"/>
          <w:lang w:eastAsia="zh-CN"/>
        </w:rPr>
      </w:pPr>
      <w:r>
        <w:rPr>
          <w:rFonts w:hint="eastAsia" w:eastAsia="宋体" w:cs="宋体"/>
          <w:sz w:val="28"/>
          <w:szCs w:val="28"/>
          <w:highlight w:val="none"/>
          <w:lang w:eastAsia="zh-CN"/>
        </w:rPr>
        <w:t>《信息安全等级保护管理办法》（公通字[2007]43号）</w:t>
      </w:r>
    </w:p>
    <w:p>
      <w:pPr>
        <w:pStyle w:val="58"/>
        <w:ind w:firstLine="560"/>
        <w:rPr>
          <w:rFonts w:eastAsia="宋体" w:cs="宋体"/>
          <w:sz w:val="28"/>
          <w:szCs w:val="28"/>
          <w:highlight w:val="none"/>
          <w:lang w:eastAsia="zh-CN"/>
        </w:rPr>
      </w:pPr>
      <w:r>
        <w:rPr>
          <w:rFonts w:hint="eastAsia" w:eastAsia="宋体" w:cs="宋体"/>
          <w:sz w:val="28"/>
          <w:szCs w:val="28"/>
          <w:highlight w:val="none"/>
          <w:lang w:eastAsia="zh-CN"/>
        </w:rPr>
        <w:t>《网络安全等级保护基本要求》（GB/T22239-2019）</w:t>
      </w:r>
    </w:p>
    <w:p>
      <w:pPr>
        <w:pStyle w:val="58"/>
        <w:ind w:firstLine="560"/>
        <w:rPr>
          <w:rFonts w:eastAsia="宋体" w:cs="宋体"/>
          <w:sz w:val="28"/>
          <w:szCs w:val="28"/>
          <w:highlight w:val="none"/>
          <w:lang w:eastAsia="zh-CN"/>
        </w:rPr>
      </w:pPr>
      <w:r>
        <w:rPr>
          <w:rFonts w:hint="eastAsia" w:eastAsia="宋体" w:cs="宋体"/>
          <w:sz w:val="28"/>
          <w:szCs w:val="28"/>
          <w:highlight w:val="none"/>
          <w:lang w:eastAsia="zh-CN"/>
        </w:rPr>
        <w:t>《网络安全等级保护设计技术要求》(GB/T25070-2019)</w:t>
      </w:r>
    </w:p>
    <w:p>
      <w:pPr>
        <w:pStyle w:val="58"/>
        <w:ind w:firstLine="560"/>
        <w:rPr>
          <w:rFonts w:eastAsia="宋体" w:cs="宋体"/>
          <w:sz w:val="28"/>
          <w:szCs w:val="28"/>
          <w:highlight w:val="none"/>
          <w:lang w:eastAsia="zh-CN"/>
        </w:rPr>
      </w:pPr>
      <w:r>
        <w:rPr>
          <w:rFonts w:hint="eastAsia" w:eastAsia="宋体" w:cs="宋体"/>
          <w:sz w:val="28"/>
          <w:szCs w:val="28"/>
          <w:highlight w:val="none"/>
          <w:lang w:eastAsia="zh-CN"/>
        </w:rPr>
        <w:t>《网络安全等级保护测评要求》(GB/T28448-2019)</w:t>
      </w:r>
    </w:p>
    <w:p>
      <w:pPr>
        <w:pStyle w:val="6"/>
        <w:spacing w:line="360" w:lineRule="auto"/>
        <w:rPr>
          <w:rFonts w:cs="宋体"/>
          <w:b/>
          <w:bCs/>
          <w:sz w:val="28"/>
          <w:szCs w:val="28"/>
          <w:highlight w:val="none"/>
        </w:rPr>
      </w:pPr>
      <w:r>
        <w:rPr>
          <w:rFonts w:hint="eastAsia" w:cs="宋体"/>
          <w:b/>
          <w:bCs/>
          <w:sz w:val="28"/>
          <w:szCs w:val="28"/>
          <w:highlight w:val="none"/>
        </w:rPr>
        <w:t>2、项目目标</w:t>
      </w:r>
    </w:p>
    <w:p>
      <w:pPr>
        <w:spacing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根据国家和政府对信息系统安全保障能力的要求，对我校</w:t>
      </w:r>
      <w:r>
        <w:rPr>
          <w:rFonts w:cs="宋体"/>
          <w:sz w:val="28"/>
          <w:szCs w:val="28"/>
          <w:highlight w:val="none"/>
        </w:rPr>
        <w:t>统一身份认证、主数据管理中心、网上办事大厅、学生注册管理、学生公寓通道管理</w:t>
      </w:r>
      <w:r>
        <w:rPr>
          <w:rFonts w:hint="eastAsia" w:ascii="宋体" w:hAnsi="宋体" w:cs="宋体"/>
          <w:bCs/>
          <w:sz w:val="28"/>
          <w:szCs w:val="28"/>
          <w:highlight w:val="none"/>
        </w:rPr>
        <w:t>系统实施等级保护测评，通过与标准进行比较，找出存在不足和缺失的地方，为安全建设整改提供参考依据，减少安全改造对现有系统可能产生的负面影响，为系统稳定运行提供更好的保障，使系统更好的为用户服务，并使安全投入性价比最大化。</w:t>
      </w:r>
    </w:p>
    <w:p>
      <w:pPr>
        <w:spacing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（1）识别信息安全风险。通过对我校</w:t>
      </w:r>
      <w:r>
        <w:rPr>
          <w:rFonts w:cs="宋体"/>
          <w:sz w:val="28"/>
          <w:szCs w:val="28"/>
          <w:highlight w:val="none"/>
        </w:rPr>
        <w:t>统一身份认证、主数据管理中心、网上办事大厅、学生注册管理、学生公寓通道管理</w:t>
      </w:r>
      <w:r>
        <w:rPr>
          <w:rFonts w:hint="eastAsia" w:ascii="宋体" w:hAnsi="宋体" w:cs="宋体"/>
          <w:bCs/>
          <w:sz w:val="28"/>
          <w:szCs w:val="28"/>
          <w:highlight w:val="none"/>
        </w:rPr>
        <w:t>系统在安全技术和安全管理方面的测评，发现信息系统在安全技术和安全管理方面与相应安全等级保护要求之间的差距，并进行风险分析，明确信息系统面临的风险。</w:t>
      </w:r>
    </w:p>
    <w:p>
      <w:pPr>
        <w:spacing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（2）增强安全技术防护能力。依据安全技术等级测评结果，并结合我校的实际情况，区分轻重缓急，制定针对性的安全技术建设整改计划，通过安全技术整改不断提高信息系统的整体安全保护水平。</w:t>
      </w:r>
    </w:p>
    <w:p>
      <w:pPr>
        <w:spacing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3）提高信息安全管理水平。依据安全管理等级测评结果，建立健全各项管理制度、安全策略、操作规程，落实各项管理措施，完善安全事件处置和应急预案管理，通过安全管理手段与安全技术手段相结合，进一步保证信息系统的安全性和连续性。</w:t>
      </w:r>
    </w:p>
    <w:p>
      <w:pPr>
        <w:pStyle w:val="6"/>
        <w:spacing w:line="360" w:lineRule="auto"/>
        <w:ind w:firstLine="560" w:firstLineChars="200"/>
        <w:rPr>
          <w:rFonts w:cs="宋体"/>
          <w:bCs/>
          <w:sz w:val="28"/>
          <w:szCs w:val="28"/>
          <w:highlight w:val="none"/>
        </w:rPr>
      </w:pPr>
      <w:r>
        <w:rPr>
          <w:rFonts w:hint="eastAsia" w:cs="宋体"/>
          <w:bCs/>
          <w:sz w:val="28"/>
          <w:szCs w:val="28"/>
          <w:highlight w:val="none"/>
        </w:rPr>
        <w:t>（4）最终目标是使</w:t>
      </w:r>
      <w:r>
        <w:rPr>
          <w:rFonts w:cs="宋体"/>
          <w:sz w:val="28"/>
          <w:szCs w:val="28"/>
          <w:highlight w:val="none"/>
        </w:rPr>
        <w:t>统一身份认证、主数据管理中心、网上办事大厅、学生注册管理、学生公寓通道管理</w:t>
      </w:r>
      <w:r>
        <w:rPr>
          <w:rFonts w:hint="eastAsia" w:cs="宋体"/>
          <w:bCs/>
          <w:sz w:val="28"/>
          <w:szCs w:val="28"/>
          <w:highlight w:val="none"/>
        </w:rPr>
        <w:t>系统通过国家规定的信息系统定级测评。</w:t>
      </w:r>
    </w:p>
    <w:p>
      <w:pPr>
        <w:pStyle w:val="6"/>
        <w:spacing w:line="360" w:lineRule="auto"/>
        <w:ind w:firstLine="281" w:firstLineChars="100"/>
        <w:rPr>
          <w:rFonts w:cs="宋体"/>
          <w:b/>
          <w:bCs/>
          <w:sz w:val="28"/>
          <w:szCs w:val="28"/>
          <w:highlight w:val="none"/>
        </w:rPr>
      </w:pPr>
      <w:r>
        <w:rPr>
          <w:rFonts w:hint="eastAsia" w:cs="宋体"/>
          <w:b/>
          <w:bCs/>
          <w:sz w:val="28"/>
          <w:szCs w:val="28"/>
          <w:highlight w:val="none"/>
        </w:rPr>
        <w:t>二、技术要求</w:t>
      </w:r>
    </w:p>
    <w:p>
      <w:pPr>
        <w:pStyle w:val="6"/>
        <w:spacing w:line="360" w:lineRule="auto"/>
        <w:rPr>
          <w:rFonts w:cs="宋体"/>
          <w:b/>
          <w:bCs/>
          <w:sz w:val="28"/>
          <w:szCs w:val="28"/>
          <w:highlight w:val="none"/>
        </w:rPr>
      </w:pPr>
      <w:r>
        <w:rPr>
          <w:rFonts w:hint="eastAsia" w:cs="宋体"/>
          <w:b/>
          <w:bCs/>
          <w:sz w:val="28"/>
          <w:szCs w:val="28"/>
          <w:highlight w:val="none"/>
        </w:rPr>
        <w:t>1、服务内容</w:t>
      </w:r>
    </w:p>
    <w:p>
      <w:pPr>
        <w:spacing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本次等级测评范围包括信息系统内的：应用服务器、数据库服务器、网络设备、安全设备、相关管理与访问终端及以上设备中所承载的数据库软件，操作系统软件、安全防护软件。</w:t>
      </w:r>
    </w:p>
    <w:p>
      <w:pPr>
        <w:spacing w:line="360" w:lineRule="auto"/>
        <w:ind w:firstLine="560" w:firstLineChars="200"/>
        <w:rPr>
          <w:rFonts w:ascii="宋体" w:hAnsi="宋体" w:cs="宋体"/>
          <w:sz w:val="28"/>
          <w:szCs w:val="28"/>
          <w:highlight w:val="none"/>
        </w:rPr>
      </w:pPr>
      <w:r>
        <w:rPr>
          <w:rFonts w:hint="eastAsia" w:ascii="宋体" w:hAnsi="宋体" w:cs="宋体"/>
          <w:bCs/>
          <w:sz w:val="28"/>
          <w:szCs w:val="28"/>
          <w:highlight w:val="none"/>
        </w:rPr>
        <w:t>本次待测评信息系统的资产情况包括信息系统所相关联的核心交换机、路由器、防火墙系统、信息系统的应用软件与数据库软件、操作系统等。以下为本次待测评系统清单：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46"/>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2"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序号</w:t>
            </w:r>
          </w:p>
        </w:tc>
        <w:tc>
          <w:tcPr>
            <w:tcW w:w="3446"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系统名称</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2"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1</w:t>
            </w:r>
          </w:p>
        </w:tc>
        <w:tc>
          <w:tcPr>
            <w:tcW w:w="3446" w:type="dxa"/>
            <w:vAlign w:val="center"/>
          </w:tcPr>
          <w:p>
            <w:pPr>
              <w:spacing w:line="360" w:lineRule="auto"/>
              <w:jc w:val="center"/>
              <w:rPr>
                <w:rFonts w:ascii="宋体" w:hAnsi="宋体" w:cs="宋体"/>
                <w:sz w:val="28"/>
                <w:szCs w:val="28"/>
                <w:highlight w:val="none"/>
              </w:rPr>
            </w:pPr>
            <w:r>
              <w:rPr>
                <w:rFonts w:cs="宋体"/>
                <w:sz w:val="28"/>
                <w:szCs w:val="28"/>
                <w:highlight w:val="none"/>
              </w:rPr>
              <w:t>统一身份认证</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1142"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2</w:t>
            </w:r>
          </w:p>
        </w:tc>
        <w:tc>
          <w:tcPr>
            <w:tcW w:w="3446" w:type="dxa"/>
            <w:vAlign w:val="center"/>
          </w:tcPr>
          <w:p>
            <w:pPr>
              <w:spacing w:line="360" w:lineRule="auto"/>
              <w:jc w:val="center"/>
              <w:rPr>
                <w:rFonts w:ascii="宋体" w:hAnsi="宋体" w:cs="宋体"/>
                <w:sz w:val="28"/>
                <w:szCs w:val="28"/>
                <w:highlight w:val="none"/>
              </w:rPr>
            </w:pPr>
            <w:r>
              <w:rPr>
                <w:rFonts w:cs="宋体"/>
                <w:sz w:val="28"/>
                <w:szCs w:val="28"/>
                <w:highlight w:val="none"/>
              </w:rPr>
              <w:t>主数据管理中心</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42"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3</w:t>
            </w:r>
          </w:p>
        </w:tc>
        <w:tc>
          <w:tcPr>
            <w:tcW w:w="3446" w:type="dxa"/>
            <w:vAlign w:val="center"/>
          </w:tcPr>
          <w:p>
            <w:pPr>
              <w:spacing w:line="360" w:lineRule="auto"/>
              <w:jc w:val="center"/>
              <w:rPr>
                <w:rFonts w:ascii="宋体" w:hAnsi="宋体" w:cs="宋体"/>
                <w:sz w:val="28"/>
                <w:szCs w:val="28"/>
                <w:highlight w:val="none"/>
              </w:rPr>
            </w:pPr>
            <w:r>
              <w:rPr>
                <w:rFonts w:cs="宋体"/>
                <w:sz w:val="28"/>
                <w:szCs w:val="28"/>
                <w:highlight w:val="none"/>
              </w:rPr>
              <w:t>网上办事大厅</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2"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4</w:t>
            </w:r>
          </w:p>
        </w:tc>
        <w:tc>
          <w:tcPr>
            <w:tcW w:w="3446" w:type="dxa"/>
            <w:vAlign w:val="center"/>
          </w:tcPr>
          <w:p>
            <w:pPr>
              <w:spacing w:line="360" w:lineRule="auto"/>
              <w:jc w:val="center"/>
              <w:rPr>
                <w:rFonts w:ascii="宋体" w:hAnsi="宋体" w:cs="宋体"/>
                <w:sz w:val="28"/>
                <w:szCs w:val="28"/>
                <w:highlight w:val="none"/>
              </w:rPr>
            </w:pPr>
            <w:r>
              <w:rPr>
                <w:rFonts w:cs="宋体"/>
                <w:sz w:val="28"/>
                <w:szCs w:val="28"/>
                <w:highlight w:val="none"/>
              </w:rPr>
              <w:t>学生注册管理</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2" w:type="dxa"/>
            <w:vAlign w:val="center"/>
          </w:tcPr>
          <w:p>
            <w:pPr>
              <w:spacing w:line="360" w:lineRule="auto"/>
              <w:jc w:val="center"/>
              <w:rPr>
                <w:rFonts w:ascii="宋体" w:hAnsi="宋体" w:cs="宋体"/>
                <w:sz w:val="28"/>
                <w:szCs w:val="28"/>
                <w:highlight w:val="none"/>
              </w:rPr>
            </w:pPr>
            <w:r>
              <w:rPr>
                <w:rFonts w:ascii="宋体" w:hAnsi="宋体" w:cs="宋体"/>
                <w:sz w:val="28"/>
                <w:szCs w:val="28"/>
                <w:highlight w:val="none"/>
              </w:rPr>
              <w:t>5</w:t>
            </w:r>
          </w:p>
        </w:tc>
        <w:tc>
          <w:tcPr>
            <w:tcW w:w="3446" w:type="dxa"/>
            <w:vAlign w:val="center"/>
          </w:tcPr>
          <w:p>
            <w:pPr>
              <w:spacing w:line="360" w:lineRule="auto"/>
              <w:jc w:val="center"/>
              <w:rPr>
                <w:rFonts w:ascii="宋体" w:hAnsi="宋体" w:cs="宋体"/>
                <w:sz w:val="28"/>
                <w:szCs w:val="28"/>
                <w:highlight w:val="none"/>
              </w:rPr>
            </w:pPr>
            <w:r>
              <w:rPr>
                <w:rFonts w:cs="宋体"/>
                <w:sz w:val="28"/>
                <w:szCs w:val="28"/>
                <w:highlight w:val="none"/>
              </w:rPr>
              <w:t>学生公寓通道管理</w:t>
            </w:r>
          </w:p>
        </w:tc>
        <w:tc>
          <w:tcPr>
            <w:tcW w:w="2107" w:type="dxa"/>
            <w:vAlign w:val="center"/>
          </w:tcPr>
          <w:p>
            <w:pPr>
              <w:spacing w:line="360" w:lineRule="auto"/>
              <w:jc w:val="center"/>
              <w:rPr>
                <w:rFonts w:ascii="宋体" w:hAnsi="宋体" w:cs="宋体"/>
                <w:sz w:val="28"/>
                <w:szCs w:val="28"/>
                <w:highlight w:val="none"/>
              </w:rPr>
            </w:pPr>
            <w:r>
              <w:rPr>
                <w:rFonts w:hint="eastAsia" w:ascii="宋体" w:hAnsi="宋体" w:cs="宋体"/>
                <w:sz w:val="28"/>
                <w:szCs w:val="28"/>
                <w:highlight w:val="none"/>
              </w:rPr>
              <w:t>二级</w:t>
            </w:r>
          </w:p>
        </w:tc>
      </w:tr>
    </w:tbl>
    <w:p>
      <w:pPr>
        <w:pStyle w:val="6"/>
        <w:spacing w:line="360" w:lineRule="auto"/>
        <w:rPr>
          <w:rFonts w:cs="宋体"/>
          <w:b/>
          <w:bCs/>
          <w:sz w:val="28"/>
          <w:szCs w:val="28"/>
          <w:highlight w:val="none"/>
        </w:rPr>
      </w:pPr>
      <w:r>
        <w:rPr>
          <w:rFonts w:hint="eastAsia" w:cs="宋体"/>
          <w:b/>
          <w:bCs/>
          <w:sz w:val="28"/>
          <w:szCs w:val="28"/>
          <w:highlight w:val="none"/>
        </w:rPr>
        <w:t>2、服务标准</w:t>
      </w:r>
    </w:p>
    <w:p>
      <w:pPr>
        <w:pStyle w:val="6"/>
        <w:spacing w:line="360" w:lineRule="auto"/>
        <w:ind w:firstLine="560" w:firstLineChars="200"/>
        <w:rPr>
          <w:rFonts w:cs="宋体"/>
          <w:bCs/>
          <w:sz w:val="28"/>
          <w:szCs w:val="28"/>
          <w:highlight w:val="none"/>
        </w:rPr>
      </w:pPr>
      <w:r>
        <w:rPr>
          <w:rFonts w:hint="eastAsia" w:cs="宋体"/>
          <w:bCs/>
          <w:sz w:val="28"/>
          <w:szCs w:val="28"/>
          <w:highlight w:val="none"/>
        </w:rPr>
        <w:t>（1）协助南京信息工程大学进行</w:t>
      </w:r>
      <w:r>
        <w:rPr>
          <w:rFonts w:cs="宋体"/>
          <w:sz w:val="28"/>
          <w:szCs w:val="28"/>
          <w:highlight w:val="none"/>
        </w:rPr>
        <w:t>统一身份认证、主数据管理中心、网上办事大厅、学生注册管理、学生公寓通道管理</w:t>
      </w:r>
      <w:r>
        <w:rPr>
          <w:rFonts w:hint="eastAsia" w:cs="宋体"/>
          <w:bCs/>
          <w:sz w:val="28"/>
          <w:szCs w:val="28"/>
          <w:highlight w:val="none"/>
        </w:rPr>
        <w:t>系统的定级备案工作，并拿到由南京市公安局出具的定级备案证明。</w:t>
      </w:r>
    </w:p>
    <w:p>
      <w:pPr>
        <w:pStyle w:val="6"/>
        <w:spacing w:line="360" w:lineRule="auto"/>
        <w:ind w:firstLine="560" w:firstLineChars="200"/>
        <w:rPr>
          <w:rFonts w:cs="宋体"/>
          <w:bCs/>
          <w:sz w:val="28"/>
          <w:szCs w:val="28"/>
          <w:highlight w:val="none"/>
        </w:rPr>
      </w:pPr>
      <w:r>
        <w:rPr>
          <w:rFonts w:hint="eastAsia" w:cs="宋体"/>
          <w:bCs/>
          <w:sz w:val="28"/>
          <w:szCs w:val="28"/>
          <w:highlight w:val="none"/>
        </w:rPr>
        <w:t>（2）通过本次测评，完成</w:t>
      </w:r>
      <w:r>
        <w:rPr>
          <w:rFonts w:cs="宋体"/>
          <w:sz w:val="28"/>
          <w:szCs w:val="28"/>
          <w:highlight w:val="none"/>
        </w:rPr>
        <w:t>统一身份认证、主数据管理中心、网上办事大厅、学生注册管理、学生公寓通道管理</w:t>
      </w:r>
      <w:r>
        <w:rPr>
          <w:rFonts w:hint="eastAsia" w:cs="宋体"/>
          <w:bCs/>
          <w:sz w:val="28"/>
          <w:szCs w:val="28"/>
          <w:highlight w:val="none"/>
        </w:rPr>
        <w:t>系统测评前的所有文档的建立及系统完善工作，以使</w:t>
      </w:r>
      <w:r>
        <w:rPr>
          <w:rFonts w:cs="宋体"/>
          <w:sz w:val="28"/>
          <w:szCs w:val="28"/>
          <w:highlight w:val="none"/>
        </w:rPr>
        <w:t>统一身份认证、主数据管理中心、网上办事大厅、学生注册管理、学生公寓通道管理</w:t>
      </w:r>
      <w:r>
        <w:rPr>
          <w:rFonts w:hint="eastAsia" w:cs="宋体"/>
          <w:bCs/>
          <w:sz w:val="28"/>
          <w:szCs w:val="28"/>
          <w:highlight w:val="none"/>
        </w:rPr>
        <w:t>系统能满足国家规定的信息系统定级的测评基本要求。</w:t>
      </w:r>
    </w:p>
    <w:p>
      <w:pPr>
        <w:pStyle w:val="6"/>
        <w:spacing w:line="360" w:lineRule="auto"/>
        <w:ind w:firstLine="560" w:firstLineChars="200"/>
        <w:rPr>
          <w:rFonts w:cs="宋体"/>
          <w:bCs/>
          <w:sz w:val="28"/>
          <w:szCs w:val="28"/>
          <w:highlight w:val="none"/>
        </w:rPr>
      </w:pPr>
      <w:r>
        <w:rPr>
          <w:rFonts w:hint="eastAsia" w:cs="宋体"/>
          <w:bCs/>
          <w:sz w:val="28"/>
          <w:szCs w:val="28"/>
          <w:highlight w:val="none"/>
        </w:rPr>
        <w:t>（3）对在</w:t>
      </w:r>
      <w:r>
        <w:rPr>
          <w:rFonts w:cs="宋体"/>
          <w:sz w:val="28"/>
          <w:szCs w:val="28"/>
          <w:highlight w:val="none"/>
        </w:rPr>
        <w:t>统一身份认证、主数据管理中心、网上办事大厅、学生注册管理、学生公寓通道管理</w:t>
      </w:r>
      <w:r>
        <w:rPr>
          <w:rFonts w:hint="eastAsia" w:cs="宋体"/>
          <w:bCs/>
          <w:sz w:val="28"/>
          <w:szCs w:val="28"/>
          <w:highlight w:val="none"/>
        </w:rPr>
        <w:t>系统等级保护测评中发现的各种问题提出安全整改建议，并协助校方做好整改工作。最终达到定级标准要求。</w:t>
      </w:r>
    </w:p>
    <w:p>
      <w:pPr>
        <w:pStyle w:val="6"/>
        <w:spacing w:line="360" w:lineRule="auto"/>
        <w:ind w:firstLine="560" w:firstLineChars="200"/>
        <w:rPr>
          <w:rFonts w:cs="宋体"/>
          <w:bCs/>
          <w:sz w:val="28"/>
          <w:szCs w:val="28"/>
          <w:highlight w:val="none"/>
        </w:rPr>
      </w:pPr>
      <w:r>
        <w:rPr>
          <w:rFonts w:hint="eastAsia" w:cs="宋体"/>
          <w:bCs/>
          <w:sz w:val="28"/>
          <w:szCs w:val="28"/>
          <w:highlight w:val="none"/>
        </w:rPr>
        <w:t>（4）确保定级测评工作的安全、规范，确保被测系统的安全。所使用的工具、方法和过程要在双方认可的情况下使用。等级保护测评工具应经过严格测试和检验，确保不对被测评系统造成损失，工作结束后不驻留任何程序并销毁不需要的文档和资料；在对学校的信息系统进行测评中发现的漏洞及安全问题等情况严格执行相关保密制度；对测评设备、介质进行严格的保密管理；工作过程中对公司人员实施封闭式集中管理；公司项目组进场人员必须遵守南京信息工程大学的相关管理规定。</w:t>
      </w:r>
    </w:p>
    <w:p>
      <w:pPr>
        <w:pStyle w:val="6"/>
        <w:spacing w:line="360" w:lineRule="auto"/>
        <w:ind w:firstLine="560" w:firstLineChars="200"/>
        <w:rPr>
          <w:rFonts w:cs="宋体"/>
          <w:bCs/>
          <w:sz w:val="28"/>
          <w:szCs w:val="28"/>
          <w:highlight w:val="none"/>
        </w:rPr>
      </w:pPr>
      <w:r>
        <w:rPr>
          <w:rFonts w:hint="eastAsia" w:cs="宋体"/>
          <w:bCs/>
          <w:sz w:val="28"/>
          <w:szCs w:val="28"/>
          <w:highlight w:val="none"/>
        </w:rPr>
        <w:t>（5）在工作过程中对涉及的各类数据严格保密，在测评工作结束后，不可将工作中的数据用于任何有损校方利益的用途，双方签署保密协议。</w:t>
      </w:r>
    </w:p>
    <w:p>
      <w:pPr>
        <w:widowControl/>
        <w:ind w:firstLine="560" w:firstLineChars="200"/>
        <w:jc w:val="left"/>
        <w:rPr>
          <w:rFonts w:hAnsi="宋体"/>
          <w:b/>
          <w:sz w:val="28"/>
          <w:szCs w:val="28"/>
          <w:highlight w:val="none"/>
        </w:rPr>
      </w:pPr>
      <w:r>
        <w:rPr>
          <w:rFonts w:hint="eastAsia" w:cs="宋体"/>
          <w:bCs/>
          <w:sz w:val="28"/>
          <w:szCs w:val="28"/>
          <w:highlight w:val="none"/>
        </w:rPr>
        <w:t>（6）测评工作虽然不能完全摆脱个人主张或判断，但测评人员应当在没有偏见和最小主观判断情形下，按照测评双方相互认可的测评方案，基于明确定义的测评方法和过程，实施测评活动。</w:t>
      </w:r>
    </w:p>
    <w:p>
      <w:pPr>
        <w:pStyle w:val="4"/>
        <w:rPr>
          <w:sz w:val="32"/>
          <w:szCs w:val="20"/>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pStyle w:val="8"/>
        <w:ind w:left="0" w:leftChars="0" w:right="1470" w:firstLine="840" w:firstLineChars="300"/>
        <w:jc w:val="left"/>
        <w:rPr>
          <w:rFonts w:ascii="宋体" w:hAnsi="宋体" w:cs="仿宋"/>
          <w:bCs/>
          <w:sz w:val="28"/>
          <w:szCs w:val="28"/>
          <w:highlight w:val="none"/>
        </w:rPr>
      </w:pPr>
      <w:r>
        <w:rPr>
          <w:rFonts w:hint="eastAsia" w:ascii="宋体" w:hAnsi="宋体" w:cs="仿宋"/>
          <w:bCs/>
          <w:sz w:val="28"/>
          <w:szCs w:val="28"/>
          <w:highlight w:val="none"/>
        </w:rPr>
        <w:t>中标人需承诺在合同生效后20个工作日内完成本次招标所有工作（加盖单位公章）。</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21"/>
        <w:gridCol w:w="7050"/>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2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评分因素</w:t>
            </w:r>
          </w:p>
        </w:tc>
        <w:tc>
          <w:tcPr>
            <w:tcW w:w="7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评分标准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12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报价</w:t>
            </w:r>
          </w:p>
          <w:p>
            <w:pPr>
              <w:spacing w:line="360" w:lineRule="auto"/>
              <w:jc w:val="center"/>
              <w:rPr>
                <w:rFonts w:ascii="宋体" w:hAnsi="宋体" w:cs="宋体"/>
                <w:b/>
                <w:szCs w:val="21"/>
                <w:highlight w:val="none"/>
              </w:rPr>
            </w:pPr>
            <w:r>
              <w:rPr>
                <w:rFonts w:hint="eastAsia" w:ascii="宋体" w:hAnsi="宋体" w:cs="宋体"/>
                <w:b/>
                <w:szCs w:val="21"/>
                <w:highlight w:val="none"/>
              </w:rPr>
              <w:t>（2</w:t>
            </w:r>
            <w:r>
              <w:rPr>
                <w:rFonts w:ascii="宋体" w:hAnsi="宋体" w:cs="宋体"/>
                <w:b/>
                <w:szCs w:val="21"/>
                <w:highlight w:val="none"/>
              </w:rPr>
              <w:t>0</w:t>
            </w:r>
            <w:r>
              <w:rPr>
                <w:rFonts w:hint="eastAsia" w:ascii="宋体" w:hAnsi="宋体" w:cs="宋体"/>
                <w:b/>
                <w:szCs w:val="21"/>
                <w:highlight w:val="none"/>
              </w:rPr>
              <w:t>分）</w:t>
            </w:r>
          </w:p>
        </w:tc>
        <w:tc>
          <w:tcPr>
            <w:tcW w:w="7050" w:type="dxa"/>
            <w:tcBorders>
              <w:top w:val="single" w:color="auto" w:sz="4" w:space="0"/>
              <w:left w:val="single" w:color="auto" w:sz="4" w:space="0"/>
              <w:bottom w:val="single" w:color="auto" w:sz="4" w:space="0"/>
              <w:right w:val="single" w:color="auto" w:sz="4" w:space="0"/>
            </w:tcBorders>
            <w:vAlign w:val="center"/>
          </w:tcPr>
          <w:p>
            <w:pPr>
              <w:pStyle w:val="58"/>
              <w:ind w:firstLineChars="0"/>
              <w:rPr>
                <w:rFonts w:eastAsia="宋体" w:cs="宋体"/>
                <w:bCs/>
                <w:sz w:val="21"/>
                <w:szCs w:val="21"/>
                <w:highlight w:val="none"/>
                <w:lang w:val="zh-CN" w:eastAsia="zh-CN"/>
              </w:rPr>
            </w:pPr>
            <w:r>
              <w:rPr>
                <w:rFonts w:hint="eastAsia" w:eastAsia="宋体" w:cs="宋体"/>
                <w:bCs/>
                <w:sz w:val="21"/>
                <w:szCs w:val="21"/>
                <w:highlight w:val="none"/>
                <w:lang w:val="zh-CN" w:eastAsia="zh-CN"/>
              </w:rPr>
              <w:t>采用低价优先法计算，即满足招标文件要求且最终报价最低的报价为评标基准价，其价格分为满分。其他</w:t>
            </w:r>
            <w:r>
              <w:rPr>
                <w:rFonts w:hint="eastAsia" w:eastAsia="宋体" w:cs="宋体"/>
                <w:bCs/>
                <w:sz w:val="21"/>
                <w:szCs w:val="21"/>
                <w:highlight w:val="none"/>
                <w:lang w:eastAsia="zh-CN"/>
              </w:rPr>
              <w:t>投标</w:t>
            </w:r>
            <w:r>
              <w:rPr>
                <w:rFonts w:hint="eastAsia" w:eastAsia="宋体" w:cs="宋体"/>
                <w:bCs/>
                <w:sz w:val="21"/>
                <w:szCs w:val="21"/>
                <w:highlight w:val="none"/>
                <w:lang w:val="zh-CN" w:eastAsia="zh-CN"/>
              </w:rPr>
              <w:t>供应商的价格分统一按照下列公式计算：报价得分=(评标基准价/最终报价)×</w:t>
            </w:r>
            <w:r>
              <w:rPr>
                <w:rFonts w:hint="eastAsia" w:eastAsia="宋体" w:cs="宋体"/>
                <w:bCs/>
                <w:sz w:val="21"/>
                <w:szCs w:val="21"/>
                <w:highlight w:val="none"/>
                <w:lang w:eastAsia="zh-CN"/>
              </w:rPr>
              <w:t>2</w:t>
            </w:r>
            <w:r>
              <w:rPr>
                <w:rFonts w:eastAsia="宋体" w:cs="宋体"/>
                <w:bCs/>
                <w:sz w:val="21"/>
                <w:szCs w:val="21"/>
                <w:highlight w:val="none"/>
                <w:lang w:eastAsia="zh-CN"/>
              </w:rPr>
              <w:t>0</w:t>
            </w:r>
            <w:r>
              <w:rPr>
                <w:rFonts w:hint="eastAsia" w:eastAsia="宋体" w:cs="宋体"/>
                <w:bCs/>
                <w:sz w:val="21"/>
                <w:szCs w:val="21"/>
                <w:highlight w:val="none"/>
                <w:lang w:val="zh-CN" w:eastAsia="zh-CN"/>
              </w:rPr>
              <w:t>（小数点保留两位）</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84" w:type="dxa"/>
            <w:vMerge w:val="restart"/>
            <w:tcBorders>
              <w:left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1221" w:type="dxa"/>
            <w:vMerge w:val="restart"/>
            <w:tcBorders>
              <w:left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服务方案（</w:t>
            </w:r>
            <w:r>
              <w:rPr>
                <w:rFonts w:ascii="宋体" w:hAnsi="宋体" w:cs="宋体"/>
                <w:b/>
                <w:color w:val="000000" w:themeColor="text1"/>
                <w:szCs w:val="21"/>
                <w:highlight w:val="none"/>
              </w:rPr>
              <w:t>28</w:t>
            </w:r>
            <w:r>
              <w:rPr>
                <w:rFonts w:hint="eastAsia" w:ascii="宋体" w:hAnsi="宋体" w:cs="宋体"/>
                <w:b/>
                <w:color w:val="000000" w:themeColor="text1"/>
                <w:szCs w:val="21"/>
                <w:highlight w:val="none"/>
              </w:rPr>
              <w:t>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等级测评方案：</w:t>
            </w:r>
            <w:r>
              <w:rPr>
                <w:rFonts w:hint="eastAsia" w:ascii="宋体" w:hAnsi="宋体" w:cs="宋体"/>
                <w:bCs/>
                <w:szCs w:val="21"/>
                <w:highlight w:val="none"/>
                <w:lang w:val="zh-CN"/>
              </w:rPr>
              <w:t>评委根据供应商提供的项目等级测评方案，包括但不限于测评方法、单项测评、整体测评、W</w:t>
            </w:r>
            <w:r>
              <w:rPr>
                <w:rFonts w:ascii="宋体" w:hAnsi="宋体" w:cs="宋体"/>
                <w:bCs/>
                <w:szCs w:val="21"/>
                <w:highlight w:val="none"/>
                <w:lang w:val="zh-CN"/>
              </w:rPr>
              <w:t>EB</w:t>
            </w:r>
            <w:r>
              <w:rPr>
                <w:rFonts w:hint="eastAsia" w:ascii="宋体" w:hAnsi="宋体" w:cs="宋体"/>
                <w:bCs/>
                <w:szCs w:val="21"/>
                <w:highlight w:val="none"/>
                <w:lang w:val="zh-CN"/>
              </w:rPr>
              <w:t>安全测试、风险分析等</w:t>
            </w:r>
            <w:r>
              <w:rPr>
                <w:rFonts w:hint="eastAsia" w:ascii="宋体" w:hAnsi="宋体" w:cs="宋体"/>
                <w:bCs/>
                <w:szCs w:val="21"/>
                <w:highlight w:val="none"/>
              </w:rPr>
              <w:t>进行综合评分，</w:t>
            </w:r>
            <w:r>
              <w:rPr>
                <w:rFonts w:hint="eastAsia" w:ascii="宋体" w:hAnsi="宋体" w:cs="宋体"/>
                <w:bCs/>
                <w:szCs w:val="21"/>
                <w:highlight w:val="none"/>
                <w:lang w:val="zh-CN"/>
              </w:rPr>
              <w:t>内容完整、针对性强、切实可行得</w:t>
            </w:r>
            <w:r>
              <w:rPr>
                <w:rFonts w:ascii="宋体" w:hAnsi="宋体" w:cs="宋体"/>
                <w:bCs/>
                <w:szCs w:val="21"/>
                <w:highlight w:val="none"/>
                <w:lang w:val="zh-CN"/>
              </w:rPr>
              <w:t>7</w:t>
            </w:r>
            <w:r>
              <w:rPr>
                <w:rFonts w:hint="eastAsia" w:ascii="宋体" w:hAnsi="宋体" w:cs="宋体"/>
                <w:bCs/>
                <w:szCs w:val="21"/>
                <w:highlight w:val="none"/>
                <w:lang w:val="zh-CN"/>
              </w:rPr>
              <w:t>分，内容较完整、针对性较强、较切实可行得</w:t>
            </w:r>
            <w:r>
              <w:rPr>
                <w:rFonts w:hint="eastAsia" w:ascii="宋体" w:hAnsi="宋体" w:cs="宋体"/>
                <w:bCs/>
                <w:szCs w:val="21"/>
                <w:highlight w:val="none"/>
              </w:rPr>
              <w:t>5</w:t>
            </w:r>
            <w:r>
              <w:rPr>
                <w:rFonts w:hint="eastAsia" w:ascii="宋体" w:hAnsi="宋体" w:cs="宋体"/>
                <w:bCs/>
                <w:szCs w:val="21"/>
                <w:highlight w:val="none"/>
                <w:lang w:val="zh-CN"/>
              </w:rPr>
              <w:t>分，方案基本合理、针对性可行性尚可3分，方案粗糙、可行性不足得</w:t>
            </w:r>
            <w:r>
              <w:rPr>
                <w:rFonts w:hint="eastAsia" w:ascii="宋体" w:hAnsi="宋体" w:cs="宋体"/>
                <w:bCs/>
                <w:szCs w:val="21"/>
                <w:highlight w:val="none"/>
              </w:rPr>
              <w:t>1</w:t>
            </w:r>
            <w:r>
              <w:rPr>
                <w:rFonts w:hint="eastAsia" w:ascii="宋体" w:hAnsi="宋体" w:cs="宋体"/>
                <w:bCs/>
                <w:szCs w:val="21"/>
                <w:highlight w:val="none"/>
                <w:lang w:val="zh-CN"/>
              </w:rPr>
              <w:t>分，未提供不得分。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p>
        </w:tc>
        <w:tc>
          <w:tcPr>
            <w:tcW w:w="1221" w:type="dxa"/>
            <w:vMerge w:val="continue"/>
            <w:tcBorders>
              <w:left w:val="single" w:color="auto" w:sz="4" w:space="0"/>
              <w:right w:val="single" w:color="auto" w:sz="4" w:space="0"/>
            </w:tcBorders>
            <w:vAlign w:val="center"/>
          </w:tcPr>
          <w:p>
            <w:pPr>
              <w:spacing w:line="360" w:lineRule="auto"/>
              <w:jc w:val="center"/>
              <w:rPr>
                <w:rFonts w:ascii="宋体" w:hAnsi="宋体" w:cs="宋体"/>
                <w:b/>
                <w:szCs w:val="21"/>
                <w:highlight w:val="none"/>
              </w:rPr>
            </w:pP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项目实施方案：</w:t>
            </w:r>
            <w:r>
              <w:rPr>
                <w:rFonts w:hint="eastAsia" w:ascii="宋体" w:hAnsi="宋体" w:cs="宋体"/>
                <w:bCs/>
                <w:szCs w:val="21"/>
                <w:highlight w:val="none"/>
                <w:lang w:val="zh-CN"/>
              </w:rPr>
              <w:t>评委根据供应商提供的项目实施方案，包括但不限于测评流程、项目组织架构、人员配备、项目进度、工具配备等</w:t>
            </w:r>
            <w:r>
              <w:rPr>
                <w:rFonts w:hint="eastAsia" w:ascii="宋体" w:hAnsi="宋体" w:cs="宋体"/>
                <w:bCs/>
                <w:szCs w:val="21"/>
                <w:highlight w:val="none"/>
              </w:rPr>
              <w:t>进行综合评分，</w:t>
            </w:r>
            <w:r>
              <w:rPr>
                <w:rFonts w:hint="eastAsia" w:ascii="宋体" w:hAnsi="宋体" w:cs="宋体"/>
                <w:bCs/>
                <w:szCs w:val="21"/>
                <w:highlight w:val="none"/>
                <w:lang w:val="zh-CN"/>
              </w:rPr>
              <w:t>内容完整、针对性强、切实可行得</w:t>
            </w:r>
            <w:r>
              <w:rPr>
                <w:rFonts w:ascii="宋体" w:hAnsi="宋体" w:cs="宋体"/>
                <w:bCs/>
                <w:szCs w:val="21"/>
                <w:highlight w:val="none"/>
                <w:lang w:val="zh-CN"/>
              </w:rPr>
              <w:t>7</w:t>
            </w:r>
            <w:r>
              <w:rPr>
                <w:rFonts w:hint="eastAsia" w:ascii="宋体" w:hAnsi="宋体" w:cs="宋体"/>
                <w:bCs/>
                <w:szCs w:val="21"/>
                <w:highlight w:val="none"/>
                <w:lang w:val="zh-CN"/>
              </w:rPr>
              <w:t>分，内容较完整、针对性较强、较切实可行得</w:t>
            </w:r>
            <w:r>
              <w:rPr>
                <w:rFonts w:hint="eastAsia" w:ascii="宋体" w:hAnsi="宋体" w:cs="宋体"/>
                <w:bCs/>
                <w:szCs w:val="21"/>
                <w:highlight w:val="none"/>
              </w:rPr>
              <w:t>5</w:t>
            </w:r>
            <w:r>
              <w:rPr>
                <w:rFonts w:hint="eastAsia" w:ascii="宋体" w:hAnsi="宋体" w:cs="宋体"/>
                <w:bCs/>
                <w:szCs w:val="21"/>
                <w:highlight w:val="none"/>
                <w:lang w:val="zh-CN"/>
              </w:rPr>
              <w:t>分，方案基本合理、针对性可行性尚可3分，方案粗糙、可行性不足得</w:t>
            </w:r>
            <w:r>
              <w:rPr>
                <w:rFonts w:hint="eastAsia" w:ascii="宋体" w:hAnsi="宋体" w:cs="宋体"/>
                <w:bCs/>
                <w:szCs w:val="21"/>
                <w:highlight w:val="none"/>
              </w:rPr>
              <w:t>1</w:t>
            </w:r>
            <w:r>
              <w:rPr>
                <w:rFonts w:hint="eastAsia" w:ascii="宋体" w:hAnsi="宋体" w:cs="宋体"/>
                <w:bCs/>
                <w:szCs w:val="21"/>
                <w:highlight w:val="none"/>
                <w:lang w:val="zh-CN"/>
              </w:rPr>
              <w:t>分，未提供不得分。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p>
        </w:tc>
        <w:tc>
          <w:tcPr>
            <w:tcW w:w="1221" w:type="dxa"/>
            <w:vMerge w:val="continue"/>
            <w:tcBorders>
              <w:left w:val="single" w:color="auto" w:sz="4" w:space="0"/>
              <w:right w:val="single" w:color="auto" w:sz="4" w:space="0"/>
            </w:tcBorders>
            <w:vAlign w:val="center"/>
          </w:tcPr>
          <w:p>
            <w:pPr>
              <w:widowControl/>
              <w:spacing w:line="360" w:lineRule="auto"/>
              <w:ind w:firstLine="420" w:firstLineChars="200"/>
              <w:rPr>
                <w:rFonts w:ascii="宋体" w:hAnsi="宋体" w:cs="宋体"/>
                <w:bCs/>
                <w:szCs w:val="21"/>
                <w:highlight w:val="none"/>
                <w:lang w:val="zh-CN"/>
              </w:rPr>
            </w:pP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风险管控方案：</w:t>
            </w:r>
            <w:r>
              <w:rPr>
                <w:rFonts w:hint="eastAsia" w:ascii="宋体" w:hAnsi="宋体" w:cs="宋体"/>
                <w:bCs/>
                <w:szCs w:val="21"/>
                <w:highlight w:val="none"/>
                <w:lang w:val="zh-CN"/>
              </w:rPr>
              <w:t>评委根据供应商提供的项目风险管控方案，包括但不限于人工验证测试、工具测试、敏感信息的泄露等</w:t>
            </w:r>
            <w:r>
              <w:rPr>
                <w:rFonts w:hint="eastAsia" w:ascii="宋体" w:hAnsi="宋体" w:cs="宋体"/>
                <w:bCs/>
                <w:szCs w:val="21"/>
                <w:highlight w:val="none"/>
              </w:rPr>
              <w:t>进行综合评分，</w:t>
            </w:r>
            <w:r>
              <w:rPr>
                <w:rFonts w:hint="eastAsia" w:ascii="宋体" w:hAnsi="宋体" w:cs="宋体"/>
                <w:bCs/>
                <w:szCs w:val="21"/>
                <w:highlight w:val="none"/>
                <w:lang w:val="zh-CN"/>
              </w:rPr>
              <w:t>内容完整、针对性强、切实可行得7分，内容较完整、针对性较强、较切实可行得</w:t>
            </w:r>
            <w:r>
              <w:rPr>
                <w:rFonts w:hint="eastAsia" w:ascii="宋体" w:hAnsi="宋体" w:cs="宋体"/>
                <w:bCs/>
                <w:szCs w:val="21"/>
                <w:highlight w:val="none"/>
              </w:rPr>
              <w:t>5</w:t>
            </w:r>
            <w:r>
              <w:rPr>
                <w:rFonts w:hint="eastAsia" w:ascii="宋体" w:hAnsi="宋体" w:cs="宋体"/>
                <w:bCs/>
                <w:szCs w:val="21"/>
                <w:highlight w:val="none"/>
                <w:lang w:val="zh-CN"/>
              </w:rPr>
              <w:t>分，方案基本合理、针对性可行性尚可3分，方案粗糙、可行性不足得</w:t>
            </w:r>
            <w:r>
              <w:rPr>
                <w:rFonts w:hint="eastAsia" w:ascii="宋体" w:hAnsi="宋体" w:cs="宋体"/>
                <w:bCs/>
                <w:szCs w:val="21"/>
                <w:highlight w:val="none"/>
              </w:rPr>
              <w:t>1</w:t>
            </w:r>
            <w:r>
              <w:rPr>
                <w:rFonts w:hint="eastAsia" w:ascii="宋体" w:hAnsi="宋体" w:cs="宋体"/>
                <w:bCs/>
                <w:szCs w:val="21"/>
                <w:highlight w:val="none"/>
                <w:lang w:val="zh-CN"/>
              </w:rPr>
              <w:t>分，未提供不得分。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8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p>
        </w:tc>
        <w:tc>
          <w:tcPr>
            <w:tcW w:w="1221" w:type="dxa"/>
            <w:vMerge w:val="continue"/>
            <w:tcBorders>
              <w:left w:val="single" w:color="auto" w:sz="4" w:space="0"/>
              <w:right w:val="single" w:color="auto" w:sz="4" w:space="0"/>
            </w:tcBorders>
            <w:vAlign w:val="center"/>
          </w:tcPr>
          <w:p>
            <w:pPr>
              <w:widowControl/>
              <w:spacing w:line="360" w:lineRule="auto"/>
              <w:ind w:firstLine="420" w:firstLineChars="200"/>
              <w:rPr>
                <w:rFonts w:ascii="宋体" w:hAnsi="宋体" w:cs="宋体"/>
                <w:bCs/>
                <w:szCs w:val="21"/>
                <w:highlight w:val="none"/>
                <w:lang w:val="zh-CN"/>
              </w:rPr>
            </w:pP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
                <w:szCs w:val="21"/>
                <w:highlight w:val="none"/>
                <w:lang w:val="zh-CN"/>
              </w:rPr>
              <w:t>项目管理方案：</w:t>
            </w:r>
            <w:r>
              <w:rPr>
                <w:rFonts w:hint="eastAsia" w:ascii="宋体" w:hAnsi="宋体" w:cs="宋体"/>
                <w:bCs/>
                <w:szCs w:val="21"/>
                <w:highlight w:val="none"/>
                <w:lang w:val="zh-CN"/>
              </w:rPr>
              <w:t>评委根据供应商提供的项目管理方案，包括但不限于项目质量管理、项目实施管理等</w:t>
            </w:r>
            <w:r>
              <w:rPr>
                <w:rFonts w:hint="eastAsia" w:ascii="宋体" w:hAnsi="宋体" w:cs="宋体"/>
                <w:bCs/>
                <w:szCs w:val="21"/>
                <w:highlight w:val="none"/>
              </w:rPr>
              <w:t>进行综合评分，</w:t>
            </w:r>
            <w:r>
              <w:rPr>
                <w:rFonts w:hint="eastAsia" w:ascii="宋体" w:hAnsi="宋体" w:cs="宋体"/>
                <w:bCs/>
                <w:szCs w:val="21"/>
                <w:highlight w:val="none"/>
                <w:lang w:val="zh-CN"/>
              </w:rPr>
              <w:t>内容完整、针对性强、切实可行得7分，内容较完整、针对性较强、较切实可行得</w:t>
            </w:r>
            <w:r>
              <w:rPr>
                <w:rFonts w:hint="eastAsia" w:ascii="宋体" w:hAnsi="宋体" w:cs="宋体"/>
                <w:bCs/>
                <w:szCs w:val="21"/>
                <w:highlight w:val="none"/>
              </w:rPr>
              <w:t>5</w:t>
            </w:r>
            <w:r>
              <w:rPr>
                <w:rFonts w:hint="eastAsia" w:ascii="宋体" w:hAnsi="宋体" w:cs="宋体"/>
                <w:bCs/>
                <w:szCs w:val="21"/>
                <w:highlight w:val="none"/>
                <w:lang w:val="zh-CN"/>
              </w:rPr>
              <w:t>分，方案基本合理、针对性可行性尚可3分，方案粗糙、可行性不足得</w:t>
            </w:r>
            <w:r>
              <w:rPr>
                <w:rFonts w:hint="eastAsia" w:ascii="宋体" w:hAnsi="宋体" w:cs="宋体"/>
                <w:bCs/>
                <w:szCs w:val="21"/>
                <w:highlight w:val="none"/>
              </w:rPr>
              <w:t>1</w:t>
            </w:r>
            <w:r>
              <w:rPr>
                <w:rFonts w:hint="eastAsia" w:ascii="宋体" w:hAnsi="宋体" w:cs="宋体"/>
                <w:bCs/>
                <w:szCs w:val="21"/>
                <w:highlight w:val="none"/>
                <w:lang w:val="zh-CN"/>
              </w:rPr>
              <w:t>分，未提供不得分。</w:t>
            </w:r>
          </w:p>
        </w:tc>
        <w:tc>
          <w:tcPr>
            <w:tcW w:w="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84"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1221" w:type="dxa"/>
            <w:tcBorders>
              <w:left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人员</w:t>
            </w:r>
            <w:r>
              <w:rPr>
                <w:rFonts w:hint="eastAsia" w:ascii="宋体" w:hAnsi="宋体" w:cs="宋体"/>
                <w:b/>
                <w:szCs w:val="21"/>
                <w:highlight w:val="none"/>
              </w:rPr>
              <w:t>配备</w:t>
            </w:r>
            <w:r>
              <w:rPr>
                <w:rFonts w:hint="eastAsia" w:ascii="宋体" w:hAnsi="宋体" w:cs="宋体"/>
                <w:b/>
                <w:szCs w:val="21"/>
                <w:highlight w:val="none"/>
                <w:lang w:val="zh-CN"/>
              </w:rPr>
              <w:t>（</w:t>
            </w:r>
            <w:r>
              <w:rPr>
                <w:rFonts w:hint="eastAsia" w:ascii="宋体" w:hAnsi="宋体" w:cs="宋体"/>
                <w:b/>
                <w:szCs w:val="21"/>
                <w:highlight w:val="none"/>
              </w:rPr>
              <w:t>1</w:t>
            </w:r>
            <w:r>
              <w:rPr>
                <w:rFonts w:ascii="宋体" w:hAnsi="宋体" w:cs="宋体"/>
                <w:b/>
                <w:szCs w:val="21"/>
                <w:highlight w:val="none"/>
              </w:rPr>
              <w:t>8</w:t>
            </w:r>
            <w:r>
              <w:rPr>
                <w:rFonts w:hint="eastAsia" w:ascii="宋体" w:hAnsi="宋体" w:cs="宋体"/>
                <w:b/>
                <w:szCs w:val="21"/>
                <w:highlight w:val="none"/>
                <w:lang w:val="zh-CN"/>
              </w:rPr>
              <w:t>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1、项目经理具有高级测评师，且同时具有PMP、CISP、CISSP、CIIPT和C</w:t>
            </w:r>
            <w:r>
              <w:rPr>
                <w:rFonts w:ascii="宋体" w:hAnsi="宋体" w:cs="宋体"/>
                <w:bCs/>
                <w:szCs w:val="21"/>
                <w:highlight w:val="none"/>
                <w:lang w:val="zh-CN"/>
              </w:rPr>
              <w:t>ISAW</w:t>
            </w:r>
            <w:r>
              <w:rPr>
                <w:rFonts w:hint="eastAsia" w:ascii="宋体" w:hAnsi="宋体" w:cs="宋体"/>
                <w:bCs/>
                <w:szCs w:val="21"/>
                <w:highlight w:val="none"/>
                <w:lang w:val="zh-CN"/>
              </w:rPr>
              <w:t>证书，每具备一个证书得2分，最高得1</w:t>
            </w:r>
            <w:r>
              <w:rPr>
                <w:rFonts w:ascii="宋体" w:hAnsi="宋体" w:cs="宋体"/>
                <w:bCs/>
                <w:szCs w:val="21"/>
                <w:highlight w:val="none"/>
                <w:lang w:val="zh-CN"/>
              </w:rPr>
              <w:t>0</w:t>
            </w:r>
            <w:r>
              <w:rPr>
                <w:rFonts w:hint="eastAsia" w:ascii="宋体" w:hAnsi="宋体" w:cs="宋体"/>
                <w:bCs/>
                <w:szCs w:val="21"/>
                <w:highlight w:val="none"/>
                <w:lang w:val="zh-CN"/>
              </w:rPr>
              <w:t>分。</w:t>
            </w:r>
          </w:p>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2、项目组成员（除项目经理外）中每有1名具有中级或高级等级测评师证书，且同时具有CISSP证书的，每提供一位人员得2分，最高得8分。</w:t>
            </w:r>
          </w:p>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（提供相关证书复印件以及供应商为其缴纳近一年的社保资金的记录复印件）</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left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5</w:t>
            </w:r>
          </w:p>
        </w:tc>
        <w:tc>
          <w:tcPr>
            <w:tcW w:w="1221" w:type="dxa"/>
            <w:tcBorders>
              <w:left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业绩</w:t>
            </w:r>
          </w:p>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（10分）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rPr>
            </w:pPr>
            <w:r>
              <w:rPr>
                <w:rFonts w:hint="eastAsia" w:ascii="宋体" w:hAnsi="宋体" w:cs="宋体"/>
                <w:bCs/>
                <w:szCs w:val="21"/>
                <w:highlight w:val="none"/>
                <w:lang w:val="zh-CN"/>
              </w:rPr>
              <w:t>供应商自</w:t>
            </w:r>
            <w:r>
              <w:rPr>
                <w:rFonts w:hint="eastAsia" w:ascii="宋体" w:hAnsi="宋体" w:cs="宋体"/>
                <w:bCs/>
                <w:color w:val="000000" w:themeColor="text1"/>
                <w:szCs w:val="21"/>
                <w:highlight w:val="none"/>
                <w:lang w:val="zh-CN"/>
              </w:rPr>
              <w:t>20</w:t>
            </w:r>
            <w:r>
              <w:rPr>
                <w:rFonts w:ascii="宋体" w:hAnsi="宋体" w:cs="宋体"/>
                <w:bCs/>
                <w:color w:val="000000" w:themeColor="text1"/>
                <w:szCs w:val="21"/>
                <w:highlight w:val="none"/>
                <w:lang w:val="zh-CN"/>
              </w:rPr>
              <w:t>19</w:t>
            </w:r>
            <w:r>
              <w:rPr>
                <w:rFonts w:hint="eastAsia" w:ascii="宋体" w:hAnsi="宋体" w:cs="宋体"/>
                <w:bCs/>
                <w:color w:val="000000" w:themeColor="text1"/>
                <w:szCs w:val="21"/>
                <w:highlight w:val="none"/>
                <w:lang w:val="zh-CN"/>
              </w:rPr>
              <w:t>年</w:t>
            </w:r>
            <w:r>
              <w:rPr>
                <w:rFonts w:ascii="宋体" w:hAnsi="宋体" w:cs="宋体"/>
                <w:bCs/>
                <w:color w:val="000000" w:themeColor="text1"/>
                <w:szCs w:val="21"/>
                <w:highlight w:val="none"/>
                <w:lang w:val="zh-CN"/>
              </w:rPr>
              <w:t>1</w:t>
            </w:r>
            <w:r>
              <w:rPr>
                <w:rFonts w:hint="eastAsia" w:ascii="宋体" w:hAnsi="宋体" w:cs="宋体"/>
                <w:bCs/>
                <w:color w:val="000000" w:themeColor="text1"/>
                <w:szCs w:val="21"/>
                <w:highlight w:val="none"/>
                <w:lang w:val="zh-CN"/>
              </w:rPr>
              <w:t>月1日（</w:t>
            </w:r>
            <w:r>
              <w:rPr>
                <w:rFonts w:hint="eastAsia" w:ascii="宋体" w:hAnsi="宋体" w:cs="宋体"/>
                <w:bCs/>
                <w:szCs w:val="21"/>
                <w:highlight w:val="none"/>
                <w:lang w:val="zh-CN"/>
              </w:rPr>
              <w:t>以合同签订时间为准）</w:t>
            </w:r>
            <w:r>
              <w:rPr>
                <w:rFonts w:hint="eastAsia" w:ascii="宋体" w:hAnsi="宋体" w:cs="宋体"/>
                <w:bCs/>
                <w:szCs w:val="21"/>
                <w:highlight w:val="none"/>
              </w:rPr>
              <w:t>以来</w:t>
            </w:r>
            <w:r>
              <w:rPr>
                <w:rFonts w:hint="eastAsia" w:ascii="宋体" w:hAnsi="宋体" w:cs="宋体"/>
                <w:bCs/>
                <w:szCs w:val="21"/>
                <w:highlight w:val="none"/>
                <w:lang w:val="zh-CN"/>
              </w:rPr>
              <w:t>具有类似等级保护测评项目</w:t>
            </w:r>
            <w:r>
              <w:rPr>
                <w:rFonts w:hint="eastAsia" w:ascii="宋体" w:hAnsi="宋体" w:cs="宋体"/>
                <w:bCs/>
                <w:szCs w:val="21"/>
                <w:highlight w:val="none"/>
              </w:rPr>
              <w:t>业绩</w:t>
            </w:r>
            <w:r>
              <w:rPr>
                <w:rFonts w:hint="eastAsia" w:ascii="宋体" w:hAnsi="宋体" w:cs="宋体"/>
                <w:bCs/>
                <w:szCs w:val="21"/>
                <w:highlight w:val="none"/>
                <w:lang w:val="zh-CN"/>
              </w:rPr>
              <w:t>，每有一个得2分，最多得10分，未提供不得分。（提供合同复印件</w:t>
            </w:r>
            <w:r>
              <w:rPr>
                <w:rFonts w:hint="eastAsia" w:ascii="宋体" w:hAnsi="宋体" w:cs="宋体"/>
                <w:bCs/>
                <w:szCs w:val="21"/>
                <w:highlight w:val="none"/>
              </w:rPr>
              <w:t>加盖公章</w:t>
            </w:r>
            <w:r>
              <w:rPr>
                <w:rFonts w:hint="eastAsia" w:ascii="宋体" w:hAnsi="宋体" w:cs="宋体"/>
                <w:bCs/>
                <w:szCs w:val="21"/>
                <w:highlight w:val="none"/>
                <w:lang w:val="zh-CN"/>
              </w:rPr>
              <w:t>，原件备查）。</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left w:val="single" w:color="auto" w:sz="4" w:space="0"/>
              <w:right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6</w:t>
            </w:r>
          </w:p>
        </w:tc>
        <w:tc>
          <w:tcPr>
            <w:tcW w:w="1221" w:type="dxa"/>
            <w:tcBorders>
              <w:left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lang w:val="zh-CN"/>
              </w:rPr>
            </w:pPr>
            <w:r>
              <w:rPr>
                <w:rFonts w:hint="eastAsia" w:ascii="宋体" w:hAnsi="宋体" w:cs="宋体"/>
                <w:b/>
                <w:color w:val="000000" w:themeColor="text1"/>
                <w:szCs w:val="21"/>
                <w:highlight w:val="none"/>
              </w:rPr>
              <w:t>履约能力</w:t>
            </w:r>
          </w:p>
          <w:p>
            <w:pPr>
              <w:spacing w:line="360" w:lineRule="auto"/>
              <w:jc w:val="center"/>
              <w:rPr>
                <w:rFonts w:ascii="宋体" w:hAnsi="宋体" w:cs="宋体"/>
                <w:b/>
                <w:color w:val="000000" w:themeColor="text1"/>
                <w:szCs w:val="21"/>
                <w:highlight w:val="none"/>
                <w:lang w:val="zh-CN"/>
              </w:rPr>
            </w:pPr>
            <w:r>
              <w:rPr>
                <w:rFonts w:hint="eastAsia" w:ascii="宋体" w:hAnsi="宋体" w:cs="宋体"/>
                <w:b/>
                <w:color w:val="000000" w:themeColor="text1"/>
                <w:szCs w:val="21"/>
                <w:highlight w:val="none"/>
                <w:lang w:val="zh-CN"/>
              </w:rPr>
              <w:t>（</w:t>
            </w:r>
            <w:r>
              <w:rPr>
                <w:rFonts w:ascii="宋体" w:hAnsi="宋体" w:cs="宋体"/>
                <w:b/>
                <w:color w:val="000000" w:themeColor="text1"/>
                <w:szCs w:val="21"/>
                <w:highlight w:val="none"/>
                <w:lang w:val="zh-CN"/>
              </w:rPr>
              <w:t>12</w:t>
            </w:r>
            <w:r>
              <w:rPr>
                <w:rFonts w:hint="eastAsia" w:ascii="宋体" w:hAnsi="宋体" w:cs="宋体"/>
                <w:b/>
                <w:color w:val="000000" w:themeColor="text1"/>
                <w:szCs w:val="21"/>
                <w:highlight w:val="none"/>
                <w:lang w:val="zh-CN"/>
              </w:rPr>
              <w:t>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1、供应商具有ISO/IEC27001《信息安全管理体系认证证书》且该管理体系适用范围含有信息安全等级保护测评的得</w:t>
            </w:r>
            <w:r>
              <w:rPr>
                <w:rFonts w:ascii="宋体" w:hAnsi="宋体" w:cs="宋体"/>
                <w:bCs/>
                <w:color w:val="000000" w:themeColor="text1"/>
                <w:szCs w:val="21"/>
                <w:highlight w:val="none"/>
                <w:lang w:val="zh-CN"/>
              </w:rPr>
              <w:t>3</w:t>
            </w:r>
            <w:r>
              <w:rPr>
                <w:rFonts w:hint="eastAsia" w:ascii="宋体" w:hAnsi="宋体" w:cs="宋体"/>
                <w:bCs/>
                <w:color w:val="000000" w:themeColor="text1"/>
                <w:szCs w:val="21"/>
                <w:highlight w:val="none"/>
                <w:lang w:val="zh-CN"/>
              </w:rPr>
              <w:t>分，没有不得分。（提供相关有效</w:t>
            </w:r>
            <w:r>
              <w:rPr>
                <w:rFonts w:hint="eastAsia" w:ascii="宋体" w:hAnsi="宋体" w:cs="宋体"/>
                <w:bCs/>
                <w:color w:val="000000" w:themeColor="text1"/>
                <w:szCs w:val="21"/>
                <w:highlight w:val="none"/>
              </w:rPr>
              <w:t>的</w:t>
            </w:r>
            <w:r>
              <w:rPr>
                <w:rFonts w:hint="eastAsia" w:ascii="宋体" w:hAnsi="宋体" w:cs="宋体"/>
                <w:bCs/>
                <w:color w:val="000000" w:themeColor="text1"/>
                <w:szCs w:val="21"/>
                <w:highlight w:val="none"/>
                <w:lang w:val="zh-CN"/>
              </w:rPr>
              <w:t>证书复印件，原件备查）</w:t>
            </w:r>
          </w:p>
          <w:p>
            <w:pPr>
              <w:widowControl/>
              <w:spacing w:line="360" w:lineRule="auto"/>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2、供应商具有ISO/IEC20000《信息技术服务管理体系》认证证书且认证范围含有向客户提供信息安全等级保护测评服务的得</w:t>
            </w:r>
            <w:r>
              <w:rPr>
                <w:rFonts w:ascii="宋体" w:hAnsi="宋体" w:cs="宋体"/>
                <w:bCs/>
                <w:color w:val="000000" w:themeColor="text1"/>
                <w:szCs w:val="21"/>
                <w:highlight w:val="none"/>
                <w:lang w:val="zh-CN"/>
              </w:rPr>
              <w:t>3</w:t>
            </w:r>
            <w:r>
              <w:rPr>
                <w:rFonts w:hint="eastAsia" w:ascii="宋体" w:hAnsi="宋体" w:cs="宋体"/>
                <w:bCs/>
                <w:color w:val="000000" w:themeColor="text1"/>
                <w:szCs w:val="21"/>
                <w:highlight w:val="none"/>
                <w:lang w:val="zh-CN"/>
              </w:rPr>
              <w:t>分，没有不得分。（提供相关有效证书复印件，原件备查）</w:t>
            </w:r>
          </w:p>
          <w:p>
            <w:pPr>
              <w:widowControl/>
              <w:spacing w:line="360" w:lineRule="auto"/>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3、供应商具有《信息安全服务资质证书》(风险评估一级以上)的得</w:t>
            </w:r>
            <w:r>
              <w:rPr>
                <w:rFonts w:ascii="宋体" w:hAnsi="宋体" w:cs="宋体"/>
                <w:bCs/>
                <w:color w:val="000000" w:themeColor="text1"/>
                <w:szCs w:val="21"/>
                <w:highlight w:val="none"/>
                <w:lang w:val="zh-CN"/>
              </w:rPr>
              <w:t>3</w:t>
            </w:r>
            <w:r>
              <w:rPr>
                <w:rFonts w:hint="eastAsia" w:ascii="宋体" w:hAnsi="宋体" w:cs="宋体"/>
                <w:bCs/>
                <w:color w:val="000000" w:themeColor="text1"/>
                <w:szCs w:val="21"/>
                <w:highlight w:val="none"/>
                <w:lang w:val="zh-CN"/>
              </w:rPr>
              <w:t>分，没有不得分。（提供相关有效证书复印件，原件备查）</w:t>
            </w:r>
          </w:p>
          <w:p>
            <w:pPr>
              <w:widowControl/>
              <w:spacing w:line="360" w:lineRule="auto"/>
              <w:rPr>
                <w:rFonts w:eastAsiaTheme="minorEastAsia"/>
                <w:color w:val="000000" w:themeColor="text1"/>
                <w:highlight w:val="none"/>
                <w:lang w:val="zh-CN"/>
              </w:rPr>
            </w:pPr>
            <w:r>
              <w:rPr>
                <w:rFonts w:hint="eastAsia" w:ascii="宋体" w:hAnsi="宋体" w:cs="宋体"/>
                <w:bCs/>
                <w:color w:val="000000" w:themeColor="text1"/>
                <w:szCs w:val="21"/>
                <w:highlight w:val="none"/>
                <w:lang w:val="zh-CN"/>
              </w:rPr>
              <w:t>4、供应商具有国家信息安全漏洞库（CNNDV）技术支撑单位证书的得3分，没有不得分。（提供相关有效证书复印件，原件备查）</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000000" w:themeColor="text1"/>
                <w:szCs w:val="21"/>
                <w:highlight w:val="none"/>
              </w:rPr>
            </w:pPr>
            <w:r>
              <w:rPr>
                <w:rFonts w:ascii="宋体" w:hAnsi="宋体" w:cs="宋体"/>
                <w:bCs/>
                <w:color w:val="000000" w:themeColor="text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left w:val="single" w:color="auto" w:sz="4" w:space="0"/>
              <w:right w:val="single" w:color="auto" w:sz="4" w:space="0"/>
            </w:tcBorders>
            <w:vAlign w:val="center"/>
          </w:tcPr>
          <w:p>
            <w:pPr>
              <w:spacing w:line="360" w:lineRule="auto"/>
              <w:jc w:val="center"/>
              <w:rPr>
                <w:rFonts w:ascii="宋体" w:hAnsi="宋体" w:cs="宋体"/>
                <w:bCs/>
                <w:szCs w:val="21"/>
                <w:highlight w:val="none"/>
              </w:rPr>
            </w:pPr>
            <w:r>
              <w:rPr>
                <w:rFonts w:ascii="宋体" w:hAnsi="宋体" w:cs="宋体"/>
                <w:bCs/>
                <w:szCs w:val="21"/>
                <w:highlight w:val="none"/>
              </w:rPr>
              <w:t>7</w:t>
            </w:r>
          </w:p>
        </w:tc>
        <w:tc>
          <w:tcPr>
            <w:tcW w:w="1221" w:type="dxa"/>
            <w:vMerge w:val="restart"/>
            <w:tcBorders>
              <w:left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企业荣誉</w:t>
            </w:r>
          </w:p>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w:t>
            </w:r>
            <w:r>
              <w:rPr>
                <w:rFonts w:ascii="宋体" w:hAnsi="宋体" w:cs="宋体"/>
                <w:b/>
                <w:szCs w:val="21"/>
                <w:highlight w:val="none"/>
              </w:rPr>
              <w:t>1</w:t>
            </w:r>
            <w:r>
              <w:rPr>
                <w:rFonts w:hint="eastAsia" w:ascii="宋体" w:hAnsi="宋体" w:cs="宋体"/>
                <w:b/>
                <w:szCs w:val="21"/>
                <w:highlight w:val="none"/>
              </w:rPr>
              <w:t>0</w:t>
            </w:r>
            <w:r>
              <w:rPr>
                <w:rFonts w:hint="eastAsia" w:ascii="宋体" w:hAnsi="宋体" w:cs="宋体"/>
                <w:b/>
                <w:szCs w:val="21"/>
                <w:highlight w:val="none"/>
                <w:lang w:val="zh-CN"/>
              </w:rPr>
              <w:t>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供应商获得过全国信息安全等级保护测评机构先进单位的，有一次得1分，最多得4分。（提供相关证书复印件</w:t>
            </w:r>
            <w:r>
              <w:rPr>
                <w:rFonts w:hint="eastAsia" w:ascii="宋体" w:hAnsi="宋体" w:cs="宋体"/>
                <w:bCs/>
                <w:szCs w:val="21"/>
                <w:highlight w:val="none"/>
              </w:rPr>
              <w:t>加盖公章</w:t>
            </w:r>
            <w:r>
              <w:rPr>
                <w:rFonts w:hint="eastAsia" w:ascii="宋体" w:hAnsi="宋体" w:cs="宋体"/>
                <w:bCs/>
                <w:szCs w:val="21"/>
                <w:highlight w:val="none"/>
                <w:lang w:val="zh-CN"/>
              </w:rPr>
              <w:t>）</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szCs w:val="21"/>
                <w:highlight w:val="none"/>
              </w:rPr>
            </w:pPr>
            <w:r>
              <w:rPr>
                <w:rFonts w:hint="eastAsia" w:ascii="宋体" w:hAnsi="宋体" w:cs="宋体"/>
                <w:bCs/>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left w:val="single" w:color="auto" w:sz="4" w:space="0"/>
              <w:right w:val="single" w:color="auto" w:sz="4" w:space="0"/>
            </w:tcBorders>
            <w:vAlign w:val="center"/>
          </w:tcPr>
          <w:p>
            <w:pPr>
              <w:spacing w:line="360" w:lineRule="auto"/>
              <w:jc w:val="center"/>
              <w:rPr>
                <w:rFonts w:ascii="宋体" w:hAnsi="宋体" w:cs="宋体"/>
                <w:bCs/>
                <w:szCs w:val="21"/>
                <w:highlight w:val="none"/>
              </w:rPr>
            </w:pPr>
          </w:p>
        </w:tc>
        <w:tc>
          <w:tcPr>
            <w:tcW w:w="1221" w:type="dxa"/>
            <w:vMerge w:val="continue"/>
            <w:tcBorders>
              <w:left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bCs/>
                <w:szCs w:val="21"/>
                <w:highlight w:val="none"/>
                <w:lang w:val="zh-CN"/>
              </w:rPr>
              <w:t>供应商近三年来获得省级公安部门、省级网信部门攻防比赛一等奖的有一次得</w:t>
            </w:r>
            <w:r>
              <w:rPr>
                <w:rFonts w:ascii="宋体" w:hAnsi="宋体" w:cs="宋体"/>
                <w:bCs/>
                <w:szCs w:val="21"/>
                <w:highlight w:val="none"/>
                <w:lang w:val="zh-CN"/>
              </w:rPr>
              <w:t>3</w:t>
            </w:r>
            <w:r>
              <w:rPr>
                <w:rFonts w:hint="eastAsia" w:ascii="宋体" w:hAnsi="宋体" w:cs="宋体"/>
                <w:bCs/>
                <w:szCs w:val="21"/>
                <w:highlight w:val="none"/>
                <w:lang w:val="zh-CN"/>
              </w:rPr>
              <w:t>分，二等奖有一次得2分，三等奖有一次得1分，本项最多得</w:t>
            </w:r>
            <w:r>
              <w:rPr>
                <w:rFonts w:ascii="宋体" w:hAnsi="宋体" w:cs="宋体"/>
                <w:bCs/>
                <w:szCs w:val="21"/>
                <w:highlight w:val="none"/>
                <w:lang w:val="zh-CN"/>
              </w:rPr>
              <w:t>6</w:t>
            </w:r>
            <w:r>
              <w:rPr>
                <w:rFonts w:hint="eastAsia" w:ascii="宋体" w:hAnsi="宋体" w:cs="宋体"/>
                <w:bCs/>
                <w:szCs w:val="21"/>
                <w:highlight w:val="none"/>
                <w:lang w:val="zh-CN"/>
              </w:rPr>
              <w:t>分。</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szCs w:val="21"/>
                <w:highlight w:val="none"/>
              </w:rPr>
            </w:pPr>
            <w:r>
              <w:rPr>
                <w:rFonts w:ascii="宋体" w:hAnsi="宋体" w:cs="宋体"/>
                <w:bCs/>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left w:val="single" w:color="auto" w:sz="4" w:space="0"/>
              <w:right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8</w:t>
            </w:r>
          </w:p>
        </w:tc>
        <w:tc>
          <w:tcPr>
            <w:tcW w:w="1221" w:type="dxa"/>
            <w:tcBorders>
              <w:left w:val="single" w:color="auto" w:sz="4" w:space="0"/>
              <w:right w:val="single" w:color="auto" w:sz="4" w:space="0"/>
            </w:tcBorders>
            <w:vAlign w:val="center"/>
          </w:tcPr>
          <w:p>
            <w:pPr>
              <w:spacing w:line="360" w:lineRule="auto"/>
              <w:jc w:val="center"/>
              <w:rPr>
                <w:rFonts w:ascii="宋体" w:hAnsi="宋体" w:cs="宋体"/>
                <w:b/>
                <w:szCs w:val="21"/>
                <w:highlight w:val="none"/>
                <w:lang w:val="zh-CN"/>
              </w:rPr>
            </w:pPr>
            <w:r>
              <w:rPr>
                <w:rFonts w:ascii="宋体" w:hAnsi="宋体" w:cs="宋体"/>
                <w:b/>
                <w:szCs w:val="21"/>
                <w:highlight w:val="none"/>
                <w:lang w:val="zh-CN"/>
              </w:rPr>
              <w:t>标书文件制作</w:t>
            </w:r>
            <w:r>
              <w:rPr>
                <w:rFonts w:hint="eastAsia" w:ascii="宋体" w:hAnsi="宋体" w:cs="宋体"/>
                <w:b/>
                <w:szCs w:val="21"/>
                <w:highlight w:val="none"/>
                <w:lang w:val="zh-CN"/>
              </w:rPr>
              <w:t>(2分)</w:t>
            </w:r>
          </w:p>
        </w:tc>
        <w:tc>
          <w:tcPr>
            <w:tcW w:w="70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cs="宋体"/>
                <w:szCs w:val="21"/>
                <w:highlight w:val="none"/>
              </w:rPr>
              <w:t>文件内容完备，格式规范，封装整齐，满足招标文件要求得2分。未经胶封（如文件夹或订书机等）此项不得分。</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szCs w:val="21"/>
                <w:highlight w:val="none"/>
              </w:rPr>
            </w:pPr>
            <w:r>
              <w:rPr>
                <w:rFonts w:hint="eastAsia" w:ascii="宋体" w:hAnsi="宋体" w:cs="宋体"/>
                <w:bCs/>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9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合计</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100</w:t>
            </w:r>
          </w:p>
        </w:tc>
      </w:tr>
    </w:tbl>
    <w:p>
      <w:pPr>
        <w:spacing w:line="360" w:lineRule="auto"/>
        <w:rPr>
          <w:b/>
          <w:sz w:val="28"/>
          <w:szCs w:val="28"/>
          <w:highlight w:val="none"/>
        </w:rPr>
      </w:pPr>
    </w:p>
    <w:p>
      <w:pPr>
        <w:pStyle w:val="4"/>
        <w:rPr>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keepNext w:val="0"/>
        <w:keepLines w:val="0"/>
        <w:widowControl/>
        <w:suppressLineNumbers w:val="0"/>
        <w:spacing w:before="75" w:beforeAutospacing="0" w:after="75" w:afterAutospacing="0" w:line="555" w:lineRule="atLeast"/>
        <w:ind w:left="0" w:right="0" w:firstLine="555"/>
        <w:jc w:val="left"/>
        <w:rPr>
          <w:rFonts w:hint="eastAsia"/>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hint="eastAsia" w:ascii="黑体" w:hAnsi="黑体" w:eastAsia="黑体"/>
          <w:b/>
          <w:sz w:val="34"/>
          <w:highlight w:val="none"/>
          <w:lang w:val="en-US" w:eastAsia="zh-CN"/>
        </w:rPr>
      </w:pPr>
      <w:r>
        <w:rPr>
          <w:rFonts w:hint="eastAsia" w:ascii="黑体" w:hAnsi="黑体" w:eastAsia="黑体"/>
          <w:b/>
          <w:sz w:val="34"/>
          <w:highlight w:val="none"/>
          <w:lang w:val="en-US" w:eastAsia="zh-CN"/>
        </w:rPr>
        <w:t>南京信息工程大学信息系统安全等级认定备案服务项目</w:t>
      </w:r>
    </w:p>
    <w:p>
      <w:pPr>
        <w:adjustRightInd w:val="0"/>
        <w:snapToGrid w:val="0"/>
        <w:spacing w:beforeLines="50" w:afterLines="50" w:line="360" w:lineRule="auto"/>
        <w:jc w:val="center"/>
        <w:outlineLvl w:val="0"/>
        <w:rPr>
          <w:rFonts w:hint="eastAsia"/>
        </w:rPr>
      </w:pPr>
      <w:r>
        <w:rPr>
          <w:rFonts w:hint="eastAsia" w:ascii="黑体" w:hAnsi="黑体" w:eastAsia="黑体"/>
          <w:b/>
          <w:sz w:val="34"/>
          <w:highlight w:val="none"/>
        </w:rPr>
        <w:t>采购合同</w:t>
      </w:r>
    </w:p>
    <w:p>
      <w:pPr>
        <w:spacing w:line="440" w:lineRule="exact"/>
        <w:jc w:val="center"/>
        <w:rPr>
          <w:rFonts w:eastAsia="微软雅黑"/>
          <w:b/>
          <w:bCs/>
          <w:highlight w:val="none"/>
        </w:rPr>
      </w:pPr>
      <w:r>
        <w:rPr>
          <w:rFonts w:eastAsia="微软雅黑"/>
          <w:b/>
          <w:bCs/>
          <w:highlight w:val="none"/>
        </w:rPr>
        <w:t>（此合同仅作范本</w:t>
      </w:r>
      <w:r>
        <w:rPr>
          <w:rFonts w:hint="eastAsia" w:eastAsia="微软雅黑"/>
          <w:b/>
          <w:bCs/>
          <w:highlight w:val="none"/>
        </w:rPr>
        <w:t>，但不得进行实质性改动。最终文本将根据招标需求、投标承诺进行修改，并以采购人合同审核部门最终审核意见为准。</w:t>
      </w:r>
      <w:r>
        <w:rPr>
          <w:rFonts w:eastAsia="微软雅黑"/>
          <w:b/>
          <w:bCs/>
          <w:highlight w:val="none"/>
        </w:rPr>
        <w:t>）</w:t>
      </w:r>
    </w:p>
    <w:p>
      <w:pPr>
        <w:pStyle w:val="2"/>
      </w:pPr>
    </w:p>
    <w:p>
      <w:pPr>
        <w:ind w:left="2108" w:hanging="2108" w:hangingChars="750"/>
        <w:jc w:val="left"/>
        <w:rPr>
          <w:b/>
          <w:sz w:val="28"/>
          <w:szCs w:val="28"/>
          <w:highlight w:val="none"/>
        </w:rPr>
      </w:pPr>
      <w:r>
        <w:rPr>
          <w:rFonts w:hint="eastAsia"/>
          <w:b/>
          <w:sz w:val="28"/>
          <w:szCs w:val="28"/>
          <w:highlight w:val="none"/>
        </w:rPr>
        <w:t>委托方（甲方）：</w:t>
      </w:r>
    </w:p>
    <w:p>
      <w:pPr>
        <w:ind w:left="2108" w:hanging="2108" w:hangingChars="750"/>
        <w:jc w:val="left"/>
        <w:rPr>
          <w:rFonts w:ascii="宋体" w:hAnsi="宋体"/>
          <w:sz w:val="28"/>
          <w:szCs w:val="28"/>
          <w:highlight w:val="none"/>
        </w:rPr>
      </w:pPr>
      <w:r>
        <w:rPr>
          <w:rFonts w:hint="eastAsia"/>
          <w:b/>
          <w:sz w:val="28"/>
          <w:szCs w:val="28"/>
          <w:highlight w:val="none"/>
        </w:rPr>
        <w:t>受托方（乙方）：</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本合同甲方委托乙方开展南京信息工程大学信息系统安全等级保护测评备案服务，并支付相应的技术服务报酬。双方经过平等协商，在真实、充分地表达各自意愿的基础上，达成如下协议，并由双方共同恪守。</w:t>
      </w:r>
    </w:p>
    <w:p>
      <w:pPr>
        <w:spacing w:line="360" w:lineRule="auto"/>
        <w:rPr>
          <w:rFonts w:ascii="宋体" w:hAnsi="宋体"/>
          <w:b/>
          <w:sz w:val="28"/>
          <w:szCs w:val="28"/>
          <w:highlight w:val="none"/>
        </w:rPr>
      </w:pPr>
      <w:r>
        <w:rPr>
          <w:rFonts w:ascii="宋体" w:hAnsi="宋体"/>
          <w:b/>
          <w:sz w:val="28"/>
          <w:szCs w:val="28"/>
          <w:highlight w:val="none"/>
        </w:rPr>
        <w:t>第一条  根据</w:t>
      </w:r>
      <w:r>
        <w:rPr>
          <w:rFonts w:hint="eastAsia" w:ascii="宋体" w:hAnsi="宋体"/>
          <w:b/>
          <w:sz w:val="28"/>
          <w:szCs w:val="28"/>
          <w:highlight w:val="none"/>
        </w:rPr>
        <w:t>《信息系统安全等级保护定级指南》</w:t>
      </w:r>
      <w:r>
        <w:rPr>
          <w:rFonts w:ascii="宋体" w:hAnsi="宋体"/>
          <w:b/>
          <w:sz w:val="28"/>
          <w:szCs w:val="28"/>
          <w:highlight w:val="none"/>
        </w:rPr>
        <w:t>等有关法律、法规规定，甲方委托乙方进行技术服务的内容如下：</w:t>
      </w:r>
    </w:p>
    <w:p>
      <w:pPr>
        <w:spacing w:line="360" w:lineRule="auto"/>
        <w:ind w:firstLine="560" w:firstLineChars="200"/>
        <w:rPr>
          <w:sz w:val="28"/>
          <w:szCs w:val="28"/>
          <w:highlight w:val="none"/>
        </w:rPr>
      </w:pPr>
      <w:r>
        <w:rPr>
          <w:sz w:val="28"/>
          <w:szCs w:val="28"/>
          <w:highlight w:val="none"/>
        </w:rPr>
        <w:t>1</w:t>
      </w:r>
      <w:r>
        <w:rPr>
          <w:rFonts w:hAnsi="宋体"/>
          <w:sz w:val="28"/>
          <w:szCs w:val="28"/>
          <w:highlight w:val="none"/>
        </w:rPr>
        <w:t>、完</w:t>
      </w:r>
      <w:r>
        <w:rPr>
          <w:rFonts w:hint="eastAsia" w:hAnsi="宋体"/>
          <w:sz w:val="28"/>
          <w:szCs w:val="28"/>
          <w:highlight w:val="none"/>
        </w:rPr>
        <w:t>成***系统的备案报告</w:t>
      </w:r>
      <w:r>
        <w:rPr>
          <w:rFonts w:hAnsi="宋体"/>
          <w:sz w:val="28"/>
          <w:szCs w:val="28"/>
          <w:highlight w:val="none"/>
        </w:rPr>
        <w:t>。</w:t>
      </w:r>
    </w:p>
    <w:p>
      <w:pPr>
        <w:spacing w:line="360" w:lineRule="auto"/>
        <w:ind w:firstLine="560" w:firstLineChars="200"/>
        <w:rPr>
          <w:sz w:val="28"/>
          <w:szCs w:val="28"/>
          <w:highlight w:val="none"/>
        </w:rPr>
      </w:pPr>
      <w:r>
        <w:rPr>
          <w:sz w:val="28"/>
          <w:szCs w:val="28"/>
          <w:highlight w:val="none"/>
        </w:rPr>
        <w:t>2</w:t>
      </w:r>
      <w:r>
        <w:rPr>
          <w:rFonts w:hAnsi="宋体"/>
          <w:sz w:val="28"/>
          <w:szCs w:val="28"/>
          <w:highlight w:val="none"/>
        </w:rPr>
        <w:t>、协助甲方向南京市公安局递交备案报告，并根据修改意见进行修改，最终完成</w:t>
      </w:r>
      <w:r>
        <w:rPr>
          <w:rFonts w:hint="eastAsia" w:hAnsi="宋体"/>
          <w:sz w:val="28"/>
          <w:szCs w:val="28"/>
          <w:highlight w:val="none"/>
        </w:rPr>
        <w:t>***系统的备案工作</w:t>
      </w:r>
      <w:r>
        <w:rPr>
          <w:rFonts w:hAnsi="宋体"/>
          <w:sz w:val="28"/>
          <w:szCs w:val="28"/>
          <w:highlight w:val="none"/>
        </w:rPr>
        <w:t>。</w:t>
      </w:r>
    </w:p>
    <w:p>
      <w:pPr>
        <w:spacing w:line="360" w:lineRule="auto"/>
        <w:rPr>
          <w:b/>
          <w:sz w:val="28"/>
          <w:szCs w:val="28"/>
          <w:highlight w:val="none"/>
        </w:rPr>
      </w:pPr>
      <w:r>
        <w:rPr>
          <w:rFonts w:hAnsi="宋体"/>
          <w:b/>
          <w:sz w:val="28"/>
          <w:szCs w:val="28"/>
          <w:highlight w:val="none"/>
        </w:rPr>
        <w:t>第二条乙方应按下列要求完成技术服务工作</w:t>
      </w:r>
    </w:p>
    <w:p>
      <w:pPr>
        <w:numPr>
          <w:ilvl w:val="0"/>
          <w:numId w:val="1"/>
        </w:numPr>
        <w:spacing w:line="360" w:lineRule="auto"/>
        <w:rPr>
          <w:sz w:val="28"/>
          <w:szCs w:val="28"/>
          <w:highlight w:val="none"/>
        </w:rPr>
      </w:pPr>
      <w:r>
        <w:rPr>
          <w:rFonts w:hAnsi="宋体"/>
          <w:sz w:val="28"/>
          <w:szCs w:val="28"/>
          <w:highlight w:val="none"/>
        </w:rPr>
        <w:t>技术服务交付期限：签订合同且甲方提供资料齐备后</w:t>
      </w:r>
      <w:r>
        <w:rPr>
          <w:rFonts w:hint="eastAsia" w:hAnsi="宋体"/>
          <w:b/>
          <w:sz w:val="28"/>
          <w:szCs w:val="28"/>
          <w:highlight w:val="none"/>
        </w:rPr>
        <w:t>20</w:t>
      </w:r>
      <w:r>
        <w:rPr>
          <w:rFonts w:hAnsi="宋体"/>
          <w:sz w:val="28"/>
          <w:szCs w:val="28"/>
          <w:highlight w:val="none"/>
        </w:rPr>
        <w:t>日</w:t>
      </w:r>
      <w:r>
        <w:rPr>
          <w:rFonts w:hint="eastAsia" w:hAnsi="宋体"/>
          <w:sz w:val="28"/>
          <w:szCs w:val="28"/>
          <w:highlight w:val="none"/>
        </w:rPr>
        <w:t>内完成备案报告的撰写和备案工作</w:t>
      </w:r>
      <w:r>
        <w:rPr>
          <w:rFonts w:hAnsi="宋体"/>
          <w:sz w:val="28"/>
          <w:szCs w:val="28"/>
          <w:highlight w:val="none"/>
        </w:rPr>
        <w:t>；如遇特殊情况（项目变更、工作量变化、不可抗力影响以及非乙方原因造成的停工等）时，工期顺延。</w:t>
      </w:r>
    </w:p>
    <w:p>
      <w:pPr>
        <w:numPr>
          <w:ilvl w:val="0"/>
          <w:numId w:val="1"/>
        </w:numPr>
        <w:spacing w:line="360" w:lineRule="auto"/>
        <w:rPr>
          <w:sz w:val="28"/>
          <w:szCs w:val="28"/>
          <w:highlight w:val="none"/>
        </w:rPr>
      </w:pPr>
      <w:r>
        <w:rPr>
          <w:rFonts w:hAnsi="宋体"/>
          <w:sz w:val="28"/>
          <w:szCs w:val="28"/>
          <w:highlight w:val="none"/>
        </w:rPr>
        <w:t>乙方对甲方提供的技术资料及其他信息保密。</w:t>
      </w:r>
    </w:p>
    <w:p>
      <w:pPr>
        <w:numPr>
          <w:ilvl w:val="0"/>
          <w:numId w:val="1"/>
        </w:numPr>
        <w:spacing w:line="360" w:lineRule="auto"/>
        <w:rPr>
          <w:rFonts w:ascii="宋体" w:hAnsi="宋体"/>
          <w:sz w:val="28"/>
          <w:szCs w:val="28"/>
          <w:highlight w:val="none"/>
        </w:rPr>
      </w:pPr>
      <w:r>
        <w:rPr>
          <w:rFonts w:hAnsi="宋体"/>
          <w:sz w:val="28"/>
          <w:szCs w:val="28"/>
          <w:highlight w:val="none"/>
        </w:rPr>
        <w:t>乙方</w:t>
      </w:r>
      <w:r>
        <w:rPr>
          <w:rFonts w:hint="eastAsia" w:hAnsi="宋体"/>
          <w:sz w:val="28"/>
          <w:szCs w:val="28"/>
          <w:highlight w:val="none"/>
        </w:rPr>
        <w:t>负责</w:t>
      </w:r>
      <w:r>
        <w:rPr>
          <w:rFonts w:hAnsi="宋体"/>
          <w:sz w:val="28"/>
          <w:szCs w:val="28"/>
          <w:highlight w:val="none"/>
        </w:rPr>
        <w:t>提交纸质成果</w:t>
      </w:r>
      <w:r>
        <w:rPr>
          <w:rFonts w:hAnsi="宋体"/>
          <w:b/>
          <w:sz w:val="28"/>
          <w:szCs w:val="28"/>
          <w:highlight w:val="none"/>
          <w:u w:val="single"/>
        </w:rPr>
        <w:t>两</w:t>
      </w:r>
      <w:r>
        <w:rPr>
          <w:rFonts w:hAnsi="宋体"/>
          <w:sz w:val="28"/>
          <w:szCs w:val="28"/>
          <w:highlight w:val="none"/>
        </w:rPr>
        <w:t>份，及相应的电子版本，成果归甲方所有。评估过程中如甲方</w:t>
      </w:r>
      <w:r>
        <w:rPr>
          <w:rFonts w:hint="eastAsia" w:hAnsi="宋体"/>
          <w:sz w:val="28"/>
          <w:szCs w:val="28"/>
          <w:highlight w:val="none"/>
        </w:rPr>
        <w:t>在本项目需求之外</w:t>
      </w:r>
      <w:r>
        <w:rPr>
          <w:rFonts w:hAnsi="宋体"/>
          <w:sz w:val="28"/>
          <w:szCs w:val="28"/>
          <w:highlight w:val="none"/>
        </w:rPr>
        <w:t>要求变更工作量，经双方同意办理书面变更手续后，甲方应按实际发生的工作量支付相应费用。</w:t>
      </w:r>
    </w:p>
    <w:p>
      <w:pPr>
        <w:spacing w:line="360" w:lineRule="auto"/>
        <w:rPr>
          <w:rFonts w:ascii="宋体" w:hAnsi="宋体"/>
          <w:b/>
          <w:sz w:val="28"/>
          <w:szCs w:val="28"/>
          <w:highlight w:val="none"/>
        </w:rPr>
      </w:pPr>
      <w:r>
        <w:rPr>
          <w:rFonts w:ascii="宋体" w:hAnsi="宋体"/>
          <w:b/>
          <w:sz w:val="28"/>
          <w:szCs w:val="28"/>
          <w:highlight w:val="none"/>
        </w:rPr>
        <w:t>第三条  甲方义务</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1、甲方应向乙方准确提供与系统有关的基本情况资料（系统的拓扑结构、系统的网络环境和部署方式等）。</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2、甲方应为乙方现场踏勘提供方便条件，应及时为乙方协调解决现场工作可能出现的问题（如出入许可及其他可能影响工作进行的不利条件）。</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3、负责与业务系统负责部门的协调沟通工作。</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4、甲方提供上述工作协作事项的对接方式：合同签订之日起实施，由甲方委派专人同乙方项目负责人协调落实。</w:t>
      </w:r>
    </w:p>
    <w:p>
      <w:pPr>
        <w:tabs>
          <w:tab w:val="left" w:pos="540"/>
        </w:tabs>
        <w:adjustRightInd w:val="0"/>
        <w:snapToGrid w:val="0"/>
        <w:spacing w:line="360" w:lineRule="auto"/>
        <w:ind w:firstLine="422" w:firstLineChars="150"/>
        <w:rPr>
          <w:b/>
          <w:sz w:val="28"/>
          <w:szCs w:val="28"/>
          <w:highlight w:val="none"/>
        </w:rPr>
      </w:pPr>
      <w:r>
        <w:rPr>
          <w:rFonts w:hAnsi="宋体"/>
          <w:b/>
          <w:sz w:val="28"/>
          <w:szCs w:val="28"/>
          <w:highlight w:val="none"/>
        </w:rPr>
        <w:t>第四条乙方义务</w:t>
      </w:r>
    </w:p>
    <w:p>
      <w:pPr>
        <w:numPr>
          <w:ilvl w:val="0"/>
          <w:numId w:val="2"/>
        </w:numPr>
        <w:spacing w:line="360" w:lineRule="auto"/>
        <w:rPr>
          <w:sz w:val="28"/>
          <w:szCs w:val="28"/>
          <w:highlight w:val="none"/>
        </w:rPr>
      </w:pPr>
      <w:r>
        <w:rPr>
          <w:rFonts w:hAnsi="宋体"/>
          <w:sz w:val="28"/>
          <w:szCs w:val="28"/>
          <w:highlight w:val="none"/>
        </w:rPr>
        <w:t>按照国家有关法律法规、标准规范和合同要求完成各项工作。</w:t>
      </w:r>
    </w:p>
    <w:p>
      <w:pPr>
        <w:numPr>
          <w:ilvl w:val="0"/>
          <w:numId w:val="2"/>
        </w:numPr>
        <w:spacing w:line="360" w:lineRule="auto"/>
        <w:rPr>
          <w:sz w:val="28"/>
          <w:szCs w:val="28"/>
          <w:highlight w:val="none"/>
        </w:rPr>
      </w:pPr>
      <w:r>
        <w:rPr>
          <w:rFonts w:hAnsi="宋体"/>
          <w:sz w:val="28"/>
          <w:szCs w:val="28"/>
          <w:highlight w:val="none"/>
        </w:rPr>
        <w:t>乙方向甲方提交报告成果的资料必须通过</w:t>
      </w:r>
      <w:r>
        <w:rPr>
          <w:rFonts w:hint="eastAsia" w:hAnsi="宋体"/>
          <w:sz w:val="28"/>
          <w:szCs w:val="28"/>
          <w:highlight w:val="none"/>
        </w:rPr>
        <w:t>南京市公安局</w:t>
      </w:r>
      <w:r>
        <w:rPr>
          <w:rFonts w:hAnsi="宋体"/>
          <w:sz w:val="28"/>
          <w:szCs w:val="28"/>
          <w:highlight w:val="none"/>
        </w:rPr>
        <w:t>审核。如未获通过，乙方必须限期进行整改。三次整改未获通过的，甲方有权解除合同。甲方不支付任何费用，且乙方应向甲方支付合同总额30%的违约金。造成甲方损失的，还应承担赔偿责任。</w:t>
      </w:r>
    </w:p>
    <w:p>
      <w:pPr>
        <w:numPr>
          <w:ilvl w:val="0"/>
          <w:numId w:val="2"/>
        </w:numPr>
        <w:spacing w:line="360" w:lineRule="auto"/>
        <w:rPr>
          <w:rFonts w:ascii="宋体" w:hAnsi="宋体"/>
          <w:sz w:val="28"/>
          <w:szCs w:val="28"/>
          <w:highlight w:val="none"/>
        </w:rPr>
      </w:pPr>
      <w:r>
        <w:rPr>
          <w:rFonts w:hAnsi="宋体"/>
          <w:sz w:val="28"/>
          <w:szCs w:val="28"/>
          <w:highlight w:val="none"/>
        </w:rPr>
        <w:t>在未获得甲方书面同意的情况下，乙方不得就本合同的内容及本项目的资料、内容、结论等对外进行任何公开披露或向第三方透露</w:t>
      </w:r>
      <w:r>
        <w:rPr>
          <w:rFonts w:hint="eastAsia" w:ascii="宋体" w:hAnsi="宋体"/>
          <w:sz w:val="28"/>
          <w:szCs w:val="28"/>
          <w:highlight w:val="none"/>
        </w:rPr>
        <w:t>，否则，应向甲方支付合同金额10%的违约金。造成甲方损失的，乙方还应承担赔偿责任。</w:t>
      </w:r>
    </w:p>
    <w:p>
      <w:pPr>
        <w:numPr>
          <w:ilvl w:val="0"/>
          <w:numId w:val="2"/>
        </w:numPr>
        <w:spacing w:line="360" w:lineRule="auto"/>
        <w:rPr>
          <w:sz w:val="28"/>
          <w:szCs w:val="28"/>
          <w:highlight w:val="none"/>
        </w:rPr>
      </w:pPr>
      <w:r>
        <w:rPr>
          <w:rFonts w:hAnsi="宋体"/>
          <w:sz w:val="28"/>
          <w:szCs w:val="28"/>
          <w:highlight w:val="none"/>
        </w:rPr>
        <w:t>由于乙方过失造成甲方损失，乙方应向甲方做出赔偿，累计赔偿金额不超过合同总价。</w:t>
      </w:r>
    </w:p>
    <w:p>
      <w:pPr>
        <w:spacing w:line="360" w:lineRule="auto"/>
        <w:rPr>
          <w:rFonts w:ascii="宋体" w:hAnsi="宋体"/>
          <w:b/>
          <w:sz w:val="28"/>
          <w:szCs w:val="28"/>
          <w:highlight w:val="none"/>
        </w:rPr>
      </w:pPr>
      <w:r>
        <w:rPr>
          <w:rFonts w:hAnsi="宋体"/>
          <w:b/>
          <w:sz w:val="28"/>
          <w:szCs w:val="28"/>
          <w:highlight w:val="none"/>
        </w:rPr>
        <w:t>第五条</w:t>
      </w:r>
      <w:r>
        <w:rPr>
          <w:rFonts w:ascii="宋体" w:hAnsi="宋体"/>
          <w:b/>
          <w:sz w:val="28"/>
          <w:szCs w:val="28"/>
          <w:highlight w:val="none"/>
        </w:rPr>
        <w:t>甲方向乙方支付技术服务报酬及支付方式为：</w:t>
      </w:r>
    </w:p>
    <w:p>
      <w:pPr>
        <w:spacing w:line="360" w:lineRule="auto"/>
        <w:rPr>
          <w:rFonts w:ascii="宋体" w:hAnsi="宋体"/>
          <w:sz w:val="28"/>
          <w:szCs w:val="28"/>
          <w:highlight w:val="none"/>
        </w:rPr>
      </w:pPr>
      <w:r>
        <w:rPr>
          <w:sz w:val="28"/>
          <w:szCs w:val="28"/>
          <w:highlight w:val="none"/>
        </w:rPr>
        <w:tab/>
      </w:r>
      <w:r>
        <w:rPr>
          <w:rFonts w:hint="eastAsia" w:ascii="宋体" w:hAnsi="宋体"/>
          <w:sz w:val="28"/>
          <w:szCs w:val="28"/>
          <w:highlight w:val="none"/>
        </w:rPr>
        <w:t>技术服务报酬总额，大写：</w:t>
      </w:r>
      <w:r>
        <w:rPr>
          <w:rFonts w:ascii="宋体" w:hAnsi="宋体"/>
          <w:b/>
          <w:sz w:val="28"/>
          <w:szCs w:val="28"/>
          <w:highlight w:val="none"/>
          <w:u w:val="single"/>
        </w:rPr>
        <w:t>（含税）</w:t>
      </w:r>
      <w:r>
        <w:rPr>
          <w:rFonts w:hint="eastAsia" w:ascii="宋体" w:hAnsi="宋体"/>
          <w:sz w:val="28"/>
          <w:szCs w:val="28"/>
          <w:highlight w:val="none"/>
        </w:rPr>
        <w:t>。乙方提交的备案报告通过南京市公安局审核，甲方取得相关备案证书后一次性支付全部报酬</w:t>
      </w:r>
      <w:r>
        <w:rPr>
          <w:rFonts w:ascii="宋体" w:hAnsi="宋体"/>
          <w:sz w:val="28"/>
          <w:szCs w:val="28"/>
          <w:highlight w:val="none"/>
        </w:rPr>
        <w:t>。备案报告未通过南京市公安局审核的，甲方不支付服务费用。</w:t>
      </w:r>
    </w:p>
    <w:p>
      <w:pPr>
        <w:spacing w:line="360" w:lineRule="auto"/>
        <w:ind w:firstLine="422" w:firstLineChars="150"/>
        <w:rPr>
          <w:b/>
          <w:sz w:val="28"/>
          <w:szCs w:val="28"/>
          <w:highlight w:val="none"/>
        </w:rPr>
      </w:pPr>
      <w:r>
        <w:rPr>
          <w:rFonts w:hAnsi="宋体"/>
          <w:b/>
          <w:sz w:val="28"/>
          <w:szCs w:val="28"/>
          <w:highlight w:val="none"/>
        </w:rPr>
        <w:t>第六条合同终止</w:t>
      </w:r>
    </w:p>
    <w:p>
      <w:pPr>
        <w:spacing w:line="360" w:lineRule="auto"/>
        <w:ind w:firstLine="560" w:firstLineChars="200"/>
        <w:rPr>
          <w:rFonts w:ascii="宋体" w:hAnsi="宋体"/>
          <w:sz w:val="28"/>
          <w:szCs w:val="28"/>
          <w:highlight w:val="none"/>
        </w:rPr>
      </w:pPr>
      <w:r>
        <w:rPr>
          <w:rFonts w:ascii="宋体" w:hAnsi="宋体"/>
          <w:sz w:val="28"/>
          <w:szCs w:val="28"/>
          <w:highlight w:val="none"/>
        </w:rPr>
        <w:t>如果乙方严重违约，或乙方无力履行合同，甲方有权提出终止合同，乙方应协助甲方完成与终止合同有关的工作。终止合同，</w:t>
      </w:r>
      <w:r>
        <w:rPr>
          <w:rFonts w:hint="eastAsia" w:ascii="宋体" w:hAnsi="宋体"/>
          <w:sz w:val="28"/>
          <w:szCs w:val="28"/>
          <w:highlight w:val="none"/>
        </w:rPr>
        <w:t>乙方支付甲方合同总价2</w:t>
      </w:r>
      <w:r>
        <w:rPr>
          <w:rFonts w:ascii="宋体" w:hAnsi="宋体"/>
          <w:sz w:val="28"/>
          <w:szCs w:val="28"/>
          <w:highlight w:val="none"/>
        </w:rPr>
        <w:t>0%</w:t>
      </w:r>
      <w:r>
        <w:rPr>
          <w:rFonts w:hint="eastAsia" w:ascii="宋体" w:hAnsi="宋体"/>
          <w:sz w:val="28"/>
          <w:szCs w:val="28"/>
          <w:highlight w:val="none"/>
        </w:rPr>
        <w:t>的违约金，造成甲方损失的，乙方应当承担赔偿责任。</w:t>
      </w:r>
    </w:p>
    <w:p>
      <w:pPr>
        <w:spacing w:line="360" w:lineRule="auto"/>
        <w:rPr>
          <w:b/>
          <w:sz w:val="28"/>
          <w:szCs w:val="28"/>
          <w:highlight w:val="none"/>
        </w:rPr>
      </w:pPr>
      <w:r>
        <w:rPr>
          <w:rFonts w:hAnsi="宋体"/>
          <w:b/>
          <w:sz w:val="28"/>
          <w:szCs w:val="28"/>
          <w:highlight w:val="none"/>
        </w:rPr>
        <w:t>第七条争议解决</w:t>
      </w:r>
    </w:p>
    <w:p>
      <w:pPr>
        <w:spacing w:line="360" w:lineRule="auto"/>
        <w:ind w:firstLine="137" w:firstLineChars="49"/>
        <w:rPr>
          <w:sz w:val="28"/>
          <w:szCs w:val="28"/>
          <w:highlight w:val="none"/>
        </w:rPr>
      </w:pPr>
      <w:r>
        <w:rPr>
          <w:sz w:val="28"/>
          <w:szCs w:val="28"/>
          <w:highlight w:val="none"/>
        </w:rPr>
        <w:tab/>
      </w:r>
      <w:r>
        <w:rPr>
          <w:rFonts w:hAnsi="宋体"/>
          <w:sz w:val="28"/>
          <w:szCs w:val="28"/>
          <w:highlight w:val="none"/>
        </w:rPr>
        <w:t>双方应对合同履行过程中所发生的争议首先通过友好协商解决。经双方协商不能解决时，合同任何一方可将争议提交</w:t>
      </w:r>
      <w:r>
        <w:rPr>
          <w:rFonts w:hint="eastAsia" w:hAnsi="宋体"/>
          <w:sz w:val="28"/>
          <w:szCs w:val="28"/>
          <w:highlight w:val="none"/>
        </w:rPr>
        <w:t>项目所在地</w:t>
      </w:r>
      <w:r>
        <w:rPr>
          <w:rFonts w:hAnsi="宋体"/>
          <w:sz w:val="28"/>
          <w:szCs w:val="28"/>
          <w:highlight w:val="none"/>
        </w:rPr>
        <w:t>人民法院申请诉讼。在争议解决期间，除涉及争议的有关事项外，双方应继续履行合同的其他条款。</w:t>
      </w:r>
    </w:p>
    <w:p>
      <w:pPr>
        <w:spacing w:line="360" w:lineRule="auto"/>
        <w:rPr>
          <w:b/>
          <w:sz w:val="28"/>
          <w:szCs w:val="28"/>
          <w:highlight w:val="none"/>
        </w:rPr>
      </w:pPr>
      <w:r>
        <w:rPr>
          <w:rFonts w:hAnsi="宋体"/>
          <w:b/>
          <w:sz w:val="28"/>
          <w:szCs w:val="28"/>
          <w:highlight w:val="none"/>
        </w:rPr>
        <w:t>第八条合同生效及其他</w:t>
      </w:r>
    </w:p>
    <w:p>
      <w:pPr>
        <w:numPr>
          <w:ilvl w:val="0"/>
          <w:numId w:val="3"/>
        </w:numPr>
        <w:spacing w:line="360" w:lineRule="auto"/>
        <w:rPr>
          <w:sz w:val="28"/>
          <w:szCs w:val="28"/>
          <w:highlight w:val="none"/>
        </w:rPr>
      </w:pPr>
      <w:r>
        <w:rPr>
          <w:rFonts w:hint="eastAsia" w:hAnsi="宋体"/>
          <w:sz w:val="28"/>
          <w:szCs w:val="28"/>
          <w:highlight w:val="none"/>
        </w:rPr>
        <w:t>未尽事宜，双方协商解决。</w:t>
      </w:r>
    </w:p>
    <w:p>
      <w:pPr>
        <w:numPr>
          <w:ilvl w:val="0"/>
          <w:numId w:val="3"/>
        </w:numPr>
        <w:spacing w:line="360" w:lineRule="auto"/>
        <w:rPr>
          <w:sz w:val="28"/>
          <w:szCs w:val="28"/>
          <w:highlight w:val="none"/>
        </w:rPr>
      </w:pPr>
      <w:r>
        <w:rPr>
          <w:rFonts w:hAnsi="宋体"/>
          <w:sz w:val="28"/>
          <w:szCs w:val="28"/>
          <w:highlight w:val="none"/>
        </w:rPr>
        <w:t>本合同自双方签字盖章之日起生效</w:t>
      </w:r>
      <w:r>
        <w:rPr>
          <w:rFonts w:hint="eastAsia" w:hAnsi="宋体"/>
          <w:sz w:val="28"/>
          <w:szCs w:val="28"/>
          <w:highlight w:val="none"/>
        </w:rPr>
        <w:t>。</w:t>
      </w:r>
    </w:p>
    <w:p>
      <w:pPr>
        <w:numPr>
          <w:ilvl w:val="0"/>
          <w:numId w:val="3"/>
        </w:numPr>
        <w:spacing w:line="360" w:lineRule="auto"/>
        <w:rPr>
          <w:sz w:val="28"/>
          <w:szCs w:val="28"/>
          <w:highlight w:val="none"/>
        </w:rPr>
      </w:pPr>
      <w:r>
        <w:rPr>
          <w:rFonts w:hAnsi="宋体"/>
          <w:sz w:val="28"/>
          <w:szCs w:val="28"/>
          <w:highlight w:val="none"/>
        </w:rPr>
        <w:t>本合同一式</w:t>
      </w:r>
      <w:r>
        <w:rPr>
          <w:rFonts w:hint="eastAsia" w:hAnsi="宋体"/>
          <w:sz w:val="28"/>
          <w:szCs w:val="28"/>
          <w:highlight w:val="none"/>
        </w:rPr>
        <w:t>肆</w:t>
      </w:r>
      <w:r>
        <w:rPr>
          <w:rFonts w:hAnsi="宋体"/>
          <w:sz w:val="28"/>
          <w:szCs w:val="28"/>
          <w:highlight w:val="none"/>
        </w:rPr>
        <w:t>份，甲方执</w:t>
      </w:r>
      <w:r>
        <w:rPr>
          <w:rFonts w:hint="eastAsia" w:hAnsi="宋体"/>
          <w:sz w:val="28"/>
          <w:szCs w:val="28"/>
          <w:highlight w:val="none"/>
        </w:rPr>
        <w:t>叁</w:t>
      </w:r>
      <w:r>
        <w:rPr>
          <w:rFonts w:hAnsi="宋体"/>
          <w:sz w:val="28"/>
          <w:szCs w:val="28"/>
          <w:highlight w:val="none"/>
        </w:rPr>
        <w:t>份，乙方执壹份，具有同等法律效力。</w:t>
      </w:r>
    </w:p>
    <w:p>
      <w:pPr>
        <w:numPr>
          <w:ilvl w:val="0"/>
          <w:numId w:val="3"/>
        </w:numPr>
        <w:spacing w:line="360" w:lineRule="auto"/>
        <w:rPr>
          <w:sz w:val="28"/>
          <w:szCs w:val="28"/>
          <w:highlight w:val="none"/>
        </w:rPr>
      </w:pPr>
      <w:r>
        <w:rPr>
          <w:rFonts w:hint="eastAsia" w:hAnsi="宋体"/>
          <w:sz w:val="28"/>
          <w:szCs w:val="28"/>
          <w:highlight w:val="none"/>
        </w:rPr>
        <w:t>招标文件、投标文件、补充条款等均为本合同有效组成部分。</w:t>
      </w:r>
    </w:p>
    <w:p>
      <w:pPr>
        <w:spacing w:line="360" w:lineRule="auto"/>
        <w:ind w:left="902"/>
        <w:rPr>
          <w:rFonts w:hAnsi="宋体"/>
          <w:sz w:val="28"/>
          <w:szCs w:val="28"/>
          <w:highlight w:val="none"/>
        </w:rPr>
      </w:pPr>
      <w:r>
        <w:rPr>
          <w:rFonts w:hint="eastAsia" w:hAnsi="宋体"/>
          <w:sz w:val="28"/>
          <w:szCs w:val="28"/>
          <w:highlight w:val="none"/>
        </w:rPr>
        <w:t>(以下无正文，为本合同签署页)</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甲方：南京信息工程大学</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税号：12320000466006762K</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地址：南京市宁六路219号</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电话：025-58731440</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开户行：中国农业银行股份有限公司南京市盘城支行</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银行帐号：10115401040000228</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rPr>
        <w:tab/>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地址：</w:t>
      </w:r>
    </w:p>
    <w:p>
      <w:pPr>
        <w:spacing w:line="480" w:lineRule="auto"/>
        <w:ind w:firstLine="840" w:firstLineChars="300"/>
        <w:rPr>
          <w:rFonts w:ascii="宋体" w:hAnsi="宋体"/>
          <w:sz w:val="28"/>
          <w:szCs w:val="28"/>
          <w:highlight w:val="none"/>
        </w:rPr>
      </w:pPr>
      <w:r>
        <w:rPr>
          <w:rFonts w:ascii="宋体" w:hAnsi="宋体"/>
          <w:sz w:val="28"/>
          <w:szCs w:val="28"/>
          <w:highlight w:val="none"/>
        </w:rPr>
        <w:t xml:space="preserve"> 电话：</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开户行：</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银行帐号：</w:t>
      </w:r>
    </w:p>
    <w:p>
      <w:pPr>
        <w:pStyle w:val="10"/>
        <w:adjustRightInd w:val="0"/>
        <w:snapToGrid w:val="0"/>
        <w:spacing w:before="120" w:after="120" w:line="360" w:lineRule="auto"/>
        <w:ind w:firstLine="767"/>
        <w:rPr>
          <w:rFonts w:cs="仿宋"/>
          <w:sz w:val="24"/>
          <w:highlight w:val="none"/>
        </w:rPr>
      </w:pPr>
      <w:r>
        <w:rPr>
          <w:rFonts w:hint="eastAsia" w:hAnsi="宋体"/>
          <w:sz w:val="28"/>
          <w:szCs w:val="28"/>
          <w:highlight w:val="none"/>
        </w:rPr>
        <w:t>签署日期：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800C2"/>
    <w:multiLevelType w:val="multilevel"/>
    <w:tmpl w:val="125800C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47635A86"/>
    <w:multiLevelType w:val="multilevel"/>
    <w:tmpl w:val="47635A86"/>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2">
    <w:nsid w:val="74AB1E0D"/>
    <w:multiLevelType w:val="multilevel"/>
    <w:tmpl w:val="74AB1E0D"/>
    <w:lvl w:ilvl="0" w:tentative="0">
      <w:start w:val="1"/>
      <w:numFmt w:val="decimal"/>
      <w:lvlText w:val="%1、"/>
      <w:lvlJc w:val="left"/>
      <w:pPr>
        <w:ind w:left="902" w:hanging="363"/>
      </w:pPr>
      <w:rPr>
        <w:rFonts w:hint="default"/>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469"/>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B74"/>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7FD1"/>
    <w:rsid w:val="00270488"/>
    <w:rsid w:val="00271C38"/>
    <w:rsid w:val="00281343"/>
    <w:rsid w:val="0028272C"/>
    <w:rsid w:val="002832EA"/>
    <w:rsid w:val="002838CB"/>
    <w:rsid w:val="00283C8F"/>
    <w:rsid w:val="002854D6"/>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0EF0"/>
    <w:rsid w:val="00371A15"/>
    <w:rsid w:val="00372A01"/>
    <w:rsid w:val="00372D67"/>
    <w:rsid w:val="00373E38"/>
    <w:rsid w:val="003746B8"/>
    <w:rsid w:val="00376287"/>
    <w:rsid w:val="00377164"/>
    <w:rsid w:val="0038270C"/>
    <w:rsid w:val="0038309B"/>
    <w:rsid w:val="00383BCB"/>
    <w:rsid w:val="00384882"/>
    <w:rsid w:val="003849F5"/>
    <w:rsid w:val="00387358"/>
    <w:rsid w:val="00387B63"/>
    <w:rsid w:val="00392441"/>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48F"/>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2E79"/>
    <w:rsid w:val="00463313"/>
    <w:rsid w:val="00463944"/>
    <w:rsid w:val="00464599"/>
    <w:rsid w:val="00464EB3"/>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1826"/>
    <w:rsid w:val="005E4524"/>
    <w:rsid w:val="005E576B"/>
    <w:rsid w:val="005E5CD4"/>
    <w:rsid w:val="005E7AEF"/>
    <w:rsid w:val="005F0057"/>
    <w:rsid w:val="005F31EF"/>
    <w:rsid w:val="005F32F2"/>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36F"/>
    <w:rsid w:val="00666762"/>
    <w:rsid w:val="00667840"/>
    <w:rsid w:val="00670DA9"/>
    <w:rsid w:val="006712CE"/>
    <w:rsid w:val="006721F1"/>
    <w:rsid w:val="00672B76"/>
    <w:rsid w:val="00674154"/>
    <w:rsid w:val="006744F7"/>
    <w:rsid w:val="0067581D"/>
    <w:rsid w:val="00681529"/>
    <w:rsid w:val="006817D5"/>
    <w:rsid w:val="006818DB"/>
    <w:rsid w:val="0068228D"/>
    <w:rsid w:val="006831B6"/>
    <w:rsid w:val="00683CA6"/>
    <w:rsid w:val="00683F59"/>
    <w:rsid w:val="00684A9B"/>
    <w:rsid w:val="00690864"/>
    <w:rsid w:val="00690B98"/>
    <w:rsid w:val="00691A38"/>
    <w:rsid w:val="00692825"/>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080"/>
    <w:rsid w:val="0071116F"/>
    <w:rsid w:val="00711489"/>
    <w:rsid w:val="00711E10"/>
    <w:rsid w:val="00712BFA"/>
    <w:rsid w:val="00712F7B"/>
    <w:rsid w:val="00713140"/>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44C"/>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28"/>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256D"/>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2D5"/>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291C"/>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4B9"/>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486"/>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CCA"/>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878E4"/>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DF798A"/>
    <w:rsid w:val="00E00B59"/>
    <w:rsid w:val="00E01E62"/>
    <w:rsid w:val="00E029A1"/>
    <w:rsid w:val="00E02D97"/>
    <w:rsid w:val="00E0362D"/>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833"/>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E63300"/>
    <w:rsid w:val="03791753"/>
    <w:rsid w:val="05B517B2"/>
    <w:rsid w:val="0666393D"/>
    <w:rsid w:val="078D73D6"/>
    <w:rsid w:val="07D33D16"/>
    <w:rsid w:val="09637941"/>
    <w:rsid w:val="0ABD080F"/>
    <w:rsid w:val="0B675B31"/>
    <w:rsid w:val="0BDF51D7"/>
    <w:rsid w:val="0C3615C8"/>
    <w:rsid w:val="0C4861BD"/>
    <w:rsid w:val="0C7E7AA1"/>
    <w:rsid w:val="0CFE3A2E"/>
    <w:rsid w:val="0D873213"/>
    <w:rsid w:val="0D9425DE"/>
    <w:rsid w:val="0D99361C"/>
    <w:rsid w:val="0F533C3C"/>
    <w:rsid w:val="0FD2175C"/>
    <w:rsid w:val="107D340A"/>
    <w:rsid w:val="10EB4170"/>
    <w:rsid w:val="10F05838"/>
    <w:rsid w:val="10FA0304"/>
    <w:rsid w:val="113C24CA"/>
    <w:rsid w:val="119D0D41"/>
    <w:rsid w:val="11D57EAE"/>
    <w:rsid w:val="12050067"/>
    <w:rsid w:val="12162C3B"/>
    <w:rsid w:val="124A70DD"/>
    <w:rsid w:val="130F1D58"/>
    <w:rsid w:val="146723C1"/>
    <w:rsid w:val="14896182"/>
    <w:rsid w:val="155010AB"/>
    <w:rsid w:val="15572C10"/>
    <w:rsid w:val="15737A45"/>
    <w:rsid w:val="1584594C"/>
    <w:rsid w:val="15907301"/>
    <w:rsid w:val="15A069B5"/>
    <w:rsid w:val="15A90346"/>
    <w:rsid w:val="15B24E31"/>
    <w:rsid w:val="16AA09BD"/>
    <w:rsid w:val="17652C65"/>
    <w:rsid w:val="17833DE3"/>
    <w:rsid w:val="195E16BF"/>
    <w:rsid w:val="19775424"/>
    <w:rsid w:val="1A241EC0"/>
    <w:rsid w:val="1A6702D4"/>
    <w:rsid w:val="1AE96A89"/>
    <w:rsid w:val="1B455918"/>
    <w:rsid w:val="1C121D57"/>
    <w:rsid w:val="1C4A137C"/>
    <w:rsid w:val="1C8F1DE9"/>
    <w:rsid w:val="1DA871CA"/>
    <w:rsid w:val="1EEE6678"/>
    <w:rsid w:val="1F11313D"/>
    <w:rsid w:val="1F956998"/>
    <w:rsid w:val="20DC5C02"/>
    <w:rsid w:val="20DE7ECC"/>
    <w:rsid w:val="20FE711F"/>
    <w:rsid w:val="21A70E96"/>
    <w:rsid w:val="225E4DAF"/>
    <w:rsid w:val="22891E2D"/>
    <w:rsid w:val="22A743B8"/>
    <w:rsid w:val="22D33607"/>
    <w:rsid w:val="23FD2509"/>
    <w:rsid w:val="243943F8"/>
    <w:rsid w:val="24E05430"/>
    <w:rsid w:val="267A7579"/>
    <w:rsid w:val="26EB0D68"/>
    <w:rsid w:val="272231F7"/>
    <w:rsid w:val="27961F1E"/>
    <w:rsid w:val="27AD7C03"/>
    <w:rsid w:val="28AF54B9"/>
    <w:rsid w:val="28C46277"/>
    <w:rsid w:val="29062B05"/>
    <w:rsid w:val="29127A38"/>
    <w:rsid w:val="2A1640AA"/>
    <w:rsid w:val="2AAA7342"/>
    <w:rsid w:val="2AB43BC5"/>
    <w:rsid w:val="2AEF5917"/>
    <w:rsid w:val="2B556F15"/>
    <w:rsid w:val="2B7F4BC3"/>
    <w:rsid w:val="2BC67CA0"/>
    <w:rsid w:val="2BF808D8"/>
    <w:rsid w:val="2CE81BAF"/>
    <w:rsid w:val="2DAC05D8"/>
    <w:rsid w:val="2DE728EA"/>
    <w:rsid w:val="2E726843"/>
    <w:rsid w:val="2EDC02FF"/>
    <w:rsid w:val="2EE87C86"/>
    <w:rsid w:val="2EEC5388"/>
    <w:rsid w:val="3160503C"/>
    <w:rsid w:val="3172033E"/>
    <w:rsid w:val="3227588C"/>
    <w:rsid w:val="32295044"/>
    <w:rsid w:val="325F6558"/>
    <w:rsid w:val="331653E5"/>
    <w:rsid w:val="341C30A3"/>
    <w:rsid w:val="34BF0E0C"/>
    <w:rsid w:val="351529A9"/>
    <w:rsid w:val="355A74E9"/>
    <w:rsid w:val="35FD1F7A"/>
    <w:rsid w:val="36616918"/>
    <w:rsid w:val="366D672C"/>
    <w:rsid w:val="36E27034"/>
    <w:rsid w:val="36E3150F"/>
    <w:rsid w:val="3836614A"/>
    <w:rsid w:val="384A4707"/>
    <w:rsid w:val="385D644E"/>
    <w:rsid w:val="38F33167"/>
    <w:rsid w:val="39C83C69"/>
    <w:rsid w:val="39CE5E1D"/>
    <w:rsid w:val="3A9701E9"/>
    <w:rsid w:val="3B3222CB"/>
    <w:rsid w:val="3B4244C5"/>
    <w:rsid w:val="3C003247"/>
    <w:rsid w:val="3C8E6F2D"/>
    <w:rsid w:val="3CD46C0C"/>
    <w:rsid w:val="3D462C5C"/>
    <w:rsid w:val="3D6145DC"/>
    <w:rsid w:val="3D8C3C51"/>
    <w:rsid w:val="3E5E0082"/>
    <w:rsid w:val="3EDB4EA4"/>
    <w:rsid w:val="3F9F3463"/>
    <w:rsid w:val="3FC31914"/>
    <w:rsid w:val="404B5C4A"/>
    <w:rsid w:val="405D6728"/>
    <w:rsid w:val="40FD6FDA"/>
    <w:rsid w:val="41110191"/>
    <w:rsid w:val="414A37BB"/>
    <w:rsid w:val="4152069B"/>
    <w:rsid w:val="41B45A04"/>
    <w:rsid w:val="42643A73"/>
    <w:rsid w:val="42AA1012"/>
    <w:rsid w:val="43162980"/>
    <w:rsid w:val="43FB66E3"/>
    <w:rsid w:val="44DC7F4B"/>
    <w:rsid w:val="45651876"/>
    <w:rsid w:val="4588468D"/>
    <w:rsid w:val="466F6CEB"/>
    <w:rsid w:val="46AA377D"/>
    <w:rsid w:val="46FD18E3"/>
    <w:rsid w:val="481553CE"/>
    <w:rsid w:val="49363676"/>
    <w:rsid w:val="49713AA7"/>
    <w:rsid w:val="499A2688"/>
    <w:rsid w:val="49D47D5A"/>
    <w:rsid w:val="49F62026"/>
    <w:rsid w:val="4A4B48E3"/>
    <w:rsid w:val="4B1A7369"/>
    <w:rsid w:val="4B5137BF"/>
    <w:rsid w:val="4C365A00"/>
    <w:rsid w:val="4D774E55"/>
    <w:rsid w:val="4DA86B45"/>
    <w:rsid w:val="4E0568AD"/>
    <w:rsid w:val="4E3720DD"/>
    <w:rsid w:val="4F510F39"/>
    <w:rsid w:val="4FAF38AA"/>
    <w:rsid w:val="51497070"/>
    <w:rsid w:val="51E025FE"/>
    <w:rsid w:val="52FD675A"/>
    <w:rsid w:val="532B7AD5"/>
    <w:rsid w:val="535E31AE"/>
    <w:rsid w:val="53D80FA7"/>
    <w:rsid w:val="540D674C"/>
    <w:rsid w:val="542D758B"/>
    <w:rsid w:val="5448002A"/>
    <w:rsid w:val="5473349C"/>
    <w:rsid w:val="54A3797A"/>
    <w:rsid w:val="54B6223B"/>
    <w:rsid w:val="54E15A0F"/>
    <w:rsid w:val="55344B23"/>
    <w:rsid w:val="561225E1"/>
    <w:rsid w:val="561510AB"/>
    <w:rsid w:val="56614D70"/>
    <w:rsid w:val="56732DC5"/>
    <w:rsid w:val="56C21B98"/>
    <w:rsid w:val="57360F05"/>
    <w:rsid w:val="581F495D"/>
    <w:rsid w:val="58484116"/>
    <w:rsid w:val="58DA78C0"/>
    <w:rsid w:val="58E017CC"/>
    <w:rsid w:val="5A770570"/>
    <w:rsid w:val="5AC859BF"/>
    <w:rsid w:val="5B4C17F1"/>
    <w:rsid w:val="5C0F2072"/>
    <w:rsid w:val="5CFC1D50"/>
    <w:rsid w:val="5DB20C5F"/>
    <w:rsid w:val="5DE51E64"/>
    <w:rsid w:val="5E6C25B6"/>
    <w:rsid w:val="5E84123F"/>
    <w:rsid w:val="5F0028BB"/>
    <w:rsid w:val="5F192F04"/>
    <w:rsid w:val="5F2528F6"/>
    <w:rsid w:val="5F9764C2"/>
    <w:rsid w:val="603300A7"/>
    <w:rsid w:val="607E0927"/>
    <w:rsid w:val="60D968DA"/>
    <w:rsid w:val="60F41422"/>
    <w:rsid w:val="619D5BCC"/>
    <w:rsid w:val="6233128F"/>
    <w:rsid w:val="62635DDC"/>
    <w:rsid w:val="62FE3555"/>
    <w:rsid w:val="63D7368B"/>
    <w:rsid w:val="643F2CF9"/>
    <w:rsid w:val="657A0549"/>
    <w:rsid w:val="665A104A"/>
    <w:rsid w:val="66ED444E"/>
    <w:rsid w:val="67484273"/>
    <w:rsid w:val="68A603CF"/>
    <w:rsid w:val="69E27B06"/>
    <w:rsid w:val="69EA623B"/>
    <w:rsid w:val="6A0F3694"/>
    <w:rsid w:val="6A5445FC"/>
    <w:rsid w:val="6A5C1E75"/>
    <w:rsid w:val="6AB76CFB"/>
    <w:rsid w:val="6ABA08C1"/>
    <w:rsid w:val="6BC1702A"/>
    <w:rsid w:val="6C282248"/>
    <w:rsid w:val="6CBD55AC"/>
    <w:rsid w:val="6DE636A7"/>
    <w:rsid w:val="6DE86594"/>
    <w:rsid w:val="6E5C2511"/>
    <w:rsid w:val="725831A5"/>
    <w:rsid w:val="73607DE9"/>
    <w:rsid w:val="73711235"/>
    <w:rsid w:val="753E278B"/>
    <w:rsid w:val="75BE6EB5"/>
    <w:rsid w:val="7815375E"/>
    <w:rsid w:val="781D76EB"/>
    <w:rsid w:val="790D6252"/>
    <w:rsid w:val="79EE1472"/>
    <w:rsid w:val="7AA716F4"/>
    <w:rsid w:val="7AE40810"/>
    <w:rsid w:val="7B0749C7"/>
    <w:rsid w:val="7BBB6C68"/>
    <w:rsid w:val="7C574749"/>
    <w:rsid w:val="7C8E2CF6"/>
    <w:rsid w:val="7C967B8B"/>
    <w:rsid w:val="7CD015B7"/>
    <w:rsid w:val="7D0F70B9"/>
    <w:rsid w:val="7E4931C0"/>
    <w:rsid w:val="7E7248EE"/>
    <w:rsid w:val="7EEF6C2A"/>
    <w:rsid w:val="7F074C20"/>
    <w:rsid w:val="7F363A3A"/>
    <w:rsid w:val="7F67131F"/>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locked/>
    <w:uiPriority w:val="99"/>
    <w:rPr>
      <w:color w:val="4D7AD8"/>
      <w:sz w:val="18"/>
      <w:szCs w:val="18"/>
      <w:u w:val="none"/>
    </w:rPr>
  </w:style>
  <w:style w:type="character" w:styleId="23">
    <w:name w:val="HTML Definition"/>
    <w:basedOn w:val="19"/>
    <w:semiHidden/>
    <w:unhideWhenUsed/>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locked/>
    <w:uiPriority w:val="99"/>
    <w:rPr>
      <w:rFonts w:ascii="Consolas" w:hAnsi="Consolas" w:eastAsia="Consolas" w:cs="Consolas"/>
      <w:color w:val="666666"/>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locked/>
    <w:uiPriority w:val="99"/>
    <w:rPr>
      <w:rFonts w:hint="default" w:ascii="Consolas" w:hAnsi="Consolas" w:eastAsia="Consolas" w:cs="Consolas"/>
      <w:sz w:val="21"/>
      <w:szCs w:val="21"/>
    </w:rPr>
  </w:style>
  <w:style w:type="character" w:styleId="28">
    <w:name w:val="HTML Sample"/>
    <w:basedOn w:val="19"/>
    <w:semiHidden/>
    <w:unhideWhenUsed/>
    <w:locked/>
    <w:uiPriority w:val="99"/>
    <w:rPr>
      <w:rFonts w:hint="default" w:ascii="Consolas" w:hAnsi="Consolas" w:eastAsia="Consolas" w:cs="Consolas"/>
      <w:sz w:val="21"/>
      <w:szCs w:val="21"/>
    </w:rPr>
  </w:style>
  <w:style w:type="character" w:customStyle="1" w:styleId="29">
    <w:name w:val="标题 1 Char"/>
    <w:link w:val="3"/>
    <w:qFormat/>
    <w:locked/>
    <w:uiPriority w:val="99"/>
    <w:rPr>
      <w:rFonts w:cs="Times New Roman"/>
      <w:b/>
      <w:kern w:val="44"/>
      <w:sz w:val="44"/>
    </w:rPr>
  </w:style>
  <w:style w:type="character" w:customStyle="1" w:styleId="30">
    <w:name w:val="批注文字 Char"/>
    <w:link w:val="5"/>
    <w:qFormat/>
    <w:locked/>
    <w:uiPriority w:val="99"/>
    <w:rPr>
      <w:rFonts w:cs="Times New Roman"/>
      <w:kern w:val="2"/>
      <w:sz w:val="24"/>
    </w:rPr>
  </w:style>
  <w:style w:type="character" w:customStyle="1" w:styleId="31">
    <w:name w:val="正文文本缩进 Char"/>
    <w:link w:val="7"/>
    <w:qFormat/>
    <w:locked/>
    <w:uiPriority w:val="99"/>
    <w:rPr>
      <w:rFonts w:ascii="等线" w:eastAsia="等线" w:cs="Times New Roman"/>
      <w:kern w:val="2"/>
      <w:sz w:val="22"/>
    </w:rPr>
  </w:style>
  <w:style w:type="character" w:customStyle="1" w:styleId="32">
    <w:name w:val="纯文本 Char"/>
    <w:link w:val="10"/>
    <w:qFormat/>
    <w:locked/>
    <w:uiPriority w:val="0"/>
    <w:rPr>
      <w:rFonts w:ascii="宋体" w:hAnsi="Courier New" w:cs="Times New Roman"/>
      <w:kern w:val="2"/>
      <w:sz w:val="21"/>
    </w:rPr>
  </w:style>
  <w:style w:type="character" w:customStyle="1" w:styleId="33">
    <w:name w:val="日期 Char"/>
    <w:link w:val="11"/>
    <w:qFormat/>
    <w:locked/>
    <w:uiPriority w:val="99"/>
    <w:rPr>
      <w:rFonts w:cs="Times New Roman"/>
      <w:kern w:val="2"/>
      <w:sz w:val="24"/>
    </w:rPr>
  </w:style>
  <w:style w:type="character" w:customStyle="1" w:styleId="34">
    <w:name w:val="批注框文本 Char"/>
    <w:link w:val="12"/>
    <w:semiHidden/>
    <w:qFormat/>
    <w:locked/>
    <w:uiPriority w:val="99"/>
    <w:rPr>
      <w:rFonts w:cs="Times New Roman"/>
      <w:sz w:val="2"/>
    </w:rPr>
  </w:style>
  <w:style w:type="character" w:customStyle="1" w:styleId="35">
    <w:name w:val="页脚 Char"/>
    <w:link w:val="13"/>
    <w:semiHidden/>
    <w:qFormat/>
    <w:locked/>
    <w:uiPriority w:val="99"/>
    <w:rPr>
      <w:rFonts w:cs="Times New Roman"/>
      <w:sz w:val="18"/>
      <w:szCs w:val="18"/>
    </w:rPr>
  </w:style>
  <w:style w:type="character" w:customStyle="1" w:styleId="36">
    <w:name w:val="页眉 Char"/>
    <w:link w:val="14"/>
    <w:qFormat/>
    <w:locked/>
    <w:uiPriority w:val="99"/>
    <w:rPr>
      <w:rFonts w:cs="Times New Roman"/>
      <w:kern w:val="2"/>
      <w:sz w:val="18"/>
    </w:rPr>
  </w:style>
  <w:style w:type="character" w:customStyle="1" w:styleId="37">
    <w:name w:val="批注主题 Char"/>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Char"/>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Char"/>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8">
    <w:name w:val="首行缩进"/>
    <w:basedOn w:val="1"/>
    <w:qFormat/>
    <w:uiPriority w:val="99"/>
    <w:pPr>
      <w:spacing w:line="360" w:lineRule="auto"/>
      <w:ind w:firstLine="480" w:firstLineChars="200"/>
      <w:jc w:val="left"/>
    </w:pPr>
    <w:rPr>
      <w:rFonts w:ascii="宋体" w:hAnsi="宋体" w:eastAsia="Calibri"/>
      <w:kern w:val="0"/>
      <w:sz w:val="24"/>
      <w:lang w:eastAsia="en-US"/>
    </w:rPr>
  </w:style>
  <w:style w:type="character" w:customStyle="1" w:styleId="59">
    <w:name w:val="button"/>
    <w:basedOn w:val="19"/>
    <w:qFormat/>
    <w:uiPriority w:val="0"/>
  </w:style>
  <w:style w:type="character" w:customStyle="1" w:styleId="60">
    <w:name w:val="button1"/>
    <w:basedOn w:val="19"/>
    <w:qFormat/>
    <w:uiPriority w:val="0"/>
  </w:style>
  <w:style w:type="character" w:customStyle="1" w:styleId="61">
    <w:name w:val="current-node"/>
    <w:basedOn w:val="19"/>
    <w:qFormat/>
    <w:uiPriority w:val="0"/>
    <w:rPr>
      <w:bdr w:val="single" w:color="F5B87B" w:sz="6" w:space="0"/>
      <w:shd w:val="clear" w:fill="FFE8CC"/>
    </w:rPr>
  </w:style>
  <w:style w:type="character" w:customStyle="1" w:styleId="62">
    <w:name w:val="ant-select-tree-checkbox"/>
    <w:basedOn w:val="19"/>
    <w:qFormat/>
    <w:uiPriority w:val="0"/>
  </w:style>
  <w:style w:type="character" w:customStyle="1" w:styleId="63">
    <w:name w:val="ant-select-tree-iconele"/>
    <w:basedOn w:val="19"/>
    <w:qFormat/>
    <w:uiPriority w:val="0"/>
  </w:style>
  <w:style w:type="character" w:customStyle="1" w:styleId="64">
    <w:name w:val="ant-select-tree-switcher"/>
    <w:basedOn w:val="19"/>
    <w:qFormat/>
    <w:uiPriority w:val="0"/>
  </w:style>
  <w:style w:type="character" w:customStyle="1" w:styleId="65">
    <w:name w:val="cke_colorbox2"/>
    <w:basedOn w:val="19"/>
    <w:qFormat/>
    <w:uiPriority w:val="0"/>
  </w:style>
  <w:style w:type="character" w:customStyle="1" w:styleId="66">
    <w:name w:val="cke_colorbox3"/>
    <w:basedOn w:val="19"/>
    <w:qFormat/>
    <w:uiPriority w:val="0"/>
    <w:rPr>
      <w:bdr w:val="single" w:color="808080" w:sz="6" w:space="0"/>
    </w:rPr>
  </w:style>
  <w:style w:type="character" w:customStyle="1" w:styleId="67">
    <w:name w:val="cke_colorbox4"/>
    <w:basedOn w:val="19"/>
    <w:qFormat/>
    <w:uiPriority w:val="0"/>
  </w:style>
  <w:style w:type="character" w:customStyle="1" w:styleId="68">
    <w:name w:val="cke_colorbox5"/>
    <w:basedOn w:val="19"/>
    <w:qFormat/>
    <w:uiPriority w:val="0"/>
  </w:style>
  <w:style w:type="character" w:customStyle="1" w:styleId="69">
    <w:name w:val="isrevision"/>
    <w:basedOn w:val="19"/>
    <w:qFormat/>
    <w:uiPriority w:val="0"/>
    <w:rPr>
      <w:color w:val="000000"/>
      <w:sz w:val="18"/>
      <w:szCs w:val="18"/>
      <w:bdr w:val="single" w:color="E9E9E9" w:sz="6" w:space="0"/>
      <w:shd w:val="clear" w:fill="FFFFFF"/>
    </w:rPr>
  </w:style>
  <w:style w:type="character" w:customStyle="1" w:styleId="70">
    <w:name w:val="not-pass-node"/>
    <w:basedOn w:val="19"/>
    <w:qFormat/>
    <w:uiPriority w:val="0"/>
    <w:rPr>
      <w:bdr w:val="single" w:color="5ABD6B" w:sz="6" w:space="0"/>
      <w:shd w:val="clear" w:fill="BFF3C3"/>
    </w:rPr>
  </w:style>
  <w:style w:type="character" w:customStyle="1" w:styleId="71">
    <w:name w:val="wea-thumbnails-doc-content-subtitle"/>
    <w:basedOn w:val="19"/>
    <w:qFormat/>
    <w:uiPriority w:val="0"/>
    <w:rPr>
      <w:color w:val="9A9A9A"/>
    </w:rPr>
  </w:style>
  <w:style w:type="character" w:customStyle="1" w:styleId="72">
    <w:name w:val="passed-node"/>
    <w:basedOn w:val="19"/>
    <w:qFormat/>
    <w:uiPriority w:val="0"/>
    <w:rPr>
      <w:bdr w:val="single" w:color="49A8D4" w:sz="6" w:space="0"/>
      <w:shd w:val="clear" w:fill="A9E3FF"/>
    </w:rPr>
  </w:style>
  <w:style w:type="character" w:customStyle="1" w:styleId="73">
    <w:name w:val="auto-pass-node"/>
    <w:basedOn w:val="19"/>
    <w:qFormat/>
    <w:uiPriority w:val="0"/>
    <w:rPr>
      <w:bdr w:val="single" w:color="DC4446" w:sz="6" w:space="0"/>
      <w:shd w:val="clear" w:fill="A9E2FF"/>
    </w:rPr>
  </w:style>
  <w:style w:type="character" w:customStyle="1" w:styleId="74">
    <w:name w:val="ant-radio+*"/>
    <w:basedOn w:val="19"/>
    <w:qFormat/>
    <w:uiPriority w:val="0"/>
  </w:style>
  <w:style w:type="character" w:customStyle="1" w:styleId="75">
    <w:name w:val="wea-dropdown-triangle2"/>
    <w:basedOn w:val="19"/>
    <w:qFormat/>
    <w:uiPriority w:val="0"/>
  </w:style>
  <w:style w:type="character" w:customStyle="1" w:styleId="76">
    <w:name w:val="first-of-type"/>
    <w:basedOn w:val="19"/>
    <w:qFormat/>
    <w:uiPriority w:val="0"/>
    <w:rPr>
      <w:color w:val="FF0000"/>
    </w:rPr>
  </w:style>
  <w:style w:type="character" w:customStyle="1" w:styleId="77">
    <w:name w:val="first-of-type1"/>
    <w:basedOn w:val="19"/>
    <w:qFormat/>
    <w:uiPriority w:val="0"/>
    <w:rPr>
      <w:color w:val="FF0000"/>
    </w:rPr>
  </w:style>
  <w:style w:type="character" w:customStyle="1" w:styleId="78">
    <w:name w:val="first-of-type2"/>
    <w:basedOn w:val="19"/>
    <w:qFormat/>
    <w:uiPriority w:val="0"/>
    <w:rPr>
      <w:color w:val="FF0000"/>
    </w:rPr>
  </w:style>
  <w:style w:type="character" w:customStyle="1" w:styleId="79">
    <w:name w:val="ant-tree-switcher10"/>
    <w:basedOn w:val="19"/>
    <w:qFormat/>
    <w:uiPriority w:val="0"/>
  </w:style>
  <w:style w:type="character" w:customStyle="1" w:styleId="80">
    <w:name w:val="hover37"/>
    <w:basedOn w:val="19"/>
    <w:qFormat/>
    <w:uiPriority w:val="0"/>
    <w:rPr>
      <w:color w:val="009DFF"/>
    </w:rPr>
  </w:style>
  <w:style w:type="character" w:customStyle="1" w:styleId="81">
    <w:name w:val="hover38"/>
    <w:basedOn w:val="19"/>
    <w:qFormat/>
    <w:uiPriority w:val="0"/>
    <w:rPr>
      <w:color w:val="009DFF"/>
    </w:rPr>
  </w:style>
  <w:style w:type="character" w:customStyle="1" w:styleId="82">
    <w:name w:val="ant-tree-checkbox8"/>
    <w:basedOn w:val="19"/>
    <w:qFormat/>
    <w:uiPriority w:val="0"/>
  </w:style>
  <w:style w:type="character" w:customStyle="1" w:styleId="83">
    <w:name w:val="tmpztreemove_arrow"/>
    <w:basedOn w:val="19"/>
    <w:qFormat/>
    <w:uiPriority w:val="0"/>
  </w:style>
  <w:style w:type="character" w:customStyle="1" w:styleId="84">
    <w:name w:val="cke_path_empty2"/>
    <w:basedOn w:val="19"/>
    <w:qFormat/>
    <w:uiPriority w:val="0"/>
    <w:rPr>
      <w:b/>
      <w:bCs/>
      <w:color w:val="484848"/>
      <w:sz w:val="16"/>
      <w:szCs w:val="16"/>
      <w:u w:val="none"/>
    </w:rPr>
  </w:style>
  <w:style w:type="character" w:customStyle="1" w:styleId="85">
    <w:name w:val="cke_notification_progress"/>
    <w:basedOn w:val="19"/>
    <w:qFormat/>
    <w:uiPriority w:val="0"/>
    <w:rPr>
      <w:shd w:val="clear" w:fill="0F74A8"/>
    </w:rPr>
  </w:style>
  <w:style w:type="character" w:customStyle="1" w:styleId="86">
    <w:name w:val="ant-tree-iconele"/>
    <w:basedOn w:val="19"/>
    <w:qFormat/>
    <w:uiPriority w:val="0"/>
  </w:style>
  <w:style w:type="character" w:customStyle="1" w:styleId="87">
    <w:name w:val="ant-table-row-expand-icon3"/>
    <w:basedOn w:val="19"/>
    <w:qFormat/>
    <w:uiPriority w:val="0"/>
    <w:rPr>
      <w:vanish/>
    </w:rPr>
  </w:style>
  <w:style w:type="character" w:customStyle="1" w:styleId="88">
    <w:name w:val="disabled4"/>
    <w:basedOn w:val="19"/>
    <w:qFormat/>
    <w:uiPriority w:val="0"/>
    <w:rPr>
      <w:color w:val="AAAAAA"/>
      <w:shd w:val="clear" w:fill="F7F7F7"/>
    </w:rPr>
  </w:style>
  <w:style w:type="character" w:customStyle="1" w:styleId="89">
    <w:name w:val="cke_dialog_ui_button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1997</Words>
  <Characters>11383</Characters>
  <Lines>94</Lines>
  <Paragraphs>26</Paragraphs>
  <TotalTime>7</TotalTime>
  <ScaleCrop>false</ScaleCrop>
  <LinksUpToDate>false</LinksUpToDate>
  <CharactersWithSpaces>13354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2021-11-05T01:07:43Z</dcterms:modified>
  <dc:title>淮海工学院A8-10号楼学生宿舍家具招标书</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AA1D17DC1DEC4B99A7F8AD5B9800C54A</vt:lpwstr>
  </property>
</Properties>
</file>