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NOy检测仪采购项目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w:t>
      </w:r>
      <w:r>
        <w:rPr>
          <w:rFonts w:ascii="Helvetica Neue" w:hAnsi="Helvetica Neue" w:cs="Helvetica Neue"/>
          <w:color w:val="000000"/>
          <w:kern w:val="0"/>
          <w:sz w:val="26"/>
          <w:szCs w:val="26"/>
          <w:highlight w:val="none"/>
          <w:u w:val="single"/>
        </w:rPr>
        <w:t>JZCG-2023-00022</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3</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4</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4日1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环境科学与工程学院</w:t>
      </w:r>
      <w:r>
        <w:rPr>
          <w:rFonts w:ascii="宋体" w:hAnsi="宋体"/>
          <w:sz w:val="28"/>
          <w:szCs w:val="28"/>
          <w:highlight w:val="none"/>
        </w:rPr>
        <w:t>委托，就</w:t>
      </w:r>
      <w:r>
        <w:rPr>
          <w:rFonts w:hint="eastAsia" w:ascii="宋体" w:hAnsi="宋体"/>
          <w:sz w:val="28"/>
          <w:szCs w:val="28"/>
          <w:highlight w:val="none"/>
        </w:rPr>
        <w:t>N</w:t>
      </w:r>
      <w:r>
        <w:rPr>
          <w:rFonts w:ascii="宋体" w:hAnsi="宋体"/>
          <w:sz w:val="28"/>
          <w:szCs w:val="28"/>
          <w:highlight w:val="none"/>
        </w:rPr>
        <w:t>Oy</w:t>
      </w:r>
      <w:r>
        <w:rPr>
          <w:rFonts w:hint="eastAsia" w:ascii="宋体" w:hAnsi="宋体"/>
          <w:sz w:val="28"/>
          <w:szCs w:val="28"/>
          <w:highlight w:val="none"/>
        </w:rPr>
        <w:t>检测仪采购项目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3"/>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3"/>
        <w:tabs>
          <w:tab w:val="left" w:pos="3510"/>
        </w:tabs>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ascii="Helvetica Neue" w:hAnsi="Helvetica Neue" w:cs="Helvetica Neue"/>
          <w:color w:val="000000"/>
          <w:sz w:val="26"/>
          <w:szCs w:val="26"/>
          <w:highlight w:val="none"/>
        </w:rPr>
        <w:t>NOy检测仪</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ascii="宋体" w:hAnsi="宋体" w:cs="宋体"/>
          <w:sz w:val="28"/>
          <w:szCs w:val="28"/>
          <w:highlight w:val="none"/>
        </w:rPr>
        <w:t>25</w:t>
      </w:r>
      <w:r>
        <w:rPr>
          <w:rFonts w:hint="eastAsia" w:ascii="宋体" w:hAnsi="宋体" w:cs="宋体"/>
          <w:sz w:val="28"/>
          <w:szCs w:val="28"/>
          <w:highlight w:val="none"/>
          <w:lang w:val="en-US" w:eastAsia="zh-CN"/>
        </w:rPr>
        <w:t>.00</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“JZCG-2023-00022资料费”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个工作日内，中标单位须及时缴纳中标价的10%作为履约保证金并前来我校领取《中标通知书》（一式二份）。服务完成，验收合格后无息返还履约保证金。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签订合同后，20日内预付合同金额的</w:t>
      </w:r>
      <w:r>
        <w:rPr>
          <w:rFonts w:ascii="宋体" w:hAnsi="宋体" w:cs="宋体"/>
          <w:sz w:val="28"/>
          <w:szCs w:val="28"/>
          <w:highlight w:val="none"/>
        </w:rPr>
        <w:t>50</w:t>
      </w:r>
      <w:r>
        <w:rPr>
          <w:rFonts w:hint="eastAsia" w:ascii="宋体" w:hAnsi="宋体" w:cs="宋体"/>
          <w:sz w:val="28"/>
          <w:szCs w:val="28"/>
          <w:highlight w:val="none"/>
        </w:rPr>
        <w:t>%，全部货物交货并最终验收合格后，凭验收凭证和货物验收合格等文件20内支付至合同金额的</w:t>
      </w:r>
      <w:r>
        <w:rPr>
          <w:rFonts w:ascii="宋体" w:hAnsi="宋体" w:cs="宋体"/>
          <w:sz w:val="28"/>
          <w:szCs w:val="28"/>
          <w:highlight w:val="none"/>
        </w:rPr>
        <w:t>95</w:t>
      </w:r>
      <w:r>
        <w:rPr>
          <w:rFonts w:hint="eastAsia" w:ascii="宋体" w:hAnsi="宋体" w:cs="宋体"/>
          <w:sz w:val="28"/>
          <w:szCs w:val="28"/>
          <w:highlight w:val="none"/>
        </w:rPr>
        <w:t>%，质保期满后，经有关单位确认无质量问题后，一次性无息付清所有保证金（5</w:t>
      </w:r>
      <w:r>
        <w:rPr>
          <w:rFonts w:ascii="宋体" w:hAnsi="宋体" w:cs="宋体"/>
          <w:sz w:val="28"/>
          <w:szCs w:val="28"/>
          <w:highlight w:val="none"/>
        </w:rPr>
        <w:t>%</w:t>
      </w:r>
      <w:r>
        <w:rPr>
          <w:rFonts w:hint="eastAsia" w:ascii="宋体" w:hAnsi="宋体" w:cs="宋体"/>
          <w:sz w:val="28"/>
          <w:szCs w:val="28"/>
          <w:highlight w:val="none"/>
        </w:rPr>
        <w:t>）。具体内容以最终签署的合同约定为准。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“JZCG-2023-00022资料费”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bookmarkStart w:id="6" w:name="_Hlk9866833"/>
      <w:r>
        <w:rPr>
          <w:rFonts w:hint="eastAsia" w:ascii="宋体" w:hAnsi="宋体" w:cs="宋体"/>
          <w:sz w:val="28"/>
          <w:szCs w:val="28"/>
          <w:highlight w:val="none"/>
        </w:rPr>
        <w:t>5.投标保证金：无。</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为降低投标人的投标成本，本着相互理解和相互信任的原则，努力构建诚信社会，本项目投标时各单位无须缴纳投标保证金。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6.履约保证金：中标价10%。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1）中标公示后，仅中标单位需缴纳履约保证金。中标单位自行将履约保证金汇至学校财务账户后先到财务结算中心（财务处二楼201室）开具缴款收据，凭缴款收据到招标办领取中标通知书后再与采购单位签订供货和服务合同。履约保证金交款账号同300元资料费（</w:t>
      </w:r>
      <w:r>
        <w:rPr>
          <w:rFonts w:hint="eastAsia" w:ascii="宋体" w:hAnsi="宋体" w:cs="宋体"/>
          <w:b/>
          <w:bCs/>
          <w:sz w:val="28"/>
          <w:szCs w:val="28"/>
          <w:highlight w:val="none"/>
        </w:rPr>
        <w:t>户名：南京信息工程大学；账号：10115401040000228；开户银行：中国农业银行南京盘城支行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2）履约保证金的退还方式：项目按照合同约定完成并无质量问题后，由中标单位向项目归口管理部门或采购人提交退还履约保证金的申请，由项目归口管理部门（或使用部门）负责人审批同意后，财务处财务结算中心（财务处二楼201室）办理退还。</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（3）履约保证金交退咨询：财务处结算中心（体育馆北面，南气宾馆东侧的大学生创业中心3号楼二楼201）。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（4）如中标单位有下列情况之一，不予退还履约保证金，我校将其列入招投标诚信“黑名单”，3年内不得到我校从事任何投标活动。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a.中标单位未能按学校通知，在规定时间内签署合同；或签署合同后未能履约、单方撕毁合同等；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b.中标单位在投标过程中存在串通投标等违规或舞弊行为；或中标单位借用其他公司相关资质的；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c.出现其他不予退还履约保证金情形的。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7.验收：按学校验收规定执行，项目合同是验收的主要依据。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hint="eastAsia" w:ascii="宋体" w:hAnsi="宋体" w:cs="宋体"/>
          <w:sz w:val="28"/>
          <w:szCs w:val="28"/>
          <w:highlight w:val="none"/>
        </w:rPr>
        <w:t>8.质保：参照附件4服务要求。</w:t>
      </w:r>
    </w:p>
    <w:p>
      <w:pPr>
        <w:spacing w:before="312" w:beforeLines="100" w:after="312" w:afterLines="100" w:line="360" w:lineRule="auto"/>
        <w:jc w:val="center"/>
        <w:rPr>
          <w:rFonts w:ascii="黑体" w:hAnsi="黑体" w:eastAsia="黑体"/>
          <w:sz w:val="28"/>
          <w:szCs w:val="28"/>
          <w:highlight w:val="none"/>
        </w:rPr>
      </w:pPr>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报名时间：招标信息发布后5个工作日。</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3</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4</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21</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（1）投标文件送达：（以下两种方式任选其一）</w:t>
      </w:r>
    </w:p>
    <w:p>
      <w:pPr>
        <w:pStyle w:val="2"/>
        <w:spacing w:line="360" w:lineRule="auto"/>
        <w:ind w:firstLine="560"/>
        <w:rPr>
          <w:rFonts w:hint="eastAsia" w:ascii="宋体" w:hAnsi="宋体"/>
          <w:sz w:val="28"/>
          <w:szCs w:val="28"/>
          <w:highlight w:val="none"/>
        </w:rPr>
      </w:pPr>
      <w:r>
        <w:rPr>
          <w:rFonts w:hint="eastAsia" w:ascii="宋体" w:hAnsi="宋体"/>
          <w:b/>
          <w:sz w:val="28"/>
          <w:szCs w:val="28"/>
          <w:highlight w:val="none"/>
        </w:rPr>
        <w:t>（一）</w:t>
      </w:r>
      <w:r>
        <w:rPr>
          <w:rFonts w:hint="eastAsia" w:ascii="宋体" w:hAnsi="宋体"/>
          <w:sz w:val="28"/>
          <w:szCs w:val="28"/>
          <w:highlight w:val="none"/>
        </w:rPr>
        <w:t>入校提交方式：</w:t>
      </w:r>
      <w:r>
        <w:rPr>
          <w:rFonts w:hint="eastAsia" w:ascii="宋体" w:hAnsi="宋体"/>
          <w:b/>
          <w:bCs/>
          <w:sz w:val="28"/>
          <w:szCs w:val="28"/>
          <w:highlight w:val="none"/>
        </w:rPr>
        <w:t>本项目可接收专人派送的投标文件</w:t>
      </w:r>
      <w:r>
        <w:rPr>
          <w:rFonts w:hint="eastAsia" w:ascii="宋体" w:hAnsi="宋体"/>
          <w:sz w:val="28"/>
          <w:szCs w:val="28"/>
          <w:highlight w:val="none"/>
        </w:rPr>
        <w:t>，请各投标人自行安排人员，务必于接收截止时间前将投标文件送达我校，截止时间后，采购人不受理任何投标文件。（若后期有调整，会将调整信息发送到各投标单位报名邮箱，请各投标单位在投标前密切关注报名邮箱）</w:t>
      </w:r>
    </w:p>
    <w:p>
      <w:pPr>
        <w:keepNext w:val="0"/>
        <w:keepLines w:val="0"/>
        <w:widowControl/>
        <w:suppressLineNumbers w:val="0"/>
        <w:spacing w:before="75" w:beforeAutospacing="0" w:after="75" w:afterAutospacing="0"/>
        <w:ind w:left="0" w:right="0" w:firstLine="555"/>
        <w:jc w:val="left"/>
        <w:rPr>
          <w:rFonts w:hint="eastAsia" w:ascii="宋体" w:hAnsi="宋体" w:eastAsia="宋体" w:cs="Times New Roman"/>
          <w:i w:val="0"/>
          <w:iCs w:val="0"/>
          <w:caps w:val="0"/>
          <w:spacing w:val="0"/>
          <w:kern w:val="2"/>
          <w:sz w:val="28"/>
          <w:szCs w:val="28"/>
          <w:highlight w:val="none"/>
          <w:lang w:val="en-US" w:eastAsia="zh-CN" w:bidi="ar-SA"/>
        </w:rPr>
      </w:pPr>
      <w:r>
        <w:rPr>
          <w:rFonts w:hint="eastAsia" w:ascii="宋体" w:hAnsi="宋体" w:eastAsia="宋体" w:cs="Times New Roman"/>
          <w:i w:val="0"/>
          <w:iCs w:val="0"/>
          <w:caps w:val="0"/>
          <w:spacing w:val="0"/>
          <w:kern w:val="2"/>
          <w:sz w:val="28"/>
          <w:szCs w:val="28"/>
          <w:highlight w:val="none"/>
          <w:lang w:val="en-US" w:eastAsia="zh-CN" w:bidi="ar-SA"/>
        </w:rPr>
        <w:t>投标文件接收时间：2023年05月05日13:30—14:00（北京时间）；</w:t>
      </w:r>
    </w:p>
    <w:p>
      <w:pPr>
        <w:pStyle w:val="2"/>
        <w:spacing w:line="360" w:lineRule="auto"/>
        <w:ind w:firstLine="560"/>
        <w:rPr>
          <w:rFonts w:hint="eastAsia" w:ascii="宋体" w:hAnsi="宋体"/>
          <w:sz w:val="28"/>
          <w:szCs w:val="28"/>
          <w:highlight w:val="none"/>
        </w:rPr>
      </w:pPr>
    </w:p>
    <w:p>
      <w:pPr>
        <w:widowControl/>
        <w:shd w:val="clear" w:color="auto" w:fill="FFFFFF"/>
        <w:spacing w:before="75" w:after="75" w:line="360" w:lineRule="auto"/>
        <w:ind w:firstLine="555"/>
        <w:jc w:val="left"/>
        <w:rPr>
          <w:rFonts w:ascii="宋体" w:hAnsi="宋体"/>
          <w:b/>
          <w:bCs/>
          <w:sz w:val="28"/>
          <w:szCs w:val="28"/>
          <w:highlight w:val="none"/>
        </w:rPr>
      </w:pPr>
      <w:r>
        <w:rPr>
          <w:rFonts w:hint="eastAsia" w:ascii="宋体" w:hAnsi="宋体" w:cs="宋体"/>
          <w:b/>
          <w:bCs/>
          <w:color w:val="000000"/>
          <w:sz w:val="28"/>
          <w:szCs w:val="28"/>
          <w:highlight w:val="none"/>
          <w:shd w:val="clear" w:color="auto" w:fill="FFFFFF"/>
        </w:rPr>
        <w:t>由于校园管理，《法定代表人授权书》指定的授权代表携带身份证进校（即最多一人），进校人员至少提前一天扫描以下二维码进行入校申请。</w:t>
      </w:r>
      <w:r>
        <w:rPr>
          <w:rFonts w:hint="eastAsia" w:ascii="宋体" w:hAnsi="宋体"/>
          <w:b/>
          <w:bCs/>
          <w:sz w:val="28"/>
          <w:szCs w:val="28"/>
          <w:highlight w:val="none"/>
        </w:rPr>
        <w:t>若因未申请，不能准时送达，后果自负。</w:t>
      </w:r>
    </w:p>
    <w:p>
      <w:pPr>
        <w:widowControl/>
        <w:shd w:val="clear" w:color="auto" w:fill="FFFFFF"/>
        <w:spacing w:before="75" w:after="75" w:line="360" w:lineRule="auto"/>
        <w:ind w:firstLine="1019" w:firstLineChars="364"/>
        <w:jc w:val="left"/>
        <w:rPr>
          <w:rFonts w:ascii="宋体" w:hAnsi="宋体"/>
          <w:sz w:val="28"/>
          <w:szCs w:val="28"/>
          <w:highlight w:val="none"/>
        </w:rPr>
      </w:pPr>
      <w:r>
        <w:rPr>
          <w:rFonts w:hint="eastAsia" w:ascii="宋体" w:hAnsi="宋体"/>
          <w:sz w:val="28"/>
          <w:szCs w:val="28"/>
          <w:highlight w:val="none"/>
        </w:rPr>
        <w:t>校内联系人信息：姓名：刘玉环；工号：850170。</w:t>
      </w:r>
    </w:p>
    <w:p>
      <w:pPr>
        <w:pStyle w:val="2"/>
        <w:spacing w:line="360" w:lineRule="auto"/>
        <w:ind w:firstLine="480"/>
        <w:jc w:val="center"/>
        <w:rPr>
          <w:rFonts w:ascii="宋体" w:cs="宋体"/>
          <w:sz w:val="24"/>
          <w:highlight w:val="none"/>
        </w:rPr>
      </w:pPr>
      <w:r>
        <w:rPr>
          <w:rFonts w:ascii="宋体" w:cs="宋体"/>
          <w:sz w:val="24"/>
          <w:highlight w:val="none"/>
        </w:rPr>
        <w:drawing>
          <wp:inline distT="0" distB="0" distL="0" distR="0">
            <wp:extent cx="2114550" cy="1962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4550" cy="1962150"/>
                    </a:xfrm>
                    <a:prstGeom prst="rect">
                      <a:avLst/>
                    </a:prstGeom>
                    <a:noFill/>
                    <a:ln>
                      <a:noFill/>
                    </a:ln>
                  </pic:spPr>
                </pic:pic>
              </a:graphicData>
            </a:graphic>
          </wp:inline>
        </w:drawing>
      </w:r>
    </w:p>
    <w:p>
      <w:pPr>
        <w:pStyle w:val="2"/>
        <w:spacing w:line="360" w:lineRule="auto"/>
        <w:ind w:firstLine="560"/>
        <w:rPr>
          <w:rFonts w:ascii="宋体" w:hAnsi="宋体"/>
          <w:sz w:val="28"/>
          <w:szCs w:val="28"/>
          <w:highlight w:val="none"/>
        </w:rPr>
      </w:pPr>
    </w:p>
    <w:p>
      <w:pPr>
        <w:widowControl/>
        <w:adjustRightInd w:val="0"/>
        <w:snapToGrid w:val="0"/>
        <w:spacing w:line="360" w:lineRule="auto"/>
        <w:ind w:firstLine="560" w:firstLineChars="200"/>
        <w:rPr>
          <w:rFonts w:eastAsia="黑体"/>
          <w:highlight w:val="none"/>
        </w:rPr>
      </w:pPr>
      <w:r>
        <w:rPr>
          <w:rFonts w:hint="eastAsia" w:ascii="宋体" w:hAnsi="宋体"/>
          <w:sz w:val="28"/>
          <w:szCs w:val="28"/>
          <w:highlight w:val="none"/>
        </w:rPr>
        <w:t>送达地点：</w:t>
      </w:r>
      <w:r>
        <w:rPr>
          <w:rFonts w:hint="eastAsia" w:ascii="宋体" w:hAnsi="宋体" w:cs="宋体"/>
          <w:kern w:val="0"/>
          <w:sz w:val="28"/>
          <w:szCs w:val="28"/>
          <w:highlight w:val="none"/>
        </w:rPr>
        <w:t>南京市浦口区宁六路219号南京信息工程大学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。联系人：马老师、罗老师、刘老师；联系电话：025-58731441。</w:t>
      </w:r>
    </w:p>
    <w:p>
      <w:pPr>
        <w:widowControl/>
        <w:spacing w:line="360" w:lineRule="auto"/>
        <w:ind w:firstLine="560" w:firstLineChars="200"/>
        <w:rPr>
          <w:rFonts w:ascii="宋体" w:hAnsi="宋体"/>
          <w:b/>
          <w:sz w:val="28"/>
          <w:szCs w:val="28"/>
          <w:highlight w:val="none"/>
        </w:rPr>
      </w:pPr>
      <w:r>
        <w:rPr>
          <w:rFonts w:hint="eastAsia" w:ascii="宋体" w:hAnsi="宋体"/>
          <w:sz w:val="28"/>
          <w:szCs w:val="28"/>
          <w:highlight w:val="none"/>
        </w:rPr>
        <w:t>（二）</w:t>
      </w:r>
      <w:r>
        <w:rPr>
          <w:rFonts w:hint="eastAsia" w:ascii="宋体" w:hAnsi="宋体"/>
          <w:b/>
          <w:sz w:val="28"/>
          <w:szCs w:val="28"/>
          <w:highlight w:val="none"/>
        </w:rPr>
        <w:t>邮寄方式：请各投标单位务必用顺丰快递</w:t>
      </w:r>
      <w:r>
        <w:rPr>
          <w:rFonts w:hint="eastAsia" w:ascii="宋体" w:hAnsi="宋体"/>
          <w:sz w:val="28"/>
          <w:szCs w:val="28"/>
          <w:highlight w:val="none"/>
        </w:rPr>
        <w:t>，合理安排时间并及时关注邮寄信息，确保邮件资料于投标截止时间前送达我校。投标截止时间后，招标人不受理任何投标文件。</w:t>
      </w:r>
      <w:r>
        <w:rPr>
          <w:rFonts w:hint="eastAsia" w:ascii="宋体" w:hAnsi="宋体"/>
          <w:b/>
          <w:sz w:val="28"/>
          <w:szCs w:val="28"/>
          <w:highlight w:val="none"/>
        </w:rPr>
        <w:t>（提醒：采用邮寄方式供应商，视为自动放弃参与现场唱标，并对我校唱标流程、内容均无异议）。（若后期有调整，会将调整信息发送到各投标单位报名邮箱，请各投标单位在投标前密切关注报名邮箱）</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提交</w:t>
      </w:r>
      <w:r>
        <w:rPr>
          <w:rFonts w:hint="eastAsia" w:ascii="宋体" w:hAnsi="宋体"/>
          <w:sz w:val="28"/>
          <w:szCs w:val="28"/>
          <w:highlight w:val="none"/>
        </w:rPr>
        <w:t>投标</w:t>
      </w:r>
      <w:r>
        <w:rPr>
          <w:rFonts w:hint="eastAsia" w:ascii="宋体" w:hAnsi="宋体"/>
          <w:sz w:val="28"/>
          <w:szCs w:val="28"/>
          <w:highlight w:val="none"/>
          <w:lang w:val="en-US" w:eastAsia="zh-CN"/>
        </w:rPr>
        <w:t>文件</w:t>
      </w:r>
      <w:r>
        <w:rPr>
          <w:rFonts w:hint="eastAsia" w:ascii="宋体" w:hAnsi="宋体"/>
          <w:sz w:val="28"/>
          <w:szCs w:val="28"/>
          <w:highlight w:val="none"/>
        </w:rPr>
        <w:t>截止时间：202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0</w:t>
      </w:r>
      <w:r>
        <w:rPr>
          <w:rFonts w:hint="eastAsia" w:ascii="宋体" w:hAnsi="宋体"/>
          <w:sz w:val="28"/>
          <w:szCs w:val="28"/>
          <w:highlight w:val="none"/>
        </w:rPr>
        <w:t>5日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spacing w:val="0"/>
          <w:kern w:val="2"/>
          <w:sz w:val="28"/>
          <w:szCs w:val="28"/>
          <w:highlight w:val="none"/>
          <w:lang w:val="en-US" w:eastAsia="zh-CN" w:bidi="ar-SA"/>
        </w:rPr>
        <w:t>（北京时间）</w:t>
      </w:r>
      <w:r>
        <w:rPr>
          <w:rFonts w:hint="eastAsia" w:ascii="宋体" w:hAnsi="宋体" w:cs="Times New Roman"/>
          <w:i w:val="0"/>
          <w:iCs w:val="0"/>
          <w:caps w:val="0"/>
          <w:spacing w:val="0"/>
          <w:kern w:val="2"/>
          <w:sz w:val="28"/>
          <w:szCs w:val="28"/>
          <w:highlight w:val="none"/>
          <w:lang w:val="en-US" w:eastAsia="zh-CN" w:bidi="ar-SA"/>
        </w:rPr>
        <w:t>；</w:t>
      </w:r>
    </w:p>
    <w:p>
      <w:pPr>
        <w:widowControl/>
        <w:spacing w:line="360" w:lineRule="auto"/>
        <w:ind w:firstLine="560" w:firstLineChars="200"/>
        <w:rPr>
          <w:rFonts w:hint="eastAsia" w:ascii="宋体" w:hAnsi="宋体" w:eastAsia="宋体"/>
          <w:b/>
          <w:sz w:val="28"/>
          <w:szCs w:val="28"/>
          <w:highlight w:val="none"/>
          <w:lang w:eastAsia="zh-CN"/>
        </w:rPr>
      </w:pPr>
      <w:r>
        <w:rPr>
          <w:rFonts w:hint="eastAsia" w:ascii="宋体" w:hAnsi="宋体"/>
          <w:sz w:val="28"/>
          <w:szCs w:val="28"/>
          <w:highlight w:val="none"/>
        </w:rPr>
        <w:t>邮寄送达地点：</w:t>
      </w:r>
      <w:r>
        <w:rPr>
          <w:rFonts w:hint="eastAsia" w:ascii="宋体" w:hAnsi="宋体" w:cs="宋体"/>
          <w:kern w:val="0"/>
          <w:sz w:val="28"/>
          <w:szCs w:val="28"/>
          <w:highlight w:val="none"/>
        </w:rPr>
        <w:t>南京市浦口区宁六路219号南京信息工程大学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r>
        <w:rPr>
          <w:rFonts w:hint="eastAsia" w:ascii="宋体" w:hAnsi="宋体" w:cs="宋体"/>
          <w:kern w:val="0"/>
          <w:sz w:val="28"/>
          <w:szCs w:val="28"/>
          <w:highlight w:val="none"/>
          <w:lang w:eastAsia="zh-CN"/>
        </w:rPr>
        <w:t>。</w:t>
      </w:r>
      <w:bookmarkStart w:id="10" w:name="_GoBack"/>
      <w:bookmarkEnd w:id="10"/>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0</w:t>
      </w:r>
      <w:r>
        <w:rPr>
          <w:rFonts w:hint="eastAsia" w:ascii="宋体" w:hAnsi="宋体"/>
          <w:sz w:val="28"/>
          <w:szCs w:val="28"/>
          <w:highlight w:val="none"/>
        </w:rPr>
        <w:t>5日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spacing w:val="0"/>
          <w:kern w:val="2"/>
          <w:sz w:val="28"/>
          <w:szCs w:val="28"/>
          <w:highlight w:val="none"/>
          <w:lang w:val="en-US" w:eastAsia="zh-CN" w:bidi="ar-SA"/>
        </w:rPr>
        <w:t>（北京时间）</w:t>
      </w:r>
      <w:r>
        <w:rPr>
          <w:rFonts w:hint="eastAsia" w:ascii="宋体" w:hAnsi="宋体"/>
          <w:sz w:val="28"/>
          <w:szCs w:val="28"/>
          <w:highlight w:val="none"/>
        </w:rPr>
        <w:t>；(开标、唱标工作全程视频监控并录像)。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用户单位联系电话：13815426192 ，联系人：李老师。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7"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0"/>
          <w:rFonts w:ascii="宋体" w:hAnsi="Times New Roman" w:eastAsia="宋体"/>
          <w:sz w:val="28"/>
          <w:szCs w:val="28"/>
          <w:highlight w:val="none"/>
        </w:rPr>
      </w:pPr>
      <w:r>
        <w:rPr>
          <w:rStyle w:val="40"/>
          <w:rFonts w:ascii="宋体" w:hAnsi="宋体" w:eastAsia="宋体"/>
          <w:sz w:val="28"/>
          <w:szCs w:val="28"/>
          <w:highlight w:val="none"/>
        </w:rPr>
        <w:t>20</w:t>
      </w:r>
      <w:r>
        <w:rPr>
          <w:rStyle w:val="40"/>
          <w:rFonts w:hint="eastAsia" w:ascii="宋体" w:hAnsi="宋体" w:eastAsia="宋体"/>
          <w:sz w:val="28"/>
          <w:szCs w:val="28"/>
          <w:highlight w:val="none"/>
        </w:rPr>
        <w:t>2</w:t>
      </w:r>
      <w:r>
        <w:rPr>
          <w:rStyle w:val="40"/>
          <w:rFonts w:hint="eastAsia" w:ascii="宋体" w:hAnsi="宋体"/>
          <w:sz w:val="28"/>
          <w:szCs w:val="28"/>
          <w:highlight w:val="none"/>
          <w:lang w:val="en-US"/>
        </w:rPr>
        <w:t>3</w:t>
      </w:r>
      <w:r>
        <w:rPr>
          <w:rStyle w:val="40"/>
          <w:rFonts w:hint="eastAsia" w:ascii="宋体" w:hAnsi="宋体" w:eastAsia="宋体"/>
          <w:sz w:val="28"/>
          <w:szCs w:val="28"/>
          <w:highlight w:val="none"/>
        </w:rPr>
        <w:t>年</w:t>
      </w:r>
      <w:r>
        <w:rPr>
          <w:rStyle w:val="40"/>
          <w:rFonts w:hint="eastAsia" w:ascii="宋体" w:hAnsi="宋体"/>
          <w:sz w:val="28"/>
          <w:szCs w:val="28"/>
          <w:highlight w:val="none"/>
        </w:rPr>
        <w:t>0</w:t>
      </w:r>
      <w:r>
        <w:rPr>
          <w:rStyle w:val="40"/>
          <w:rFonts w:hint="eastAsia" w:ascii="宋体" w:hAnsi="宋体"/>
          <w:sz w:val="28"/>
          <w:szCs w:val="28"/>
          <w:highlight w:val="none"/>
          <w:lang w:val="en-US"/>
        </w:rPr>
        <w:t>4</w:t>
      </w:r>
      <w:r>
        <w:rPr>
          <w:rStyle w:val="40"/>
          <w:rFonts w:hint="eastAsia" w:ascii="宋体" w:hAnsi="宋体" w:eastAsia="宋体"/>
          <w:sz w:val="28"/>
          <w:szCs w:val="28"/>
          <w:highlight w:val="none"/>
        </w:rPr>
        <w:t>月</w:t>
      </w:r>
      <w:r>
        <w:rPr>
          <w:rStyle w:val="40"/>
          <w:rFonts w:hint="eastAsia" w:ascii="宋体" w:hAnsi="宋体"/>
          <w:sz w:val="28"/>
          <w:szCs w:val="28"/>
          <w:highlight w:val="none"/>
          <w:lang w:val="en-US"/>
        </w:rPr>
        <w:t>1</w:t>
      </w:r>
      <w:r>
        <w:rPr>
          <w:rStyle w:val="40"/>
          <w:rFonts w:hint="eastAsia" w:ascii="宋体" w:hAnsi="宋体"/>
          <w:sz w:val="28"/>
          <w:szCs w:val="28"/>
          <w:highlight w:val="none"/>
        </w:rPr>
        <w:t>4</w:t>
      </w:r>
      <w:r>
        <w:rPr>
          <w:rStyle w:val="40"/>
          <w:rFonts w:hint="eastAsia" w:ascii="宋体" w:hAnsi="宋体" w:eastAsia="宋体"/>
          <w:sz w:val="28"/>
          <w:szCs w:val="28"/>
          <w:highlight w:val="none"/>
        </w:rPr>
        <w:t>日</w:t>
      </w:r>
    </w:p>
    <w:bookmarkEnd w:id="7"/>
    <w:p>
      <w:pPr>
        <w:pStyle w:val="10"/>
        <w:adjustRightInd w:val="0"/>
        <w:snapToGrid w:val="0"/>
        <w:spacing w:before="120" w:after="120" w:line="360" w:lineRule="auto"/>
        <w:rPr>
          <w:rStyle w:val="40"/>
          <w:rFonts w:ascii="宋体" w:hAnsi="宋体" w:eastAsia="宋体"/>
          <w:b w:val="0"/>
          <w:sz w:val="28"/>
          <w:szCs w:val="28"/>
          <w:highlight w:val="none"/>
        </w:rPr>
      </w:pPr>
      <w:r>
        <w:rPr>
          <w:rStyle w:val="40"/>
          <w:rFonts w:ascii="宋体" w:hAnsi="Times New Roman" w:eastAsia="宋体"/>
          <w:b w:val="0"/>
          <w:sz w:val="28"/>
          <w:szCs w:val="28"/>
          <w:highlight w:val="none"/>
        </w:rPr>
        <w:br w:type="page"/>
      </w:r>
      <w:bookmarkStart w:id="8"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widowControl/>
        <w:jc w:val="left"/>
        <w:rPr>
          <w:rFonts w:hint="eastAsia" w:hAnsi="宋体"/>
          <w:b/>
          <w:sz w:val="24"/>
          <w:highlight w:val="none"/>
        </w:rPr>
      </w:pPr>
      <w:r>
        <w:rPr>
          <w:rFonts w:hint="eastAsia" w:hAnsi="宋体"/>
          <w:b/>
          <w:sz w:val="24"/>
          <w:highlight w:val="none"/>
        </w:rPr>
        <w:t>1、招标项目名称：NO</w:t>
      </w:r>
      <w:r>
        <w:rPr>
          <w:rFonts w:hAnsi="宋体"/>
          <w:b/>
          <w:sz w:val="24"/>
          <w:highlight w:val="none"/>
        </w:rPr>
        <w:t>y</w:t>
      </w:r>
      <w:r>
        <w:rPr>
          <w:rFonts w:hint="eastAsia" w:hAnsi="宋体"/>
          <w:b/>
          <w:sz w:val="24"/>
          <w:highlight w:val="none"/>
        </w:rPr>
        <w:t>检测仪</w:t>
      </w:r>
    </w:p>
    <w:p>
      <w:pPr>
        <w:widowControl/>
        <w:jc w:val="left"/>
        <w:rPr>
          <w:rFonts w:hint="eastAsia" w:hAnsi="宋体"/>
          <w:b/>
          <w:sz w:val="24"/>
          <w:highlight w:val="none"/>
        </w:rPr>
      </w:pPr>
      <w:r>
        <w:rPr>
          <w:rFonts w:hint="eastAsia" w:hAnsi="宋体"/>
          <w:b/>
          <w:sz w:val="24"/>
          <w:highlight w:val="none"/>
        </w:rPr>
        <w:t xml:space="preserve">2、采购数量：一套 </w:t>
      </w:r>
    </w:p>
    <w:p>
      <w:pPr>
        <w:widowControl/>
        <w:jc w:val="left"/>
        <w:rPr>
          <w:rFonts w:hAnsi="宋体"/>
          <w:sz w:val="24"/>
          <w:highlight w:val="none"/>
        </w:rPr>
      </w:pPr>
      <w:r>
        <w:rPr>
          <w:rFonts w:hint="eastAsia" w:hAnsi="宋体"/>
          <w:b/>
          <w:sz w:val="24"/>
          <w:highlight w:val="none"/>
        </w:rPr>
        <w:t>3、主要技术指标：</w:t>
      </w:r>
    </w:p>
    <w:p>
      <w:pPr>
        <w:ind w:firstLine="480" w:firstLineChars="200"/>
        <w:rPr>
          <w:sz w:val="24"/>
          <w:highlight w:val="none"/>
        </w:rPr>
      </w:pPr>
      <w:r>
        <w:rPr>
          <w:rFonts w:hint="eastAsia"/>
          <w:sz w:val="24"/>
          <w:highlight w:val="none"/>
        </w:rPr>
        <w:t xml:space="preserve">  </w:t>
      </w:r>
      <w:r>
        <w:rPr>
          <w:sz w:val="24"/>
          <w:highlight w:val="none"/>
        </w:rPr>
        <w:t>3.</w:t>
      </w:r>
      <w:r>
        <w:rPr>
          <w:rFonts w:hint="eastAsia"/>
          <w:sz w:val="24"/>
          <w:highlight w:val="none"/>
        </w:rPr>
        <w:t>1</w:t>
      </w:r>
      <w:r>
        <w:rPr>
          <w:sz w:val="24"/>
          <w:highlight w:val="none"/>
        </w:rPr>
        <w:t xml:space="preserve"> </w:t>
      </w:r>
      <w:r>
        <w:rPr>
          <w:rFonts w:hint="eastAsia"/>
          <w:sz w:val="24"/>
          <w:highlight w:val="none"/>
        </w:rPr>
        <w:t>采用化学发光法测定NO/NO</w:t>
      </w:r>
      <w:r>
        <w:rPr>
          <w:rFonts w:hint="eastAsia"/>
          <w:sz w:val="24"/>
          <w:highlight w:val="none"/>
          <w:vertAlign w:val="subscript"/>
        </w:rPr>
        <w:t>y</w:t>
      </w:r>
      <w:r>
        <w:rPr>
          <w:rFonts w:hint="eastAsia"/>
          <w:sz w:val="24"/>
          <w:highlight w:val="none"/>
        </w:rPr>
        <w:t>，其中NO</w:t>
      </w:r>
      <w:r>
        <w:rPr>
          <w:sz w:val="24"/>
          <w:highlight w:val="none"/>
          <w:vertAlign w:val="subscript"/>
        </w:rPr>
        <w:t>y</w:t>
      </w:r>
      <w:r>
        <w:rPr>
          <w:rFonts w:hint="eastAsia"/>
          <w:sz w:val="24"/>
          <w:highlight w:val="none"/>
        </w:rPr>
        <w:t>通过一部远程转化器转化为NO后再被测定；</w:t>
      </w:r>
    </w:p>
    <w:p>
      <w:pPr>
        <w:ind w:firstLine="480" w:firstLineChars="200"/>
        <w:rPr>
          <w:sz w:val="24"/>
          <w:highlight w:val="none"/>
        </w:rPr>
      </w:pPr>
      <w:r>
        <w:rPr>
          <w:rFonts w:hint="eastAsia"/>
          <w:sz w:val="24"/>
          <w:highlight w:val="none"/>
        </w:rPr>
        <w:t xml:space="preserve">  </w:t>
      </w:r>
      <w:r>
        <w:rPr>
          <w:sz w:val="24"/>
          <w:highlight w:val="none"/>
        </w:rPr>
        <w:t>3.2</w:t>
      </w:r>
      <w:r>
        <w:rPr>
          <w:rFonts w:hint="eastAsia"/>
          <w:sz w:val="24"/>
          <w:highlight w:val="none"/>
        </w:rPr>
        <w:t xml:space="preserve"> 量程：最小0</w:t>
      </w:r>
      <w:r>
        <w:rPr>
          <w:sz w:val="24"/>
          <w:highlight w:val="none"/>
        </w:rPr>
        <w:t xml:space="preserve">-5 </w:t>
      </w:r>
      <w:r>
        <w:rPr>
          <w:rFonts w:hint="eastAsia"/>
          <w:sz w:val="24"/>
          <w:highlight w:val="none"/>
        </w:rPr>
        <w:t>ppbv</w:t>
      </w:r>
      <w:r>
        <w:rPr>
          <w:sz w:val="24"/>
          <w:highlight w:val="none"/>
        </w:rPr>
        <w:t xml:space="preserve">; </w:t>
      </w:r>
      <w:r>
        <w:rPr>
          <w:rFonts w:hint="eastAsia"/>
          <w:sz w:val="24"/>
          <w:highlight w:val="none"/>
        </w:rPr>
        <w:t>最大：0</w:t>
      </w:r>
      <w:r>
        <w:rPr>
          <w:sz w:val="24"/>
          <w:highlight w:val="none"/>
        </w:rPr>
        <w:t xml:space="preserve">-2000 </w:t>
      </w:r>
      <w:r>
        <w:rPr>
          <w:rFonts w:hint="eastAsia"/>
          <w:sz w:val="24"/>
          <w:highlight w:val="none"/>
        </w:rPr>
        <w:t>ppb</w:t>
      </w:r>
      <w:r>
        <w:rPr>
          <w:sz w:val="24"/>
          <w:highlight w:val="none"/>
        </w:rPr>
        <w:t>v (NO,NO</w:t>
      </w:r>
      <w:r>
        <w:rPr>
          <w:sz w:val="24"/>
          <w:highlight w:val="none"/>
          <w:vertAlign w:val="subscript"/>
        </w:rPr>
        <w:t>y</w:t>
      </w:r>
      <w:r>
        <w:rPr>
          <w:rFonts w:hint="eastAsia"/>
          <w:sz w:val="24"/>
          <w:highlight w:val="none"/>
        </w:rPr>
        <w:t>量程可独立选择</w:t>
      </w:r>
      <w:r>
        <w:rPr>
          <w:sz w:val="24"/>
          <w:highlight w:val="none"/>
        </w:rPr>
        <w:t>)</w:t>
      </w:r>
      <w:r>
        <w:rPr>
          <w:rFonts w:hint="eastAsia"/>
          <w:sz w:val="24"/>
          <w:highlight w:val="none"/>
        </w:rPr>
        <w:t>；</w:t>
      </w:r>
    </w:p>
    <w:p>
      <w:pPr>
        <w:ind w:firstLine="480" w:firstLineChars="200"/>
        <w:rPr>
          <w:sz w:val="24"/>
          <w:highlight w:val="none"/>
        </w:rPr>
      </w:pPr>
      <w:r>
        <w:rPr>
          <w:rFonts w:hint="eastAsia"/>
          <w:sz w:val="24"/>
          <w:highlight w:val="none"/>
        </w:rPr>
        <w:t xml:space="preserve">  </w:t>
      </w:r>
      <w:r>
        <w:rPr>
          <w:sz w:val="24"/>
          <w:highlight w:val="none"/>
        </w:rPr>
        <w:t>3</w:t>
      </w:r>
      <w:r>
        <w:rPr>
          <w:rFonts w:hint="eastAsia"/>
          <w:sz w:val="24"/>
          <w:highlight w:val="none"/>
        </w:rPr>
        <w:t>.</w:t>
      </w:r>
      <w:r>
        <w:rPr>
          <w:sz w:val="24"/>
          <w:highlight w:val="none"/>
        </w:rPr>
        <w:t xml:space="preserve">3 </w:t>
      </w:r>
      <w:r>
        <w:rPr>
          <w:rFonts w:hint="eastAsia"/>
          <w:sz w:val="24"/>
          <w:highlight w:val="none"/>
        </w:rPr>
        <w:t>零点噪音</w:t>
      </w:r>
      <w:r>
        <w:rPr>
          <w:sz w:val="24"/>
          <w:highlight w:val="none"/>
        </w:rPr>
        <w:t>&lt;25 ppt</w:t>
      </w:r>
      <w:r>
        <w:rPr>
          <w:rFonts w:hint="eastAsia"/>
          <w:sz w:val="24"/>
          <w:highlight w:val="none"/>
        </w:rPr>
        <w:t>v</w:t>
      </w:r>
      <w:r>
        <w:rPr>
          <w:sz w:val="24"/>
          <w:highlight w:val="none"/>
        </w:rPr>
        <w:t xml:space="preserve"> (RMS);</w:t>
      </w:r>
    </w:p>
    <w:p>
      <w:pPr>
        <w:ind w:firstLine="480" w:firstLineChars="200"/>
        <w:rPr>
          <w:sz w:val="24"/>
          <w:highlight w:val="none"/>
        </w:rPr>
      </w:pPr>
      <w:r>
        <w:rPr>
          <w:rFonts w:hint="eastAsia"/>
          <w:sz w:val="24"/>
          <w:highlight w:val="none"/>
        </w:rPr>
        <w:t>▲</w:t>
      </w:r>
      <w:r>
        <w:rPr>
          <w:sz w:val="24"/>
          <w:highlight w:val="none"/>
        </w:rPr>
        <w:t>3.4</w:t>
      </w:r>
      <w:r>
        <w:rPr>
          <w:rFonts w:hint="eastAsia"/>
          <w:sz w:val="24"/>
          <w:highlight w:val="none"/>
        </w:rPr>
        <w:t xml:space="preserve"> 对NO最低检测限</w:t>
      </w:r>
      <w:r>
        <w:rPr>
          <w:sz w:val="24"/>
          <w:highlight w:val="none"/>
        </w:rPr>
        <w:t xml:space="preserve">&lt;50 pptv; </w:t>
      </w:r>
    </w:p>
    <w:p>
      <w:pPr>
        <w:ind w:firstLine="480" w:firstLineChars="200"/>
        <w:rPr>
          <w:sz w:val="24"/>
          <w:highlight w:val="none"/>
        </w:rPr>
      </w:pPr>
      <w:r>
        <w:rPr>
          <w:rFonts w:hint="eastAsia"/>
          <w:sz w:val="24"/>
          <w:highlight w:val="none"/>
        </w:rPr>
        <w:t xml:space="preserve">  </w:t>
      </w:r>
      <w:r>
        <w:rPr>
          <w:sz w:val="24"/>
          <w:highlight w:val="none"/>
        </w:rPr>
        <w:t xml:space="preserve">3.5 </w:t>
      </w:r>
      <w:r>
        <w:rPr>
          <w:rFonts w:hint="eastAsia"/>
          <w:sz w:val="24"/>
          <w:highlight w:val="none"/>
        </w:rPr>
        <w:t>检测精度：5</w:t>
      </w:r>
      <w:r>
        <w:rPr>
          <w:sz w:val="24"/>
          <w:highlight w:val="none"/>
        </w:rPr>
        <w:t xml:space="preserve"> </w:t>
      </w:r>
      <w:r>
        <w:rPr>
          <w:rFonts w:hint="eastAsia"/>
          <w:sz w:val="24"/>
          <w:highlight w:val="none"/>
        </w:rPr>
        <w:t>ppbv以上时，优于读数的0</w:t>
      </w:r>
      <w:r>
        <w:rPr>
          <w:sz w:val="24"/>
          <w:highlight w:val="none"/>
        </w:rPr>
        <w:t>.5%</w:t>
      </w:r>
      <w:r>
        <w:rPr>
          <w:rFonts w:hint="eastAsia"/>
          <w:sz w:val="24"/>
          <w:highlight w:val="none"/>
        </w:rPr>
        <w:t>；</w:t>
      </w:r>
    </w:p>
    <w:p>
      <w:pPr>
        <w:ind w:firstLine="480" w:firstLineChars="200"/>
        <w:rPr>
          <w:sz w:val="24"/>
          <w:highlight w:val="none"/>
        </w:rPr>
      </w:pPr>
      <w:r>
        <w:rPr>
          <w:rFonts w:hint="eastAsia"/>
          <w:sz w:val="24"/>
          <w:highlight w:val="none"/>
        </w:rPr>
        <w:t xml:space="preserve">  </w:t>
      </w:r>
      <w:r>
        <w:rPr>
          <w:sz w:val="24"/>
          <w:highlight w:val="none"/>
        </w:rPr>
        <w:t xml:space="preserve">3.6 </w:t>
      </w:r>
      <w:r>
        <w:rPr>
          <w:rFonts w:hint="eastAsia"/>
          <w:sz w:val="24"/>
          <w:highlight w:val="none"/>
        </w:rPr>
        <w:t>电源：2</w:t>
      </w:r>
      <w:r>
        <w:rPr>
          <w:sz w:val="24"/>
          <w:highlight w:val="none"/>
        </w:rPr>
        <w:t>20-240</w:t>
      </w:r>
      <w:r>
        <w:rPr>
          <w:rFonts w:hint="eastAsia"/>
          <w:sz w:val="24"/>
          <w:highlight w:val="none"/>
        </w:rPr>
        <w:t>V，5</w:t>
      </w:r>
      <w:r>
        <w:rPr>
          <w:sz w:val="24"/>
          <w:highlight w:val="none"/>
        </w:rPr>
        <w:t>0/60</w:t>
      </w:r>
      <w:r>
        <w:rPr>
          <w:rFonts w:hint="eastAsia"/>
          <w:sz w:val="24"/>
          <w:highlight w:val="none"/>
        </w:rPr>
        <w:t>Hz</w:t>
      </w:r>
      <w:r>
        <w:rPr>
          <w:sz w:val="24"/>
          <w:highlight w:val="none"/>
        </w:rPr>
        <w:t>;</w:t>
      </w:r>
    </w:p>
    <w:p>
      <w:pPr>
        <w:ind w:firstLine="480" w:firstLineChars="200"/>
        <w:rPr>
          <w:sz w:val="24"/>
          <w:highlight w:val="none"/>
        </w:rPr>
      </w:pPr>
      <w:r>
        <w:rPr>
          <w:rFonts w:hint="eastAsia"/>
          <w:sz w:val="24"/>
          <w:highlight w:val="none"/>
        </w:rPr>
        <w:t xml:space="preserve">  </w:t>
      </w:r>
      <w:r>
        <w:rPr>
          <w:sz w:val="24"/>
          <w:highlight w:val="none"/>
        </w:rPr>
        <w:t xml:space="preserve">3.7 </w:t>
      </w:r>
      <w:r>
        <w:rPr>
          <w:rFonts w:hint="eastAsia"/>
          <w:sz w:val="24"/>
          <w:highlight w:val="none"/>
        </w:rPr>
        <w:t>数据接口：含以太网，RS</w:t>
      </w:r>
      <w:r>
        <w:rPr>
          <w:sz w:val="24"/>
          <w:highlight w:val="none"/>
        </w:rPr>
        <w:t>232</w:t>
      </w:r>
      <w:r>
        <w:rPr>
          <w:rFonts w:hint="eastAsia"/>
          <w:sz w:val="24"/>
          <w:highlight w:val="none"/>
        </w:rPr>
        <w:t>，USB，光绝缘数字输入/输出端口，以及模拟输出；</w:t>
      </w:r>
    </w:p>
    <w:p>
      <w:pPr>
        <w:ind w:firstLine="480" w:firstLineChars="200"/>
        <w:rPr>
          <w:sz w:val="24"/>
          <w:highlight w:val="none"/>
        </w:rPr>
      </w:pPr>
      <w:r>
        <w:rPr>
          <w:rFonts w:hint="eastAsia"/>
          <w:sz w:val="24"/>
          <w:highlight w:val="none"/>
        </w:rPr>
        <w:t>▲</w:t>
      </w:r>
      <w:r>
        <w:rPr>
          <w:sz w:val="24"/>
          <w:highlight w:val="none"/>
        </w:rPr>
        <w:t xml:space="preserve">3.8 </w:t>
      </w:r>
      <w:r>
        <w:rPr>
          <w:rFonts w:hint="eastAsia"/>
          <w:sz w:val="24"/>
          <w:highlight w:val="none"/>
        </w:rPr>
        <w:t>设备含有一部NO分析仪，一部NO</w:t>
      </w:r>
      <w:r>
        <w:rPr>
          <w:rFonts w:hint="eastAsia"/>
          <w:sz w:val="24"/>
          <w:highlight w:val="none"/>
          <w:vertAlign w:val="subscript"/>
        </w:rPr>
        <w:t>y</w:t>
      </w:r>
      <w:r>
        <w:rPr>
          <w:rFonts w:hint="eastAsia"/>
          <w:sz w:val="24"/>
          <w:highlight w:val="none"/>
        </w:rPr>
        <w:t>转换器以及旁通泵模组，一套外置泵以及转换器延长管路；</w:t>
      </w:r>
    </w:p>
    <w:p>
      <w:pPr>
        <w:ind w:firstLine="480" w:firstLineChars="200"/>
        <w:rPr>
          <w:sz w:val="24"/>
          <w:highlight w:val="none"/>
        </w:rPr>
      </w:pPr>
      <w:r>
        <w:rPr>
          <w:rFonts w:hint="eastAsia"/>
          <w:sz w:val="24"/>
          <w:highlight w:val="none"/>
        </w:rPr>
        <w:t>▲</w:t>
      </w:r>
      <w:r>
        <w:rPr>
          <w:sz w:val="24"/>
          <w:highlight w:val="none"/>
        </w:rPr>
        <w:t xml:space="preserve">3.9 </w:t>
      </w:r>
      <w:r>
        <w:rPr>
          <w:rFonts w:hint="eastAsia"/>
          <w:sz w:val="24"/>
          <w:highlight w:val="none"/>
        </w:rPr>
        <w:t>NO</w:t>
      </w:r>
      <w:r>
        <w:rPr>
          <w:rFonts w:hint="eastAsia"/>
          <w:sz w:val="24"/>
          <w:highlight w:val="none"/>
          <w:vertAlign w:val="subscript"/>
        </w:rPr>
        <w:t>y</w:t>
      </w:r>
      <w:r>
        <w:rPr>
          <w:rFonts w:hint="eastAsia"/>
          <w:sz w:val="24"/>
          <w:highlight w:val="none"/>
        </w:rPr>
        <w:t>转换器采用镀金催化剂；</w:t>
      </w:r>
    </w:p>
    <w:p>
      <w:pPr>
        <w:ind w:firstLine="480" w:firstLineChars="200"/>
        <w:rPr>
          <w:sz w:val="24"/>
          <w:highlight w:val="none"/>
        </w:rPr>
      </w:pPr>
      <w:r>
        <w:rPr>
          <w:rFonts w:hint="eastAsia"/>
          <w:sz w:val="24"/>
          <w:highlight w:val="none"/>
        </w:rPr>
        <w:t xml:space="preserve">  </w:t>
      </w:r>
      <w:r>
        <w:rPr>
          <w:sz w:val="24"/>
          <w:highlight w:val="none"/>
        </w:rPr>
        <w:t xml:space="preserve">3.10 </w:t>
      </w:r>
      <w:r>
        <w:rPr>
          <w:rFonts w:hint="eastAsia"/>
          <w:sz w:val="24"/>
          <w:highlight w:val="none"/>
        </w:rPr>
        <w:t xml:space="preserve">采样流量： </w:t>
      </w:r>
      <w:r>
        <w:rPr>
          <w:sz w:val="24"/>
          <w:highlight w:val="none"/>
        </w:rPr>
        <w:t xml:space="preserve">1800+/-200 </w:t>
      </w:r>
      <w:r>
        <w:rPr>
          <w:rFonts w:hint="eastAsia"/>
          <w:sz w:val="24"/>
          <w:highlight w:val="none"/>
        </w:rPr>
        <w:t>cc</w:t>
      </w:r>
      <w:r>
        <w:rPr>
          <w:sz w:val="24"/>
          <w:highlight w:val="none"/>
        </w:rPr>
        <w:t>/min;</w:t>
      </w:r>
    </w:p>
    <w:p>
      <w:pPr>
        <w:ind w:firstLine="480" w:firstLineChars="200"/>
        <w:rPr>
          <w:sz w:val="24"/>
          <w:highlight w:val="none"/>
        </w:rPr>
      </w:pPr>
      <w:r>
        <w:rPr>
          <w:rFonts w:hint="eastAsia"/>
          <w:sz w:val="24"/>
          <w:highlight w:val="none"/>
        </w:rPr>
        <w:t xml:space="preserve">  </w:t>
      </w:r>
      <w:r>
        <w:rPr>
          <w:sz w:val="24"/>
          <w:highlight w:val="none"/>
        </w:rPr>
        <w:t xml:space="preserve">3.11 </w:t>
      </w:r>
      <w:r>
        <w:rPr>
          <w:rFonts w:hint="eastAsia"/>
          <w:sz w:val="24"/>
          <w:highlight w:val="none"/>
        </w:rPr>
        <w:t>零点漂移：&lt;</w:t>
      </w:r>
      <w:r>
        <w:rPr>
          <w:sz w:val="24"/>
          <w:highlight w:val="none"/>
        </w:rPr>
        <w:t xml:space="preserve"> 0.1 ppbv/24</w:t>
      </w:r>
      <w:r>
        <w:rPr>
          <w:rFonts w:hint="eastAsia"/>
          <w:sz w:val="24"/>
          <w:highlight w:val="none"/>
        </w:rPr>
        <w:t>小时；</w:t>
      </w:r>
    </w:p>
    <w:p>
      <w:pPr>
        <w:ind w:firstLine="480" w:firstLineChars="200"/>
        <w:rPr>
          <w:sz w:val="24"/>
          <w:highlight w:val="none"/>
        </w:rPr>
      </w:pPr>
      <w:r>
        <w:rPr>
          <w:rFonts w:hint="eastAsia"/>
          <w:sz w:val="24"/>
          <w:highlight w:val="none"/>
        </w:rPr>
        <w:t xml:space="preserve">  </w:t>
      </w:r>
      <w:r>
        <w:rPr>
          <w:sz w:val="24"/>
          <w:highlight w:val="none"/>
        </w:rPr>
        <w:t xml:space="preserve">3.12 </w:t>
      </w:r>
      <w:r>
        <w:rPr>
          <w:rFonts w:hint="eastAsia"/>
          <w:sz w:val="24"/>
          <w:highlight w:val="none"/>
        </w:rPr>
        <w:t>跨度漂移：小于读数的0</w:t>
      </w:r>
      <w:r>
        <w:rPr>
          <w:sz w:val="24"/>
          <w:highlight w:val="none"/>
        </w:rPr>
        <w:t>.5%/24</w:t>
      </w:r>
      <w:r>
        <w:rPr>
          <w:rFonts w:hint="eastAsia"/>
          <w:sz w:val="24"/>
          <w:highlight w:val="none"/>
        </w:rPr>
        <w:t>小时；</w:t>
      </w:r>
    </w:p>
    <w:p>
      <w:pPr>
        <w:ind w:firstLine="480" w:firstLineChars="200"/>
        <w:rPr>
          <w:sz w:val="24"/>
          <w:highlight w:val="none"/>
        </w:rPr>
      </w:pPr>
      <w:r>
        <w:rPr>
          <w:rFonts w:hint="eastAsia"/>
          <w:sz w:val="24"/>
          <w:highlight w:val="none"/>
        </w:rPr>
        <w:t xml:space="preserve">  </w:t>
      </w:r>
      <w:r>
        <w:rPr>
          <w:sz w:val="24"/>
          <w:highlight w:val="none"/>
        </w:rPr>
        <w:t xml:space="preserve">3.13 </w:t>
      </w:r>
      <w:r>
        <w:rPr>
          <w:rFonts w:hint="eastAsia"/>
          <w:sz w:val="24"/>
          <w:highlight w:val="none"/>
        </w:rPr>
        <w:t>响应时间：T</w:t>
      </w:r>
      <w:r>
        <w:rPr>
          <w:sz w:val="24"/>
          <w:highlight w:val="none"/>
          <w:vertAlign w:val="subscript"/>
        </w:rPr>
        <w:t>95</w:t>
      </w:r>
      <w:r>
        <w:rPr>
          <w:sz w:val="24"/>
          <w:highlight w:val="none"/>
        </w:rPr>
        <w:t xml:space="preserve"> </w:t>
      </w:r>
      <w:r>
        <w:rPr>
          <w:rFonts w:hint="eastAsia"/>
          <w:sz w:val="24"/>
          <w:highlight w:val="none"/>
        </w:rPr>
        <w:t>&lt;</w:t>
      </w:r>
      <w:r>
        <w:rPr>
          <w:sz w:val="24"/>
          <w:highlight w:val="none"/>
        </w:rPr>
        <w:t xml:space="preserve"> 70</w:t>
      </w:r>
      <w:r>
        <w:rPr>
          <w:rFonts w:hint="eastAsia"/>
          <w:sz w:val="24"/>
          <w:highlight w:val="none"/>
        </w:rPr>
        <w:t>秒；</w:t>
      </w:r>
    </w:p>
    <w:p>
      <w:pPr>
        <w:ind w:firstLine="480" w:firstLineChars="200"/>
        <w:rPr>
          <w:sz w:val="24"/>
          <w:highlight w:val="none"/>
        </w:rPr>
      </w:pPr>
      <w:r>
        <w:rPr>
          <w:rFonts w:hint="eastAsia"/>
          <w:sz w:val="24"/>
          <w:highlight w:val="none"/>
        </w:rPr>
        <w:t xml:space="preserve">  </w:t>
      </w:r>
      <w:r>
        <w:rPr>
          <w:sz w:val="24"/>
          <w:highlight w:val="none"/>
        </w:rPr>
        <w:t xml:space="preserve">3.14 </w:t>
      </w:r>
      <w:r>
        <w:rPr>
          <w:rFonts w:hint="eastAsia"/>
          <w:sz w:val="24"/>
          <w:highlight w:val="none"/>
        </w:rPr>
        <w:t>线性范围： 满量程的1</w:t>
      </w:r>
      <w:r>
        <w:rPr>
          <w:sz w:val="24"/>
          <w:highlight w:val="none"/>
        </w:rPr>
        <w:t>%</w:t>
      </w:r>
      <w:r>
        <w:rPr>
          <w:rFonts w:hint="eastAsia"/>
          <w:sz w:val="24"/>
          <w:highlight w:val="none"/>
        </w:rPr>
        <w:t>。</w:t>
      </w:r>
    </w:p>
    <w:p>
      <w:pPr>
        <w:ind w:firstLine="480" w:firstLineChars="200"/>
        <w:rPr>
          <w:sz w:val="24"/>
          <w:highlight w:val="none"/>
        </w:rPr>
      </w:pPr>
      <w:r>
        <w:rPr>
          <w:rFonts w:hint="eastAsia"/>
          <w:sz w:val="24"/>
          <w:highlight w:val="none"/>
        </w:rPr>
        <w:t xml:space="preserve">  3.15 配有彩色触摸屏，仪器参数实时图形化显示，前面板USB接口支持方便数据下载</w:t>
      </w:r>
    </w:p>
    <w:p>
      <w:pPr>
        <w:ind w:firstLine="480" w:firstLineChars="200"/>
        <w:rPr>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9"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8"/>
    <w:bookmarkEnd w:id="9"/>
    <w:p>
      <w:pPr>
        <w:jc w:val="left"/>
        <w:rPr>
          <w:rFonts w:hint="eastAsia"/>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pStyle w:val="4"/>
        <w:rPr>
          <w:rFonts w:ascii="宋体" w:hAnsi="宋体" w:eastAsia="宋体" w:cs="仿宋"/>
          <w:bCs/>
          <w:sz w:val="28"/>
          <w:szCs w:val="28"/>
          <w:highlight w:val="none"/>
        </w:rPr>
      </w:pPr>
      <w:r>
        <w:rPr>
          <w:rFonts w:ascii="Times New Roman" w:hAnsi="Times New Roman"/>
          <w:b w:val="0"/>
          <w:bCs/>
          <w:sz w:val="28"/>
          <w:szCs w:val="28"/>
          <w:highlight w:val="none"/>
        </w:rPr>
        <w:t>4.1</w:t>
      </w:r>
      <w:r>
        <w:rPr>
          <w:rFonts w:hint="eastAsia" w:ascii="宋体" w:hAnsi="宋体" w:eastAsia="宋体" w:cs="仿宋"/>
          <w:bCs/>
          <w:sz w:val="28"/>
          <w:szCs w:val="28"/>
          <w:highlight w:val="none"/>
        </w:rPr>
        <w:t>合同签订后，供货商需6个月内完成供货，交货地点为南京信息工程大学；</w:t>
      </w:r>
    </w:p>
    <w:p>
      <w:pPr>
        <w:pStyle w:val="4"/>
        <w:rPr>
          <w:rFonts w:hint="eastAsia" w:ascii="宋体" w:hAnsi="宋体" w:eastAsia="宋体" w:cs="仿宋"/>
          <w:bCs/>
          <w:sz w:val="28"/>
          <w:szCs w:val="28"/>
          <w:highlight w:val="none"/>
        </w:rPr>
      </w:pPr>
      <w:r>
        <w:rPr>
          <w:rFonts w:ascii="Times New Roman" w:hAnsi="Times New Roman"/>
          <w:b w:val="0"/>
          <w:bCs/>
          <w:sz w:val="28"/>
          <w:szCs w:val="28"/>
          <w:highlight w:val="none"/>
        </w:rPr>
        <w:t>4.2</w:t>
      </w:r>
      <w:r>
        <w:rPr>
          <w:rFonts w:hint="eastAsia" w:ascii="宋体" w:hAnsi="宋体" w:eastAsia="宋体" w:cs="仿宋"/>
          <w:bCs/>
          <w:sz w:val="28"/>
          <w:szCs w:val="28"/>
          <w:highlight w:val="none"/>
        </w:rPr>
        <w:t>厂家需派工程师到场完成设备安装、调试，性能需满足招标参数列表所提要求；</w:t>
      </w:r>
    </w:p>
    <w:p>
      <w:pPr>
        <w:pStyle w:val="4"/>
        <w:rPr>
          <w:rFonts w:hint="eastAsia" w:ascii="Times New Roman" w:hAnsi="Times New Roman"/>
          <w:b w:val="0"/>
          <w:bCs/>
          <w:sz w:val="28"/>
          <w:szCs w:val="28"/>
          <w:highlight w:val="none"/>
        </w:rPr>
      </w:pPr>
      <w:r>
        <w:rPr>
          <w:rFonts w:hint="eastAsia" w:ascii="Times New Roman" w:hAnsi="Times New Roman"/>
          <w:b w:val="0"/>
          <w:bCs/>
          <w:sz w:val="28"/>
          <w:szCs w:val="28"/>
          <w:highlight w:val="none"/>
        </w:rPr>
        <w:t>4.3</w:t>
      </w:r>
      <w:r>
        <w:rPr>
          <w:rFonts w:ascii="Times New Roman" w:hAnsi="Times New Roman"/>
          <w:b w:val="0"/>
          <w:bCs/>
          <w:sz w:val="28"/>
          <w:szCs w:val="28"/>
          <w:highlight w:val="none"/>
        </w:rPr>
        <w:t xml:space="preserve"> </w:t>
      </w:r>
      <w:r>
        <w:rPr>
          <w:rFonts w:hint="eastAsia" w:ascii="宋体" w:hAnsi="宋体" w:eastAsia="宋体" w:cs="仿宋"/>
          <w:bCs/>
          <w:sz w:val="28"/>
          <w:szCs w:val="28"/>
          <w:highlight w:val="none"/>
        </w:rPr>
        <w:t>验收合格之日起，厂家提供12个月免费质保；</w:t>
      </w:r>
    </w:p>
    <w:p>
      <w:pPr>
        <w:pStyle w:val="4"/>
        <w:rPr>
          <w:rFonts w:hint="eastAsia" w:ascii="宋体" w:hAnsi="宋体" w:cs="仿宋"/>
          <w:bCs/>
          <w:sz w:val="28"/>
          <w:szCs w:val="28"/>
          <w:highlight w:val="none"/>
        </w:rPr>
      </w:pPr>
      <w:r>
        <w:rPr>
          <w:rFonts w:hint="eastAsia" w:ascii="Times New Roman" w:hAnsi="Times New Roman"/>
          <w:b w:val="0"/>
          <w:bCs/>
          <w:sz w:val="28"/>
          <w:szCs w:val="28"/>
          <w:highlight w:val="none"/>
        </w:rPr>
        <w:t>4.4</w:t>
      </w:r>
      <w:r>
        <w:rPr>
          <w:rFonts w:hint="eastAsia" w:ascii="宋体" w:hAnsi="宋体" w:eastAsia="宋体" w:cs="仿宋"/>
          <w:bCs/>
          <w:sz w:val="28"/>
          <w:szCs w:val="28"/>
          <w:highlight w:val="none"/>
        </w:rPr>
        <w:t>质保期内，出现质量问题，厂家需在24小时内响应，72小时内提供解决方案；</w:t>
      </w:r>
    </w:p>
    <w:p>
      <w:pPr>
        <w:pStyle w:val="4"/>
        <w:rPr>
          <w:rFonts w:hint="eastAsia" w:ascii="Times New Roman" w:hAnsi="Times New Roman"/>
          <w:b w:val="0"/>
          <w:bCs/>
          <w:sz w:val="28"/>
          <w:szCs w:val="28"/>
          <w:highlight w:val="none"/>
        </w:rPr>
      </w:pPr>
      <w:r>
        <w:rPr>
          <w:rFonts w:hint="eastAsia" w:ascii="Times New Roman" w:hAnsi="Times New Roman"/>
          <w:b w:val="0"/>
          <w:bCs/>
          <w:sz w:val="28"/>
          <w:szCs w:val="28"/>
          <w:highlight w:val="none"/>
        </w:rPr>
        <w:t>4.5</w:t>
      </w:r>
      <w:r>
        <w:rPr>
          <w:rFonts w:hint="eastAsia" w:ascii="宋体" w:hAnsi="宋体" w:eastAsia="宋体" w:cs="仿宋"/>
          <w:bCs/>
          <w:sz w:val="28"/>
          <w:szCs w:val="28"/>
          <w:highlight w:val="none"/>
        </w:rPr>
        <w:t>质保期外，厂家需提供免费远程技术支持。</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：评标办法（设置100分的评分办法，以下是设备类的参考，根据各项目自行设置。注：价格分，服务类不得低于10分，货物类不得低于30分；投标文件制作2分为固定分值）</w:t>
      </w:r>
    </w:p>
    <w:p>
      <w:pPr>
        <w:spacing w:line="360" w:lineRule="auto"/>
        <w:ind w:firstLine="480" w:firstLineChars="200"/>
        <w:rPr>
          <w:b/>
          <w:sz w:val="28"/>
          <w:szCs w:val="28"/>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276" w:type="dxa"/>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5103" w:type="dxa"/>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1048" w:type="dxa"/>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highlight w:val="none"/>
              </w:rPr>
            </w:pPr>
            <w:r>
              <w:rPr>
                <w:rFonts w:hint="eastAsia" w:ascii="宋体" w:hAnsi="宋体" w:cs="宋体"/>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1.1</w:t>
            </w:r>
          </w:p>
        </w:tc>
        <w:tc>
          <w:tcPr>
            <w:tcW w:w="1276" w:type="dxa"/>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投标报价</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highlight w:val="none"/>
              </w:rPr>
            </w:pPr>
            <w:r>
              <w:rPr>
                <w:rFonts w:hint="eastAsia" w:ascii="宋体" w:hAnsi="宋体" w:cs="宋体"/>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276"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技术参数</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设备技术参数全部满足招标要求的得满分；打▲项为重要指标项，有一项负偏离扣5分，扣完为止。非打▲指标项，有一项负偏离扣3分，扣完为止。严重负偏离影响设备性能的经半数以上评委认定，本项得零分。</w:t>
            </w:r>
          </w:p>
          <w:p>
            <w:pPr>
              <w:spacing w:line="360" w:lineRule="exact"/>
              <w:rPr>
                <w:rFonts w:ascii="宋体" w:hAnsi="宋体" w:cs="宋体"/>
                <w:kern w:val="0"/>
                <w:szCs w:val="21"/>
                <w:highlight w:val="none"/>
              </w:rPr>
            </w:pPr>
            <w:r>
              <w:rPr>
                <w:rFonts w:hint="eastAsia" w:ascii="宋体" w:hAnsi="宋体" w:cs="宋体"/>
                <w:kern w:val="0"/>
                <w:szCs w:val="21"/>
                <w:highlight w:val="none"/>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highlight w:val="none"/>
              </w:rPr>
            </w:pPr>
            <w:r>
              <w:rPr>
                <w:rFonts w:hint="eastAsia" w:ascii="宋体" w:hAnsi="宋体" w:cs="宋体"/>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3.1</w:t>
            </w:r>
          </w:p>
          <w:p>
            <w:pPr>
              <w:spacing w:line="360" w:lineRule="exact"/>
              <w:jc w:val="center"/>
              <w:rPr>
                <w:rFonts w:ascii="宋体" w:hAnsi="宋体" w:cs="宋体"/>
                <w:kern w:val="0"/>
                <w:szCs w:val="21"/>
                <w:highlight w:val="none"/>
              </w:rPr>
            </w:pP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依据供应商提供的本次招标采购设备到校后的安装调试方案的完整性、合理性最优的得</w:t>
            </w:r>
            <w:r>
              <w:rPr>
                <w:rFonts w:ascii="宋体" w:hAnsi="宋体" w:cs="宋体"/>
                <w:szCs w:val="21"/>
                <w:highlight w:val="none"/>
              </w:rPr>
              <w:t>2</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3.2</w:t>
            </w:r>
          </w:p>
        </w:tc>
        <w:tc>
          <w:tcPr>
            <w:tcW w:w="1276" w:type="dxa"/>
            <w:vAlign w:val="center"/>
          </w:tcPr>
          <w:p>
            <w:pPr>
              <w:kinsoku w:val="0"/>
              <w:overflowPunct w:val="0"/>
              <w:spacing w:after="120" w:line="360" w:lineRule="exact"/>
              <w:ind w:left="337"/>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售后服务方案</w:t>
            </w:r>
          </w:p>
          <w:p>
            <w:pPr>
              <w:spacing w:line="360" w:lineRule="exact"/>
              <w:jc w:val="center"/>
              <w:rPr>
                <w:rFonts w:ascii="宋体" w:hAnsi="宋体" w:cs="宋体"/>
                <w:kern w:val="0"/>
                <w:szCs w:val="21"/>
                <w:highlight w:val="none"/>
              </w:rPr>
            </w:pPr>
          </w:p>
        </w:tc>
        <w:tc>
          <w:tcPr>
            <w:tcW w:w="5103" w:type="dxa"/>
            <w:vAlign w:val="center"/>
          </w:tcPr>
          <w:p>
            <w:pPr>
              <w:kinsoku w:val="0"/>
              <w:overflowPunct w:val="0"/>
              <w:spacing w:before="88" w:after="120" w:line="360" w:lineRule="exact"/>
              <w:jc w:val="left"/>
              <w:rPr>
                <w:rFonts w:ascii="宋体" w:hAnsi="宋体" w:cs="宋体"/>
                <w:szCs w:val="21"/>
                <w:highlight w:val="none"/>
              </w:rPr>
            </w:pPr>
            <w:r>
              <w:rPr>
                <w:rFonts w:hint="eastAsia" w:ascii="宋体" w:hAnsi="宋体" w:cs="宋体"/>
                <w:szCs w:val="21"/>
                <w:highlight w:val="none"/>
              </w:rPr>
              <w:t>售后服务方案（服务体系、服务内容、故障解决方案、专业技术人员保障及服务电话）最优的得</w:t>
            </w:r>
            <w:r>
              <w:rPr>
                <w:rFonts w:ascii="宋体" w:hAnsi="宋体" w:cs="宋体"/>
                <w:szCs w:val="21"/>
                <w:highlight w:val="none"/>
              </w:rPr>
              <w:t>3</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highlight w:val="none"/>
              </w:rPr>
            </w:pPr>
          </w:p>
          <w:p>
            <w:pPr>
              <w:kinsoku w:val="0"/>
              <w:overflowPunct w:val="0"/>
              <w:spacing w:after="120" w:line="360" w:lineRule="exact"/>
              <w:ind w:left="213"/>
              <w:rPr>
                <w:rFonts w:ascii="宋体" w:hAnsi="宋体" w:cs="宋体"/>
                <w:szCs w:val="21"/>
                <w:highlight w:val="none"/>
              </w:rPr>
            </w:pPr>
            <w:r>
              <w:rPr>
                <w:rFonts w:hint="eastAsia" w:ascii="宋体" w:hAnsi="宋体" w:cs="宋体"/>
                <w:szCs w:val="21"/>
                <w:highlight w:val="none"/>
              </w:rPr>
              <w:t>4.1</w:t>
            </w:r>
          </w:p>
        </w:tc>
        <w:tc>
          <w:tcPr>
            <w:tcW w:w="1276" w:type="dxa"/>
          </w:tcPr>
          <w:p>
            <w:pPr>
              <w:kinsoku w:val="0"/>
              <w:overflowPunct w:val="0"/>
              <w:spacing w:after="120" w:line="360" w:lineRule="exact"/>
              <w:ind w:left="155" w:right="155"/>
              <w:jc w:val="center"/>
              <w:rPr>
                <w:rFonts w:ascii="宋体" w:hAnsi="宋体" w:cs="宋体"/>
                <w:szCs w:val="21"/>
                <w:highlight w:val="none"/>
              </w:rPr>
            </w:pPr>
          </w:p>
          <w:p>
            <w:pPr>
              <w:kinsoku w:val="0"/>
              <w:overflowPunct w:val="0"/>
              <w:spacing w:after="120" w:line="360" w:lineRule="exact"/>
              <w:ind w:left="155" w:right="155"/>
              <w:jc w:val="center"/>
              <w:rPr>
                <w:rFonts w:ascii="宋体" w:hAnsi="宋体" w:cs="宋体"/>
                <w:kern w:val="0"/>
                <w:szCs w:val="21"/>
                <w:highlight w:val="none"/>
              </w:rPr>
            </w:pPr>
            <w:r>
              <w:rPr>
                <w:rFonts w:hint="eastAsia" w:ascii="宋体" w:hAnsi="宋体" w:cs="宋体"/>
                <w:szCs w:val="21"/>
                <w:highlight w:val="none"/>
              </w:rPr>
              <w:t>业绩</w:t>
            </w:r>
          </w:p>
        </w:tc>
        <w:tc>
          <w:tcPr>
            <w:tcW w:w="5103" w:type="dxa"/>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依据投标人近5年以来完成过同类项目案例，每提供一个得</w:t>
            </w:r>
            <w:r>
              <w:rPr>
                <w:rFonts w:ascii="宋体" w:hAnsi="宋体" w:cs="宋体"/>
                <w:szCs w:val="21"/>
                <w:highlight w:val="none"/>
              </w:rPr>
              <w:t>1</w:t>
            </w:r>
            <w:r>
              <w:rPr>
                <w:rFonts w:hint="eastAsia" w:ascii="宋体" w:hAnsi="宋体" w:cs="宋体"/>
                <w:szCs w:val="21"/>
                <w:highlight w:val="none"/>
              </w:rPr>
              <w:t>分，最多</w:t>
            </w:r>
            <w:r>
              <w:rPr>
                <w:rFonts w:ascii="宋体" w:hAnsi="宋体" w:cs="宋体"/>
                <w:szCs w:val="21"/>
                <w:highlight w:val="none"/>
              </w:rPr>
              <w:t>5</w:t>
            </w:r>
            <w:r>
              <w:rPr>
                <w:rFonts w:hint="eastAsia" w:ascii="宋体" w:hAnsi="宋体" w:cs="宋体"/>
                <w:szCs w:val="21"/>
                <w:highlight w:val="none"/>
              </w:rPr>
              <w:t>分。须提供有效的合同（时间以合同签订日期为准）。（复印件加盖公章，原件备查）。</w:t>
            </w:r>
          </w:p>
        </w:tc>
        <w:tc>
          <w:tcPr>
            <w:tcW w:w="1048"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1704" w:type="dxa"/>
            <w:vAlign w:val="center"/>
          </w:tcPr>
          <w:p>
            <w:pPr>
              <w:kinsoku w:val="0"/>
              <w:overflowPunct w:val="0"/>
              <w:spacing w:after="120" w:line="360" w:lineRule="exact"/>
              <w:ind w:left="213"/>
              <w:jc w:val="center"/>
              <w:rPr>
                <w:rFonts w:ascii="宋体" w:hAnsi="宋体" w:cs="宋体"/>
                <w:kern w:val="0"/>
                <w:szCs w:val="21"/>
                <w:highlight w:val="none"/>
              </w:rPr>
            </w:pPr>
            <w:r>
              <w:rPr>
                <w:rFonts w:hint="eastAsia" w:ascii="宋体" w:hAnsi="宋体" w:cs="宋体"/>
                <w:szCs w:val="21"/>
                <w:highlight w:val="none"/>
              </w:rPr>
              <w:t>5.1</w:t>
            </w:r>
          </w:p>
        </w:tc>
        <w:tc>
          <w:tcPr>
            <w:tcW w:w="1276" w:type="dxa"/>
            <w:vAlign w:val="center"/>
          </w:tcPr>
          <w:p>
            <w:pPr>
              <w:kinsoku w:val="0"/>
              <w:overflowPunct w:val="0"/>
              <w:spacing w:after="120" w:line="360" w:lineRule="exact"/>
              <w:ind w:left="155" w:right="155"/>
              <w:jc w:val="center"/>
              <w:rPr>
                <w:rFonts w:ascii="宋体" w:hAnsi="宋体" w:cs="宋体"/>
                <w:szCs w:val="21"/>
                <w:highlight w:val="none"/>
              </w:rPr>
            </w:pPr>
            <w:r>
              <w:rPr>
                <w:rFonts w:hint="eastAsia" w:ascii="宋体" w:hAnsi="宋体" w:cs="宋体"/>
                <w:szCs w:val="21"/>
                <w:highlight w:val="none"/>
              </w:rPr>
              <w:t>企业实力</w:t>
            </w:r>
          </w:p>
          <w:p>
            <w:pPr>
              <w:spacing w:line="360" w:lineRule="exact"/>
              <w:jc w:val="center"/>
              <w:rPr>
                <w:rFonts w:ascii="宋体" w:hAnsi="宋体" w:cs="宋体"/>
                <w:kern w:val="0"/>
                <w:szCs w:val="21"/>
                <w:highlight w:val="none"/>
              </w:rPr>
            </w:pPr>
          </w:p>
        </w:tc>
        <w:tc>
          <w:tcPr>
            <w:tcW w:w="5103" w:type="dxa"/>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AAA信用企业（3分）：具有信用评级机构出具的信用评级报告为AAA级证书的，最多得3分。（复印件加盖单位公章）</w:t>
            </w:r>
          </w:p>
        </w:tc>
        <w:tc>
          <w:tcPr>
            <w:tcW w:w="1048"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highlight w:val="none"/>
              </w:rPr>
            </w:pPr>
            <w:r>
              <w:rPr>
                <w:rFonts w:hint="eastAsia" w:ascii="宋体" w:hAnsi="宋体"/>
                <w:szCs w:val="21"/>
                <w:highlight w:val="none"/>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highlight w:val="none"/>
              </w:rPr>
            </w:pPr>
            <w:r>
              <w:rPr>
                <w:rFonts w:hint="eastAsia" w:ascii="宋体" w:hAnsi="宋体"/>
                <w:szCs w:val="21"/>
                <w:highlight w:val="none"/>
              </w:rPr>
              <w:t>6.1</w:t>
            </w:r>
          </w:p>
        </w:tc>
        <w:tc>
          <w:tcPr>
            <w:tcW w:w="1276" w:type="dxa"/>
            <w:vAlign w:val="center"/>
          </w:tcPr>
          <w:p>
            <w:pPr>
              <w:jc w:val="center"/>
              <w:rPr>
                <w:rFonts w:ascii="宋体" w:hAnsi="宋体"/>
                <w:szCs w:val="21"/>
                <w:highlight w:val="none"/>
              </w:rPr>
            </w:pPr>
            <w:r>
              <w:rPr>
                <w:rFonts w:hint="eastAsia" w:ascii="宋体" w:hAnsi="宋体"/>
                <w:szCs w:val="21"/>
                <w:highlight w:val="none"/>
              </w:rPr>
              <w:t>投标文件便于评审</w:t>
            </w:r>
          </w:p>
        </w:tc>
        <w:tc>
          <w:tcPr>
            <w:tcW w:w="5103" w:type="dxa"/>
            <w:vAlign w:val="center"/>
          </w:tcPr>
          <w:p>
            <w:pPr>
              <w:spacing w:line="360" w:lineRule="auto"/>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adjustRightInd w:val="0"/>
        <w:snapToGrid w:val="0"/>
        <w:spacing w:before="156" w:beforeLines="50" w:after="156" w:afterLines="50" w:line="360" w:lineRule="auto"/>
        <w:jc w:val="center"/>
        <w:outlineLvl w:val="0"/>
        <w:rPr>
          <w:rFonts w:ascii="宋体" w:hAnsi="宋体"/>
          <w:b/>
          <w:bCs/>
          <w:sz w:val="24"/>
          <w:highlight w:val="none"/>
        </w:rPr>
      </w:pPr>
      <w:r>
        <w:rPr>
          <w:rFonts w:hint="eastAsia" w:ascii="宋体" w:hAnsi="宋体"/>
          <w:b/>
          <w:sz w:val="24"/>
          <w:highlight w:val="none"/>
        </w:rPr>
        <w:t>（本参考文本供职能部门参考，合同的具体条款可由职能部门依据实际情况进行修改）</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项目名称：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合同编号：</w:t>
      </w:r>
    </w:p>
    <w:p>
      <w:pPr>
        <w:pStyle w:val="10"/>
        <w:adjustRightInd w:val="0"/>
        <w:snapToGrid w:val="0"/>
        <w:spacing w:before="120" w:after="120" w:line="360" w:lineRule="auto"/>
        <w:rPr>
          <w:rFonts w:hAnsi="宋体"/>
          <w:sz w:val="24"/>
          <w:szCs w:val="24"/>
          <w:highlight w:val="none"/>
          <w:u w:val="single"/>
        </w:rPr>
      </w:pPr>
      <w:r>
        <w:rPr>
          <w:rFonts w:hint="eastAsia" w:hAnsi="宋体"/>
          <w:sz w:val="24"/>
          <w:szCs w:val="24"/>
          <w:highlight w:val="none"/>
        </w:rPr>
        <w:t>甲方：（买方）</w:t>
      </w:r>
      <w:r>
        <w:rPr>
          <w:rFonts w:hint="eastAsia" w:hAnsi="宋体"/>
          <w:sz w:val="24"/>
          <w:szCs w:val="24"/>
          <w:highlight w:val="none"/>
          <w:u w:val="single"/>
        </w:rPr>
        <w:t xml:space="preserve">                    </w:t>
      </w:r>
      <w:r>
        <w:rPr>
          <w:rFonts w:hAnsi="宋体"/>
          <w:sz w:val="24"/>
          <w:szCs w:val="24"/>
          <w:highlight w:val="none"/>
          <w:u w:val="single"/>
        </w:rPr>
        <w:t xml:space="preserve">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乙方：（卖方）</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rPr>
        <w:t xml:space="preserve">         </w:t>
      </w:r>
    </w:p>
    <w:p>
      <w:pPr>
        <w:pStyle w:val="10"/>
        <w:adjustRightInd w:val="0"/>
        <w:snapToGrid w:val="0"/>
        <w:spacing w:before="120" w:after="120" w:line="360" w:lineRule="auto"/>
        <w:ind w:firstLine="480"/>
        <w:rPr>
          <w:rFonts w:hAnsi="宋体"/>
          <w:b/>
          <w:sz w:val="24"/>
          <w:szCs w:val="24"/>
          <w:highlight w:val="none"/>
        </w:rPr>
      </w:pPr>
      <w:r>
        <w:rPr>
          <w:rFonts w:hint="eastAsia" w:hAnsi="宋体"/>
          <w:sz w:val="24"/>
          <w:szCs w:val="24"/>
          <w:highlight w:val="none"/>
        </w:rPr>
        <w:t>甲、乙双方根据甲方</w:t>
      </w:r>
      <w:r>
        <w:rPr>
          <w:rFonts w:hint="eastAsia" w:hAnsi="宋体"/>
          <w:sz w:val="24"/>
          <w:szCs w:val="24"/>
          <w:highlight w:val="none"/>
          <w:u w:val="single"/>
        </w:rPr>
        <w:t xml:space="preserve">               </w:t>
      </w:r>
      <w:r>
        <w:rPr>
          <w:rFonts w:hint="eastAsia" w:hAnsi="宋体"/>
          <w:sz w:val="24"/>
          <w:szCs w:val="24"/>
          <w:highlight w:val="none"/>
        </w:rPr>
        <w:t>项目采购谈判的结果，签署本合同。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一、货物内容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032"/>
        <w:gridCol w:w="247"/>
        <w:gridCol w:w="741"/>
        <w:gridCol w:w="1031"/>
        <w:gridCol w:w="1031"/>
        <w:gridCol w:w="1031"/>
        <w:gridCol w:w="1031"/>
        <w:gridCol w:w="1033"/>
        <w:gridCol w:w="102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b/>
                <w:sz w:val="24"/>
                <w:highlight w:val="none"/>
              </w:rPr>
            </w:pPr>
            <w:r>
              <w:rPr>
                <w:rFonts w:hint="eastAsia" w:ascii="宋体" w:hAnsi="宋体"/>
                <w:b/>
                <w:sz w:val="24"/>
                <w:highlight w:val="none"/>
              </w:rPr>
              <w:t>分包号</w:t>
            </w:r>
          </w:p>
        </w:tc>
        <w:tc>
          <w:tcPr>
            <w:tcW w:w="1032" w:type="dxa"/>
            <w:vAlign w:val="center"/>
          </w:tcPr>
          <w:p>
            <w:pPr>
              <w:spacing w:line="360" w:lineRule="auto"/>
              <w:jc w:val="center"/>
              <w:rPr>
                <w:rFonts w:ascii="宋体" w:hAnsi="宋体"/>
                <w:b/>
                <w:sz w:val="24"/>
                <w:highlight w:val="none"/>
              </w:rPr>
            </w:pPr>
            <w:r>
              <w:rPr>
                <w:rFonts w:hint="eastAsia" w:ascii="宋体" w:hAnsi="宋体"/>
                <w:b/>
                <w:sz w:val="24"/>
                <w:highlight w:val="none"/>
              </w:rPr>
              <w:t>货物</w:t>
            </w:r>
          </w:p>
          <w:p>
            <w:pPr>
              <w:spacing w:line="360" w:lineRule="auto"/>
              <w:jc w:val="center"/>
              <w:rPr>
                <w:rFonts w:ascii="宋体" w:hAnsi="宋体"/>
                <w:b/>
                <w:sz w:val="24"/>
                <w:highlight w:val="none"/>
              </w:rPr>
            </w:pPr>
            <w:r>
              <w:rPr>
                <w:rFonts w:hint="eastAsia" w:ascii="宋体" w:hAnsi="宋体"/>
                <w:b/>
                <w:sz w:val="24"/>
                <w:highlight w:val="none"/>
              </w:rPr>
              <w:t>名称</w:t>
            </w:r>
          </w:p>
        </w:tc>
        <w:tc>
          <w:tcPr>
            <w:tcW w:w="988" w:type="dxa"/>
            <w:gridSpan w:val="2"/>
            <w:vAlign w:val="center"/>
          </w:tcPr>
          <w:p>
            <w:pPr>
              <w:spacing w:line="360" w:lineRule="auto"/>
              <w:jc w:val="center"/>
              <w:rPr>
                <w:rFonts w:ascii="宋体" w:hAnsi="宋体"/>
                <w:b/>
                <w:sz w:val="24"/>
                <w:highlight w:val="none"/>
              </w:rPr>
            </w:pPr>
            <w:r>
              <w:rPr>
                <w:rFonts w:hint="eastAsia" w:ascii="宋体" w:hAnsi="宋体"/>
                <w:b/>
                <w:sz w:val="24"/>
                <w:highlight w:val="none"/>
              </w:rPr>
              <w:t>型号/</w:t>
            </w:r>
          </w:p>
          <w:p>
            <w:pPr>
              <w:spacing w:line="360" w:lineRule="auto"/>
              <w:jc w:val="center"/>
              <w:rPr>
                <w:rFonts w:ascii="宋体" w:hAnsi="宋体"/>
                <w:b/>
                <w:sz w:val="24"/>
                <w:highlight w:val="none"/>
              </w:rPr>
            </w:pPr>
            <w:r>
              <w:rPr>
                <w:rFonts w:hint="eastAsia" w:ascii="宋体" w:hAnsi="宋体"/>
                <w:b/>
                <w:sz w:val="24"/>
                <w:highlight w:val="none"/>
              </w:rPr>
              <w:t>规格</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品牌/生产厂家/国别</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计量</w:t>
            </w:r>
          </w:p>
          <w:p>
            <w:pPr>
              <w:spacing w:line="360" w:lineRule="auto"/>
              <w:jc w:val="center"/>
              <w:rPr>
                <w:rFonts w:ascii="宋体" w:hAnsi="宋体"/>
                <w:b/>
                <w:sz w:val="24"/>
                <w:highlight w:val="none"/>
              </w:rPr>
            </w:pPr>
            <w:r>
              <w:rPr>
                <w:rFonts w:hint="eastAsia" w:ascii="宋体" w:hAnsi="宋体"/>
                <w:b/>
                <w:sz w:val="24"/>
                <w:highlight w:val="none"/>
              </w:rPr>
              <w:t>单位</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数量</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单价</w:t>
            </w:r>
          </w:p>
        </w:tc>
        <w:tc>
          <w:tcPr>
            <w:tcW w:w="1033" w:type="dxa"/>
            <w:vAlign w:val="center"/>
          </w:tcPr>
          <w:p>
            <w:pPr>
              <w:spacing w:line="360" w:lineRule="auto"/>
              <w:jc w:val="center"/>
              <w:rPr>
                <w:rFonts w:ascii="宋体" w:hAnsi="宋体"/>
                <w:b/>
                <w:sz w:val="24"/>
                <w:highlight w:val="none"/>
              </w:rPr>
            </w:pPr>
            <w:r>
              <w:rPr>
                <w:rFonts w:hint="eastAsia" w:ascii="宋体" w:hAnsi="宋体"/>
                <w:b/>
                <w:sz w:val="24"/>
                <w:highlight w:val="none"/>
              </w:rPr>
              <w:t>每项</w:t>
            </w:r>
          </w:p>
          <w:p>
            <w:pPr>
              <w:spacing w:line="360" w:lineRule="auto"/>
              <w:jc w:val="center"/>
              <w:rPr>
                <w:rFonts w:ascii="宋体" w:hAnsi="宋体"/>
                <w:b/>
                <w:sz w:val="24"/>
                <w:highlight w:val="none"/>
              </w:rPr>
            </w:pPr>
            <w:r>
              <w:rPr>
                <w:rFonts w:hint="eastAsia" w:ascii="宋体" w:hAnsi="宋体"/>
                <w:b/>
                <w:sz w:val="24"/>
                <w:highlight w:val="none"/>
              </w:rPr>
              <w:t>总价</w:t>
            </w:r>
          </w:p>
        </w:tc>
        <w:tc>
          <w:tcPr>
            <w:tcW w:w="1033" w:type="dxa"/>
            <w:gridSpan w:val="2"/>
            <w:vAlign w:val="center"/>
          </w:tcPr>
          <w:p>
            <w:pPr>
              <w:spacing w:line="360" w:lineRule="auto"/>
              <w:jc w:val="center"/>
              <w:rPr>
                <w:rFonts w:ascii="宋体" w:hAns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71" w:hRule="atLeast"/>
        </w:trPr>
        <w:tc>
          <w:tcPr>
            <w:tcW w:w="2311" w:type="dxa"/>
            <w:gridSpan w:val="3"/>
            <w:vAlign w:val="center"/>
          </w:tcPr>
          <w:p>
            <w:pPr>
              <w:spacing w:line="360" w:lineRule="auto"/>
              <w:jc w:val="center"/>
              <w:rPr>
                <w:rFonts w:ascii="宋体" w:hAnsi="宋体"/>
                <w:sz w:val="24"/>
                <w:highlight w:val="none"/>
              </w:rPr>
            </w:pPr>
            <w:r>
              <w:rPr>
                <w:rFonts w:hint="eastAsia" w:ascii="宋体" w:hAnsi="宋体"/>
                <w:sz w:val="24"/>
                <w:highlight w:val="none"/>
              </w:rPr>
              <w:t>合计总价</w:t>
            </w:r>
          </w:p>
        </w:tc>
        <w:tc>
          <w:tcPr>
            <w:tcW w:w="6924" w:type="dxa"/>
            <w:gridSpan w:val="7"/>
            <w:vAlign w:val="center"/>
          </w:tcPr>
          <w:p>
            <w:pPr>
              <w:spacing w:line="360" w:lineRule="auto"/>
              <w:rPr>
                <w:rFonts w:ascii="宋体" w:hAnsi="宋体"/>
                <w:sz w:val="24"/>
                <w:highlight w:val="none"/>
                <w:u w:val="single"/>
              </w:rPr>
            </w:pP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小写：</w:t>
            </w:r>
            <w:r>
              <w:rPr>
                <w:rFonts w:hint="eastAsia" w:ascii="宋体" w:hAnsi="宋体"/>
                <w:sz w:val="24"/>
                <w:highlight w:val="none"/>
                <w:u w:val="single"/>
              </w:rPr>
              <w:t xml:space="preserve">        </w:t>
            </w:r>
            <w:r>
              <w:rPr>
                <w:rFonts w:hint="eastAsia" w:ascii="宋体" w:hAnsi="宋体"/>
                <w:sz w:val="24"/>
                <w:highlight w:val="none"/>
              </w:rPr>
              <w:t>元</w:t>
            </w:r>
          </w:p>
        </w:tc>
      </w:tr>
    </w:tbl>
    <w:p>
      <w:pPr>
        <w:pStyle w:val="10"/>
        <w:adjustRightInd w:val="0"/>
        <w:snapToGrid w:val="0"/>
        <w:spacing w:before="120" w:after="120" w:line="360" w:lineRule="auto"/>
        <w:ind w:firstLine="480"/>
        <w:rPr>
          <w:rFonts w:hAnsi="宋体"/>
          <w:b/>
          <w:sz w:val="24"/>
          <w:szCs w:val="24"/>
          <w:highlight w:val="none"/>
        </w:rPr>
      </w:pP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rPr>
        <w:t>2.1 本合同项下货物总价款为</w:t>
      </w:r>
      <w:r>
        <w:rPr>
          <w:rFonts w:hAnsi="宋体"/>
          <w:sz w:val="24"/>
          <w:szCs w:val="24"/>
          <w:highlight w:val="none"/>
          <w:u w:val="single"/>
        </w:rPr>
        <w:t xml:space="preserve">             </w:t>
      </w:r>
      <w:r>
        <w:rPr>
          <w:rFonts w:hint="eastAsia" w:hAnsi="宋体"/>
          <w:sz w:val="24"/>
          <w:szCs w:val="24"/>
          <w:highlight w:val="none"/>
        </w:rPr>
        <w:t>元人民币，大写</w:t>
      </w:r>
      <w:r>
        <w:rPr>
          <w:rFonts w:hAnsi="宋体"/>
          <w:sz w:val="24"/>
          <w:szCs w:val="24"/>
          <w:highlight w:val="none"/>
          <w:u w:val="single"/>
        </w:rPr>
        <w:t xml:space="preserve">               </w:t>
      </w:r>
      <w:r>
        <w:rPr>
          <w:rFonts w:hint="eastAsia" w:hAnsi="宋体"/>
          <w:sz w:val="24"/>
          <w:szCs w:val="24"/>
          <w:highlight w:val="none"/>
        </w:rPr>
        <w:t xml:space="preserve">元整； </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rPr>
        <w:t>本合同总价款包括货物设计、制造、包装、仓储、运输、专用工具、安装、调试、检验、技术培训及相关资料、以及验收合格之前及保修期内备品备件发生的所有含税费用，同时还包含乙方应当提供的售后服务等费用。</w:t>
      </w:r>
      <w:r>
        <w:rPr>
          <w:rFonts w:hint="eastAsia" w:hAnsi="宋体"/>
          <w:b/>
          <w:bCs/>
          <w:sz w:val="24"/>
          <w:szCs w:val="24"/>
          <w:highlight w:val="none"/>
        </w:rPr>
        <w:t>如果货物为进口货物的，合同金额还包括委托进口代理服务所需的相关费用。</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3.1乙方应按采购文件规定的时间向甲方提供使用货物的有关技术资料。乙方未按合同约定向甲方提交有关技术资料的，视为未按要求交付货物，应当承担相应的违约责任。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360"/>
        <w:rPr>
          <w:rFonts w:hAnsi="宋体"/>
          <w:b/>
          <w:sz w:val="24"/>
          <w:szCs w:val="24"/>
          <w:highlight w:val="none"/>
        </w:rPr>
      </w:pPr>
      <w:r>
        <w:rPr>
          <w:rFonts w:hint="eastAsia" w:hAnsi="宋体"/>
          <w:b/>
          <w:sz w:val="24"/>
          <w:szCs w:val="24"/>
          <w:highlight w:val="none"/>
        </w:rPr>
        <w:t>四、知识产权</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4.1乙方应保证甲方在使用、接受本合同货物和服务或其任何一部分时不受乙方及任何第三方提出侵犯其专利权、版权、商标权和工业设计权等知识产权的起诉。一旦出现侵权起诉，由乙方负全部责任。</w:t>
      </w:r>
    </w:p>
    <w:p>
      <w:pPr>
        <w:pStyle w:val="10"/>
        <w:adjustRightInd w:val="0"/>
        <w:snapToGrid w:val="0"/>
        <w:spacing w:before="120" w:after="120" w:line="360" w:lineRule="auto"/>
        <w:ind w:firstLine="48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firstLine="408"/>
        <w:rPr>
          <w:rFonts w:hAnsi="宋体"/>
          <w:sz w:val="24"/>
          <w:szCs w:val="24"/>
          <w:highlight w:val="none"/>
          <w:u w:val="single"/>
        </w:rPr>
      </w:pPr>
      <w:r>
        <w:rPr>
          <w:rFonts w:hint="eastAsia" w:hAnsi="宋体"/>
          <w:sz w:val="24"/>
          <w:szCs w:val="24"/>
          <w:highlight w:val="none"/>
        </w:rPr>
        <w:t>5.1 乙方保证所交付的货物的所有权完全属于乙方且无任何抵押、查封等产权瑕疵。</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6.1 乙方在签订本合同之前，按合同总价款（</w:t>
      </w:r>
      <w:r>
        <w:rPr>
          <w:rFonts w:hAnsi="宋体"/>
          <w:sz w:val="24"/>
          <w:szCs w:val="24"/>
          <w:highlight w:val="none"/>
          <w:u w:val="single"/>
        </w:rPr>
        <w:t xml:space="preserve">    </w:t>
      </w:r>
      <w:r>
        <w:rPr>
          <w:rFonts w:hint="eastAsia" w:hAnsi="宋体"/>
          <w:sz w:val="24"/>
          <w:szCs w:val="24"/>
          <w:highlight w:val="none"/>
          <w:u w:val="single"/>
        </w:rPr>
        <w:t>10</w:t>
      </w:r>
      <w:r>
        <w:rPr>
          <w:rFonts w:hAnsi="宋体"/>
          <w:sz w:val="24"/>
          <w:szCs w:val="24"/>
          <w:highlight w:val="none"/>
          <w:u w:val="single"/>
        </w:rPr>
        <w:t xml:space="preserve">   </w:t>
      </w:r>
      <w:r>
        <w:rPr>
          <w:rFonts w:hint="eastAsia" w:hAnsi="宋体"/>
          <w:sz w:val="24"/>
          <w:szCs w:val="24"/>
          <w:highlight w:val="none"/>
        </w:rPr>
        <w:t>%）比例向甲方提交履约保证金人民币</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u w:val="single"/>
        </w:rPr>
        <w:t>元整。</w:t>
      </w:r>
      <w:r>
        <w:rPr>
          <w:rFonts w:hint="eastAsia" w:hAnsi="宋体"/>
          <w:sz w:val="24"/>
          <w:szCs w:val="24"/>
          <w:highlight w:val="none"/>
        </w:rPr>
        <w:t>待项目最终验收合格且甲乙双方签署验收单且加盖甲方公章无异议后 10个工作日内无息返还。</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w:t>
      </w:r>
      <w:r>
        <w:rPr>
          <w:rFonts w:hAnsi="宋体"/>
          <w:sz w:val="24"/>
          <w:szCs w:val="24"/>
          <w:highlight w:val="none"/>
        </w:rPr>
        <w:t>.2</w:t>
      </w:r>
      <w:r>
        <w:rPr>
          <w:rFonts w:hint="eastAsia" w:hAnsi="宋体"/>
          <w:sz w:val="24"/>
          <w:szCs w:val="24"/>
          <w:highlight w:val="none"/>
        </w:rPr>
        <w:t>乙方在履行合同过程中有违约行为的，甲方有权直接从履约保证金中扣除相应的违约金。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w:t>
      </w:r>
      <w:r>
        <w:rPr>
          <w:rFonts w:hAnsi="宋体"/>
          <w:sz w:val="24"/>
          <w:szCs w:val="24"/>
          <w:highlight w:val="none"/>
        </w:rPr>
        <w:t>.3</w:t>
      </w:r>
      <w:r>
        <w:rPr>
          <w:rFonts w:hint="eastAsia" w:hAnsi="宋体"/>
          <w:sz w:val="24"/>
          <w:szCs w:val="24"/>
          <w:highlight w:val="none"/>
        </w:rPr>
        <w:t>乙方在履行合同过程中有严重违约行为，导致合同被解除的，甲方有权没收全部履约保证金。保证金不足以赔偿甲方遭受的损失的，乙方还应继续承担赔偿责任。</w:t>
      </w:r>
    </w:p>
    <w:p>
      <w:pPr>
        <w:adjustRightInd w:val="0"/>
        <w:snapToGrid w:val="0"/>
        <w:spacing w:before="156" w:beforeLines="50" w:after="156" w:afterLines="50" w:line="360" w:lineRule="auto"/>
        <w:ind w:firstLine="480"/>
        <w:rPr>
          <w:rFonts w:ascii="宋体" w:hAnsi="宋体" w:cs="Courier New"/>
          <w:b/>
          <w:sz w:val="24"/>
          <w:highlight w:val="none"/>
        </w:rPr>
      </w:pPr>
      <w:r>
        <w:rPr>
          <w:rFonts w:hint="eastAsia" w:ascii="宋体" w:hAnsi="宋体" w:cs="Courier New"/>
          <w:b/>
          <w:sz w:val="24"/>
          <w:highlight w:val="none"/>
        </w:rPr>
        <w:t>七.转包或分包</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7.1本合同范围的货物，应由乙方直接供应，不得转让他人供应；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7.2 除非得到甲方的书面同意，乙方不得部分分包给他人供应。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7.3如有转让和未经甲方同意的分包行为，甲方有权给予终止合同并追究乙方的违约责任。</w:t>
      </w:r>
    </w:p>
    <w:p>
      <w:pPr>
        <w:pStyle w:val="10"/>
        <w:adjustRightInd w:val="0"/>
        <w:snapToGrid w:val="0"/>
        <w:spacing w:before="120" w:after="120" w:line="360" w:lineRule="auto"/>
        <w:ind w:firstLine="48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8.1 质保期</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u w:val="single"/>
        </w:rPr>
        <w:t xml:space="preserve">1    </w:t>
      </w:r>
      <w:r>
        <w:rPr>
          <w:rFonts w:hint="eastAsia" w:hAnsi="宋体"/>
          <w:sz w:val="24"/>
          <w:szCs w:val="24"/>
          <w:highlight w:val="none"/>
        </w:rPr>
        <w:t>年。（自项目最终验收合格次日起计）</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firstLine="480"/>
        <w:rPr>
          <w:rFonts w:hAnsi="宋体"/>
          <w:bCs/>
          <w:sz w:val="24"/>
          <w:szCs w:val="24"/>
          <w:highlight w:val="none"/>
        </w:rPr>
      </w:pPr>
      <w:r>
        <w:rPr>
          <w:rFonts w:hint="eastAsia" w:hAnsi="宋体"/>
          <w:bCs/>
          <w:sz w:val="24"/>
          <w:szCs w:val="24"/>
          <w:highlight w:val="none"/>
        </w:rPr>
        <w:t>9.1 交货期：</w:t>
      </w:r>
      <w:r>
        <w:rPr>
          <w:rFonts w:hint="eastAsia" w:hAnsi="宋体"/>
          <w:sz w:val="24"/>
          <w:szCs w:val="24"/>
          <w:highlight w:val="none"/>
          <w:u w:val="single"/>
        </w:rPr>
        <w:t>6个月</w:t>
      </w:r>
    </w:p>
    <w:p>
      <w:pPr>
        <w:pStyle w:val="10"/>
        <w:adjustRightInd w:val="0"/>
        <w:snapToGrid w:val="0"/>
        <w:spacing w:before="120" w:after="120" w:line="360" w:lineRule="auto"/>
        <w:ind w:firstLine="480"/>
        <w:rPr>
          <w:rFonts w:hAnsi="宋体"/>
          <w:bCs/>
          <w:sz w:val="24"/>
          <w:szCs w:val="24"/>
          <w:highlight w:val="none"/>
        </w:rPr>
      </w:pPr>
      <w:r>
        <w:rPr>
          <w:rFonts w:hint="eastAsia" w:hAnsi="宋体"/>
          <w:bCs/>
          <w:sz w:val="24"/>
          <w:szCs w:val="24"/>
          <w:highlight w:val="none"/>
        </w:rPr>
        <w:t>9.2 交货方式：</w:t>
      </w:r>
      <w:r>
        <w:rPr>
          <w:rFonts w:hint="eastAsia" w:hAnsi="宋体"/>
          <w:sz w:val="24"/>
          <w:szCs w:val="24"/>
          <w:highlight w:val="none"/>
        </w:rPr>
        <w:t>_乙方送货上门，运费、运杂费、上下力费等相关费用均由乙方自行承担。</w:t>
      </w:r>
    </w:p>
    <w:p>
      <w:pPr>
        <w:pStyle w:val="10"/>
        <w:adjustRightInd w:val="0"/>
        <w:snapToGrid w:val="0"/>
        <w:spacing w:before="120" w:after="120" w:line="360" w:lineRule="auto"/>
        <w:ind w:firstLine="480"/>
        <w:rPr>
          <w:rFonts w:hAnsi="宋体"/>
          <w:b/>
          <w:sz w:val="24"/>
          <w:szCs w:val="24"/>
          <w:highlight w:val="none"/>
        </w:rPr>
      </w:pPr>
      <w:r>
        <w:rPr>
          <w:rFonts w:hint="eastAsia" w:hAnsi="宋体"/>
          <w:bCs/>
          <w:sz w:val="24"/>
          <w:szCs w:val="24"/>
          <w:highlight w:val="none"/>
        </w:rPr>
        <w:t>9.3 交货地点：甲方用户单位地点或用户指定地点。</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十、货款支付</w:t>
      </w:r>
    </w:p>
    <w:p>
      <w:pPr>
        <w:spacing w:line="360" w:lineRule="auto"/>
        <w:ind w:firstLine="480" w:firstLineChars="200"/>
        <w:rPr>
          <w:rFonts w:ascii="宋体" w:hAnsi="宋体"/>
          <w:sz w:val="24"/>
          <w:highlight w:val="none"/>
        </w:rPr>
      </w:pPr>
      <w:r>
        <w:rPr>
          <w:rFonts w:hint="eastAsia" w:ascii="宋体" w:hAnsi="宋体"/>
          <w:sz w:val="24"/>
          <w:highlight w:val="none"/>
        </w:rPr>
        <w:t>10.1国内供应货物：乙方提供全额“增值税专用发票”，凭甲方最终签字和盖章的验收合格报告支付至合同金额95%，剩余金额在质保期满后无质量问题一次付清。</w:t>
      </w:r>
    </w:p>
    <w:p>
      <w:pPr>
        <w:adjustRightInd w:val="0"/>
        <w:snapToGrid w:val="0"/>
        <w:spacing w:before="156" w:beforeLines="50" w:after="156" w:afterLines="50" w:line="360" w:lineRule="auto"/>
        <w:ind w:firstLine="480"/>
        <w:rPr>
          <w:rFonts w:ascii="宋体" w:hAnsi="宋体"/>
          <w:b/>
          <w:sz w:val="24"/>
          <w:highlight w:val="none"/>
        </w:rPr>
      </w:pPr>
      <w:r>
        <w:rPr>
          <w:rFonts w:hint="eastAsia" w:ascii="宋体" w:hAnsi="宋体"/>
          <w:b/>
          <w:sz w:val="24"/>
          <w:highlight w:val="none"/>
        </w:rPr>
        <w:t>十一、税</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11.1发票要求：针对国内供货的货物，乙方开具合同全额“增值税专用发票”（抬头：南京信息工程大学）。（增值税专用发票开票信息：户名：南京信息工程大学  地址：江苏省南京市浦口区宁六路219号  财务电话：025-58731111 开户行：中国农业银行股份有限公司南京盘城支行 账号：</w:t>
      </w:r>
      <w:r>
        <w:rPr>
          <w:rFonts w:ascii="宋体" w:hAnsi="宋体"/>
          <w:sz w:val="24"/>
          <w:highlight w:val="none"/>
        </w:rPr>
        <w:t>10115401040000228</w:t>
      </w:r>
      <w:r>
        <w:rPr>
          <w:rFonts w:hint="eastAsia" w:ascii="宋体" w:hAnsi="宋体"/>
          <w:sz w:val="24"/>
          <w:highlight w:val="none"/>
        </w:rPr>
        <w:t xml:space="preserve"> 税号：12320000466006762K）</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11.2本合同执行中相关的一切税费均由乙方负担。</w:t>
      </w:r>
    </w:p>
    <w:p>
      <w:pPr>
        <w:pStyle w:val="10"/>
        <w:adjustRightInd w:val="0"/>
        <w:snapToGrid w:val="0"/>
        <w:spacing w:before="120" w:after="120" w:line="360" w:lineRule="auto"/>
        <w:ind w:left="1" w:firstLine="48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12.1 乙方应按采购文件规定的货物性能、技术要求、质量标准向甲方提供未经使用的全新产品。</w:t>
      </w:r>
    </w:p>
    <w:p>
      <w:pPr>
        <w:pStyle w:val="10"/>
        <w:adjustRightInd w:val="0"/>
        <w:snapToGrid w:val="0"/>
        <w:spacing w:before="120" w:after="120" w:line="360" w:lineRule="auto"/>
        <w:ind w:firstLine="482"/>
        <w:rPr>
          <w:rFonts w:hAnsi="宋体"/>
          <w:sz w:val="24"/>
          <w:szCs w:val="24"/>
          <w:highlight w:val="none"/>
        </w:rPr>
      </w:pPr>
      <w:r>
        <w:rPr>
          <w:rFonts w:hint="eastAsia" w:hAnsi="宋体"/>
          <w:sz w:val="24"/>
          <w:szCs w:val="24"/>
          <w:highlight w:val="none"/>
        </w:rPr>
        <w:t>12.2 乙方提供的货物在质量期内因货物本身的质量问题发生故障，乙方应负责免费更换。对达不到技术要求者，根据实际情况，经双方协商，可按选择以下办法处理：</w:t>
      </w:r>
    </w:p>
    <w:p>
      <w:pPr>
        <w:adjustRightInd w:val="0"/>
        <w:snapToGrid w:val="0"/>
        <w:spacing w:line="360" w:lineRule="auto"/>
        <w:ind w:firstLine="360" w:firstLineChars="150"/>
        <w:rPr>
          <w:sz w:val="24"/>
          <w:highlight w:val="none"/>
        </w:rPr>
      </w:pPr>
      <w:r>
        <w:rPr>
          <w:rFonts w:hint="eastAsia"/>
          <w:sz w:val="24"/>
          <w:highlight w:val="none"/>
        </w:rPr>
        <w:t>（1）更换：由乙方承担所发生的全部费用。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（2）贬值处理：由甲乙双方合议定价。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（3）退货处理：乙方应退还甲方支付的合同款，同时应承担该货物的直接费用（运输、保险、检验、货款利息及银行手续费等）。</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12.3 如在使用过程中发生质量问题，乙方在接到甲方通知后在</w:t>
      </w:r>
      <w:r>
        <w:rPr>
          <w:rFonts w:hint="eastAsia" w:hAnsi="宋体"/>
          <w:sz w:val="24"/>
          <w:szCs w:val="24"/>
          <w:highlight w:val="none"/>
          <w:u w:val="single"/>
        </w:rPr>
        <w:t xml:space="preserve">    24  </w:t>
      </w:r>
      <w:r>
        <w:rPr>
          <w:rFonts w:hint="eastAsia" w:hAnsi="宋体"/>
          <w:sz w:val="24"/>
          <w:szCs w:val="24"/>
          <w:highlight w:val="none"/>
        </w:rPr>
        <w:t>小时内到达甲方现场。若货物故障在检修8工作小时后仍无法排除，乙方应在72小时内免费提供不低于故障货物规格型号档次的备用货物供甲方使用，直至故障货物修复。</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12.4 在质保期内，乙方应对货物出现的质量及安全问题负责处理解决并承担一切费用。所有货物保修服务方式均为乙方上门保修，即由乙方派员到货物使用现场维修，由此产生的一切费用均由乙方承担。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12.5上述的货物免费保修期为</w:t>
      </w:r>
      <w:r>
        <w:rPr>
          <w:rFonts w:hint="eastAsia" w:hAnsi="宋体"/>
          <w:sz w:val="24"/>
          <w:szCs w:val="24"/>
          <w:highlight w:val="none"/>
          <w:u w:val="single"/>
        </w:rPr>
        <w:t xml:space="preserve">  1   </w:t>
      </w:r>
      <w:r>
        <w:rPr>
          <w:rFonts w:hint="eastAsia" w:hAnsi="宋体"/>
          <w:sz w:val="24"/>
          <w:szCs w:val="24"/>
          <w:highlight w:val="none"/>
        </w:rPr>
        <w:t>年。超过保修期的机器设备，终生维修，维修时只收部件成本费。</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13.1 甲方对乙方提交的货物依据采购文件上的技术规格要求和国家有关质量标准进行现场初步验收，外观、说明书符合采购文件技术要求的，给予签收，初步验收不合格的不予签收。货到后，甲方需在五个工作日内进行初步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13.2 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480"/>
        <w:rPr>
          <w:rFonts w:hAnsi="宋体"/>
          <w:sz w:val="24"/>
          <w:szCs w:val="24"/>
          <w:highlight w:val="none"/>
          <w:u w:val="single"/>
        </w:rPr>
      </w:pPr>
      <w:r>
        <w:rPr>
          <w:rFonts w:hint="eastAsia" w:hAnsi="宋体"/>
          <w:sz w:val="24"/>
          <w:szCs w:val="24"/>
          <w:highlight w:val="none"/>
        </w:rPr>
        <w:t>13.3 甲方对乙方提供的货物在使用前进行调试时，乙方需负责安装并培训甲方的使用操作人员，并协助甲方一起调试，直到符合技术要求，甲方才做最终验收。安装调试及培训费用含在合同总价内。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13.4 对技术复杂的货物，甲方可请国家认可的专业检测机构参与初步验收及最终验收，并由其出具质量检测报告。验收费用由乙方承担。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13.5 验收时乙方必须在现场，验收完毕后作出验收结果报告，验收报告须经甲方最终用户签字和部门盖章。</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1</w:t>
      </w:r>
      <w:r>
        <w:rPr>
          <w:rFonts w:hAnsi="宋体"/>
          <w:b/>
          <w:sz w:val="24"/>
          <w:szCs w:val="24"/>
          <w:highlight w:val="none"/>
        </w:rPr>
        <w:t xml:space="preserve">3.6 </w:t>
      </w:r>
      <w:r>
        <w:rPr>
          <w:rFonts w:hint="eastAsia" w:hAnsi="宋体"/>
          <w:b/>
          <w:sz w:val="24"/>
          <w:szCs w:val="24"/>
          <w:highlight w:val="none"/>
        </w:rPr>
        <w:t>货物安装调试过程中的安全、消防等事故责任均由乙方全部承担，甲方不承担任何责任。因乙方原因导致安全、消防责任事故，造成甲方或第三人人身财产损失的，由乙方承担全部法律及赔偿责任。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14.1 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14.2 使用说明书、质量检验证明书、随配附件和工具以及清单一并附于货物内。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14.3 乙方在货物发运手续办理完毕后24小时内或货到甲方48小时前通知甲方，以准备接货。</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14.4 货物在交付甲方前发生的风险均由乙方负责。</w:t>
      </w:r>
    </w:p>
    <w:p>
      <w:pPr>
        <w:pStyle w:val="10"/>
        <w:adjustRightInd w:val="0"/>
        <w:snapToGrid w:val="0"/>
        <w:spacing w:before="156" w:after="156" w:line="360" w:lineRule="auto"/>
        <w:ind w:left="1" w:right="26" w:firstLine="480"/>
        <w:rPr>
          <w:rFonts w:hAnsi="宋体"/>
          <w:sz w:val="24"/>
          <w:szCs w:val="24"/>
          <w:highlight w:val="none"/>
        </w:rPr>
      </w:pPr>
      <w:r>
        <w:rPr>
          <w:rFonts w:hint="eastAsia" w:hAnsi="宋体"/>
          <w:sz w:val="24"/>
          <w:szCs w:val="24"/>
          <w:highlight w:val="none"/>
        </w:rPr>
        <w:t>14.5 货物在规定的交付期限内由乙方送达甲方指定的地点、安装调试并经甲方验收合格视为交付，乙方同时需通知甲方货物已送达。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15.1 甲方无正当理由拒收货物的，甲方向乙方偿付拒收货款总值的百分之五违约金。</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15.2 甲方无正当理由逾期验收和办理货款支付手续的,甲方应按逾期付款总额每日万分之五向乙方支付违约金。违约金总计不得超过合同总额的百分之五。</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15.3 乙方逾期交付货物的，乙方应按逾期交货总额每日千分之六向甲方支付违约金，由甲方从待付货款中扣除。乙方逾期交付货物使得甲方无法实现合同目的的，乙方应按合同总额百分之三十支付违约金。逾期超过约定日期10个工作日不能交货的，甲方可解除本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5.5</w:t>
      </w:r>
      <w:r>
        <w:rPr>
          <w:rFonts w:hint="eastAsia" w:hAnsi="宋体"/>
          <w:sz w:val="24"/>
          <w:szCs w:val="24"/>
          <w:highlight w:val="none"/>
        </w:rPr>
        <w:t>乙方因不履行合同、不完全履行合同、履行合同不符合合同约定、逾期交货或因其他违约行为导致甲方解除合同的，乙方应向甲方支付合同总值百分之三十的违约金，如造成甲方损失超过违约金的，超出部分由乙方继续承担赔偿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5.6</w:t>
      </w:r>
      <w:r>
        <w:rPr>
          <w:rFonts w:hint="eastAsia" w:hAnsi="宋体"/>
          <w:sz w:val="24"/>
          <w:szCs w:val="24"/>
          <w:highlight w:val="none"/>
        </w:rPr>
        <w:t>乙方未按本合同的规定和“服务承诺”提供售后服务的，应按合同总价款的5%向甲方承担违约责任。同时甲方有权另行委托第三方提供相关服务，由此产生的费用由乙方全部承担。乙方拒绝承担费用的，甲方有权追偿。甲方维权产生的全部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5.7</w:t>
      </w:r>
      <w:r>
        <w:rPr>
          <w:rFonts w:hint="eastAsia" w:hAnsi="宋体"/>
          <w:sz w:val="24"/>
          <w:szCs w:val="24"/>
          <w:highlight w:val="none"/>
        </w:rPr>
        <w:t>乙方未按本合同第九条的规定向甲方交付履约保证金的，应按应交付履约保证金的10%向甲方支付违约金，该违约金的支付不影响乙方应承担的其他违约责任。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5.8</w:t>
      </w:r>
      <w:r>
        <w:rPr>
          <w:rFonts w:hint="eastAsia" w:hAnsi="宋体"/>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5.9</w:t>
      </w:r>
      <w:r>
        <w:rPr>
          <w:rFonts w:hint="eastAsia" w:hAnsi="宋体"/>
          <w:sz w:val="24"/>
          <w:szCs w:val="24"/>
          <w:highlight w:val="none"/>
        </w:rPr>
        <w:t>乙方提供的货物如侵犯了第三方合法权益而引发的任何纠纷或诉讼，均由乙方负责交涉并承担全部责任。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16.1乙方必须支持甲方的廉政建设，不得向甲方相关人员提供金钱和物质上的好处，一经发现处以合同金额20%的罚款。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17.1 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17.2 不可抗力事件发生后，应立即通知对方，并寄送有关权威机构出具的证明。</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17.3 不可抗力事件延续30天以上，双方应通过友好协商，确定是否继续履行合同。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18.1 双方在执行合同中所发生的一切争议，应通过协商解决。如协商不成，可向合同签订地法院起诉，合同签订地在此约定为南京市。因本合同履行产生的争议适用中华人民共和国法律。</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十九、合同生效及其它</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19.1 合同经双方法定代表人或授权委托代表人签字并加盖单位公章后生效。</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19.2 本合同未尽事宜，遵照《中华人民共和国民法典》有关条文执行。</w:t>
      </w:r>
    </w:p>
    <w:p>
      <w:pPr>
        <w:pStyle w:val="10"/>
        <w:adjustRightInd w:val="0"/>
        <w:snapToGrid w:val="0"/>
        <w:spacing w:before="120" w:after="120" w:line="360" w:lineRule="auto"/>
        <w:ind w:firstLine="480"/>
        <w:rPr>
          <w:rFonts w:hAnsi="宋体"/>
          <w:b/>
          <w:bCs/>
          <w:sz w:val="24"/>
          <w:szCs w:val="24"/>
          <w:highlight w:val="none"/>
        </w:rPr>
      </w:pPr>
      <w:r>
        <w:rPr>
          <w:rFonts w:hint="eastAsia" w:hAnsi="宋体"/>
          <w:sz w:val="24"/>
          <w:szCs w:val="24"/>
          <w:highlight w:val="none"/>
        </w:rPr>
        <w:t>19.3</w:t>
      </w:r>
      <w:r>
        <w:rPr>
          <w:rFonts w:hint="eastAsia" w:ascii="Arial Narrow" w:hAnsi="宋体"/>
          <w:sz w:val="24"/>
          <w:highlight w:val="none"/>
        </w:rPr>
        <w:t>本合同的附件、招投标文件、项目答疑回复是本合同不可分割的组成部分，具有同等法律效力。</w:t>
      </w:r>
    </w:p>
    <w:p>
      <w:pPr>
        <w:pStyle w:val="10"/>
        <w:adjustRightInd w:val="0"/>
        <w:snapToGrid w:val="0"/>
        <w:spacing w:before="120" w:after="120" w:line="360" w:lineRule="auto"/>
        <w:ind w:left="1" w:firstLine="480"/>
        <w:rPr>
          <w:rFonts w:hAnsi="宋体"/>
          <w:sz w:val="24"/>
          <w:szCs w:val="24"/>
          <w:highlight w:val="none"/>
        </w:rPr>
      </w:pPr>
      <w:r>
        <w:rPr>
          <w:rFonts w:hAnsi="宋体"/>
          <w:sz w:val="24"/>
          <w:szCs w:val="24"/>
          <w:highlight w:val="none"/>
        </w:rPr>
        <w:t>19.</w:t>
      </w:r>
      <w:r>
        <w:rPr>
          <w:rFonts w:hint="eastAsia" w:hAnsi="宋体"/>
          <w:sz w:val="24"/>
          <w:szCs w:val="24"/>
          <w:highlight w:val="none"/>
        </w:rPr>
        <w:t>4本合同正本一式四份，具有同等法律效力，甲方、乙方各执两份。</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（以下无正文）</w:t>
      </w:r>
    </w:p>
    <w:p>
      <w:pPr>
        <w:pStyle w:val="10"/>
        <w:adjustRightInd w:val="0"/>
        <w:snapToGrid w:val="0"/>
        <w:spacing w:before="120" w:after="120" w:line="360" w:lineRule="auto"/>
        <w:ind w:left="480" w:hanging="480" w:hangingChars="200"/>
        <w:rPr>
          <w:rFonts w:hAnsi="宋体"/>
          <w:sz w:val="24"/>
          <w:szCs w:val="24"/>
          <w:highlight w:val="none"/>
        </w:rPr>
      </w:pPr>
      <w:r>
        <w:rPr>
          <w:rFonts w:hint="eastAsia" w:hAnsi="宋体"/>
          <w:sz w:val="24"/>
          <w:szCs w:val="24"/>
          <w:highlight w:val="none"/>
        </w:rPr>
        <w:t xml:space="preserve">甲方：                                   乙方：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地址：                                   地址：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法定代表人或授权代表：                   法定代表人或授权代表：</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项目负责人：                             联系电话：</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项目联系人：</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联系电话：                               </w:t>
      </w:r>
    </w:p>
    <w:p>
      <w:pPr>
        <w:pStyle w:val="10"/>
        <w:adjustRightInd w:val="0"/>
        <w:snapToGrid w:val="0"/>
        <w:spacing w:before="120" w:after="120" w:line="360" w:lineRule="auto"/>
        <w:rPr>
          <w:rFonts w:hAnsi="宋体"/>
          <w:sz w:val="24"/>
          <w:szCs w:val="24"/>
          <w:highlight w:val="none"/>
        </w:rPr>
      </w:pPr>
    </w:p>
    <w:p>
      <w:pPr>
        <w:pStyle w:val="10"/>
        <w:adjustRightInd w:val="0"/>
        <w:snapToGrid w:val="0"/>
        <w:spacing w:before="120" w:after="120" w:line="360" w:lineRule="auto"/>
        <w:rPr>
          <w:rFonts w:hAnsi="宋体"/>
          <w:sz w:val="24"/>
          <w:szCs w:val="24"/>
          <w:highlight w:val="none"/>
        </w:rPr>
      </w:pPr>
    </w:p>
    <w:p>
      <w:pPr>
        <w:pStyle w:val="10"/>
        <w:adjustRightInd w:val="0"/>
        <w:snapToGrid w:val="0"/>
        <w:spacing w:before="120" w:after="120" w:line="360" w:lineRule="auto"/>
        <w:rPr>
          <w:highlight w:val="none"/>
        </w:rPr>
      </w:pPr>
      <w:r>
        <w:rPr>
          <w:rFonts w:hint="eastAsia"/>
          <w:sz w:val="28"/>
          <w:szCs w:val="28"/>
          <w:highlight w:val="none"/>
        </w:rPr>
        <w:t xml:space="preserve">                              签订日期：      年  月  日</w:t>
      </w:r>
    </w:p>
    <w:p>
      <w:pPr>
        <w:pStyle w:val="10"/>
        <w:adjustRightInd w:val="0"/>
        <w:snapToGrid w:val="0"/>
        <w:spacing w:before="120" w:after="120" w:line="360" w:lineRule="auto"/>
        <w:ind w:firstLine="658"/>
        <w:rPr>
          <w:rFonts w:cs="仿宋"/>
          <w:sz w:val="24"/>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cript"/>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Arial"/>
    <w:panose1 w:val="00000000000000000000"/>
    <w:charset w:val="00"/>
    <w:family w:val="swiss"/>
    <w:pitch w:val="default"/>
    <w:sig w:usb0="00000000" w:usb1="00000000" w:usb2="00000028" w:usb3="00000000" w:csb0="0000019F"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swiss"/>
    <w:pitch w:val="default"/>
    <w:sig w:usb0="00000000" w:usb1="00000000" w:usb2="00000010" w:usb3="00000000" w:csb0="0000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19</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3年招标文件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796"/>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59D5"/>
    <w:rsid w:val="001863B0"/>
    <w:rsid w:val="001908D8"/>
    <w:rsid w:val="00191C82"/>
    <w:rsid w:val="00191DB6"/>
    <w:rsid w:val="00191E7A"/>
    <w:rsid w:val="00192A7F"/>
    <w:rsid w:val="0019347E"/>
    <w:rsid w:val="00193B07"/>
    <w:rsid w:val="0019510E"/>
    <w:rsid w:val="00195E66"/>
    <w:rsid w:val="00196607"/>
    <w:rsid w:val="00196DB1"/>
    <w:rsid w:val="001973B6"/>
    <w:rsid w:val="001A0AA6"/>
    <w:rsid w:val="001A1969"/>
    <w:rsid w:val="001A200D"/>
    <w:rsid w:val="001A4524"/>
    <w:rsid w:val="001B0715"/>
    <w:rsid w:val="001B2A65"/>
    <w:rsid w:val="001B5895"/>
    <w:rsid w:val="001B6E3C"/>
    <w:rsid w:val="001C0244"/>
    <w:rsid w:val="001C0588"/>
    <w:rsid w:val="001C12A6"/>
    <w:rsid w:val="001C1966"/>
    <w:rsid w:val="001C2414"/>
    <w:rsid w:val="001C476B"/>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4314"/>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2F7863"/>
    <w:rsid w:val="00300D50"/>
    <w:rsid w:val="00302F70"/>
    <w:rsid w:val="003034BA"/>
    <w:rsid w:val="00303EFB"/>
    <w:rsid w:val="003048F1"/>
    <w:rsid w:val="0030541B"/>
    <w:rsid w:val="00305FE6"/>
    <w:rsid w:val="003072D4"/>
    <w:rsid w:val="003076E5"/>
    <w:rsid w:val="00307F8E"/>
    <w:rsid w:val="0031056D"/>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0645"/>
    <w:rsid w:val="00331A66"/>
    <w:rsid w:val="00331B2F"/>
    <w:rsid w:val="00334E11"/>
    <w:rsid w:val="0033568A"/>
    <w:rsid w:val="00335D4D"/>
    <w:rsid w:val="0033689B"/>
    <w:rsid w:val="00340C58"/>
    <w:rsid w:val="003421D6"/>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3047"/>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0EB7"/>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3703"/>
    <w:rsid w:val="003E4227"/>
    <w:rsid w:val="003E51F3"/>
    <w:rsid w:val="003E5592"/>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3C5A"/>
    <w:rsid w:val="004140AB"/>
    <w:rsid w:val="0041524A"/>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3ED"/>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37AB"/>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0177"/>
    <w:rsid w:val="004C10BB"/>
    <w:rsid w:val="004C2E0A"/>
    <w:rsid w:val="004C3D0A"/>
    <w:rsid w:val="004C41F7"/>
    <w:rsid w:val="004C5241"/>
    <w:rsid w:val="004D0748"/>
    <w:rsid w:val="004D0EAC"/>
    <w:rsid w:val="004D0FC3"/>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2933"/>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64DE"/>
    <w:rsid w:val="0055742D"/>
    <w:rsid w:val="00557D90"/>
    <w:rsid w:val="00560D0E"/>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319"/>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E7DAE"/>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3CC"/>
    <w:rsid w:val="00637990"/>
    <w:rsid w:val="00637BFF"/>
    <w:rsid w:val="00637FE2"/>
    <w:rsid w:val="00641CAF"/>
    <w:rsid w:val="00646947"/>
    <w:rsid w:val="00650D24"/>
    <w:rsid w:val="006519C1"/>
    <w:rsid w:val="0065591F"/>
    <w:rsid w:val="0065630D"/>
    <w:rsid w:val="006568F0"/>
    <w:rsid w:val="0066030C"/>
    <w:rsid w:val="0066287E"/>
    <w:rsid w:val="00662ACF"/>
    <w:rsid w:val="006634D8"/>
    <w:rsid w:val="00665444"/>
    <w:rsid w:val="00666762"/>
    <w:rsid w:val="00667840"/>
    <w:rsid w:val="00670DA9"/>
    <w:rsid w:val="006712CE"/>
    <w:rsid w:val="00671F68"/>
    <w:rsid w:val="006721F1"/>
    <w:rsid w:val="00672B76"/>
    <w:rsid w:val="00674154"/>
    <w:rsid w:val="006744F7"/>
    <w:rsid w:val="0067581D"/>
    <w:rsid w:val="006764B2"/>
    <w:rsid w:val="00676D9E"/>
    <w:rsid w:val="00677762"/>
    <w:rsid w:val="006817D5"/>
    <w:rsid w:val="006818DB"/>
    <w:rsid w:val="0068228D"/>
    <w:rsid w:val="006831B6"/>
    <w:rsid w:val="00683CA6"/>
    <w:rsid w:val="00683F59"/>
    <w:rsid w:val="006849A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45F"/>
    <w:rsid w:val="00795A02"/>
    <w:rsid w:val="00795C55"/>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645"/>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6074"/>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3904"/>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B7C91"/>
    <w:rsid w:val="008C0020"/>
    <w:rsid w:val="008C10D8"/>
    <w:rsid w:val="008C144B"/>
    <w:rsid w:val="008C4388"/>
    <w:rsid w:val="008C4B4E"/>
    <w:rsid w:val="008C4EC6"/>
    <w:rsid w:val="008C5BDB"/>
    <w:rsid w:val="008C5BDF"/>
    <w:rsid w:val="008C6088"/>
    <w:rsid w:val="008C67F8"/>
    <w:rsid w:val="008C77DF"/>
    <w:rsid w:val="008D01A0"/>
    <w:rsid w:val="008D12CF"/>
    <w:rsid w:val="008D183C"/>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5C85"/>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DB7"/>
    <w:rsid w:val="00903E7B"/>
    <w:rsid w:val="009048A7"/>
    <w:rsid w:val="00904C79"/>
    <w:rsid w:val="00905570"/>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4B0E"/>
    <w:rsid w:val="00956513"/>
    <w:rsid w:val="00956EF4"/>
    <w:rsid w:val="009573D2"/>
    <w:rsid w:val="00957B12"/>
    <w:rsid w:val="00960E03"/>
    <w:rsid w:val="00963E09"/>
    <w:rsid w:val="00966797"/>
    <w:rsid w:val="00966EC0"/>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4E75"/>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0B38"/>
    <w:rsid w:val="009C2509"/>
    <w:rsid w:val="009C4FC6"/>
    <w:rsid w:val="009C6CAB"/>
    <w:rsid w:val="009D0A67"/>
    <w:rsid w:val="009D0BDD"/>
    <w:rsid w:val="009D0FFD"/>
    <w:rsid w:val="009D30D9"/>
    <w:rsid w:val="009D34F1"/>
    <w:rsid w:val="009D4CB2"/>
    <w:rsid w:val="009D4DA2"/>
    <w:rsid w:val="009D6922"/>
    <w:rsid w:val="009E1A9A"/>
    <w:rsid w:val="009E2901"/>
    <w:rsid w:val="009E375D"/>
    <w:rsid w:val="009E45D0"/>
    <w:rsid w:val="009E6F30"/>
    <w:rsid w:val="009F25A3"/>
    <w:rsid w:val="009F2F54"/>
    <w:rsid w:val="009F3D7E"/>
    <w:rsid w:val="009F3F56"/>
    <w:rsid w:val="009F5F09"/>
    <w:rsid w:val="009F612D"/>
    <w:rsid w:val="009F68F9"/>
    <w:rsid w:val="009F6D13"/>
    <w:rsid w:val="009F7638"/>
    <w:rsid w:val="00A01DFD"/>
    <w:rsid w:val="00A04DA3"/>
    <w:rsid w:val="00A05C2D"/>
    <w:rsid w:val="00A06278"/>
    <w:rsid w:val="00A06EF1"/>
    <w:rsid w:val="00A0716D"/>
    <w:rsid w:val="00A07274"/>
    <w:rsid w:val="00A0733D"/>
    <w:rsid w:val="00A10A7C"/>
    <w:rsid w:val="00A12AB7"/>
    <w:rsid w:val="00A13AEC"/>
    <w:rsid w:val="00A14EA1"/>
    <w:rsid w:val="00A17335"/>
    <w:rsid w:val="00A2064C"/>
    <w:rsid w:val="00A233D2"/>
    <w:rsid w:val="00A23AE3"/>
    <w:rsid w:val="00A240CA"/>
    <w:rsid w:val="00A24485"/>
    <w:rsid w:val="00A2538D"/>
    <w:rsid w:val="00A257F7"/>
    <w:rsid w:val="00A2623E"/>
    <w:rsid w:val="00A27277"/>
    <w:rsid w:val="00A27487"/>
    <w:rsid w:val="00A27722"/>
    <w:rsid w:val="00A27FB2"/>
    <w:rsid w:val="00A309D6"/>
    <w:rsid w:val="00A316AE"/>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844"/>
    <w:rsid w:val="00A9196D"/>
    <w:rsid w:val="00A92E86"/>
    <w:rsid w:val="00A93A0C"/>
    <w:rsid w:val="00A96138"/>
    <w:rsid w:val="00A962FD"/>
    <w:rsid w:val="00A96858"/>
    <w:rsid w:val="00A969FF"/>
    <w:rsid w:val="00AA05F0"/>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2E27"/>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377DD"/>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2DF"/>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0C"/>
    <w:rsid w:val="00B92B28"/>
    <w:rsid w:val="00B930A6"/>
    <w:rsid w:val="00B9457C"/>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18A"/>
    <w:rsid w:val="00BB5974"/>
    <w:rsid w:val="00BC15E1"/>
    <w:rsid w:val="00BC1B9A"/>
    <w:rsid w:val="00BC4109"/>
    <w:rsid w:val="00BC47DD"/>
    <w:rsid w:val="00BC538C"/>
    <w:rsid w:val="00BC59B7"/>
    <w:rsid w:val="00BC67EE"/>
    <w:rsid w:val="00BD1982"/>
    <w:rsid w:val="00BD222E"/>
    <w:rsid w:val="00BD2E20"/>
    <w:rsid w:val="00BD31B1"/>
    <w:rsid w:val="00BD6961"/>
    <w:rsid w:val="00BE0A11"/>
    <w:rsid w:val="00BE0C01"/>
    <w:rsid w:val="00BE0E84"/>
    <w:rsid w:val="00BE249A"/>
    <w:rsid w:val="00BE3F9A"/>
    <w:rsid w:val="00BE412A"/>
    <w:rsid w:val="00BE4F0A"/>
    <w:rsid w:val="00BE573B"/>
    <w:rsid w:val="00BE60AA"/>
    <w:rsid w:val="00BF0A32"/>
    <w:rsid w:val="00BF1B0B"/>
    <w:rsid w:val="00BF35F6"/>
    <w:rsid w:val="00BF5E90"/>
    <w:rsid w:val="00BF6FE2"/>
    <w:rsid w:val="00BF7470"/>
    <w:rsid w:val="00BF7C3D"/>
    <w:rsid w:val="00C0019C"/>
    <w:rsid w:val="00C006F0"/>
    <w:rsid w:val="00C015AA"/>
    <w:rsid w:val="00C04E41"/>
    <w:rsid w:val="00C062D0"/>
    <w:rsid w:val="00C11731"/>
    <w:rsid w:val="00C1294A"/>
    <w:rsid w:val="00C16B79"/>
    <w:rsid w:val="00C17D57"/>
    <w:rsid w:val="00C214AD"/>
    <w:rsid w:val="00C21BD8"/>
    <w:rsid w:val="00C22628"/>
    <w:rsid w:val="00C24629"/>
    <w:rsid w:val="00C252C0"/>
    <w:rsid w:val="00C31819"/>
    <w:rsid w:val="00C31A61"/>
    <w:rsid w:val="00C32017"/>
    <w:rsid w:val="00C331F4"/>
    <w:rsid w:val="00C33BE7"/>
    <w:rsid w:val="00C341F8"/>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2EBB"/>
    <w:rsid w:val="00D243D3"/>
    <w:rsid w:val="00D26C2F"/>
    <w:rsid w:val="00D26F18"/>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47A0"/>
    <w:rsid w:val="00D564CA"/>
    <w:rsid w:val="00D6024C"/>
    <w:rsid w:val="00D616B8"/>
    <w:rsid w:val="00D61761"/>
    <w:rsid w:val="00D63C15"/>
    <w:rsid w:val="00D64928"/>
    <w:rsid w:val="00D64D32"/>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4357"/>
    <w:rsid w:val="00D96690"/>
    <w:rsid w:val="00D96E4A"/>
    <w:rsid w:val="00D974D3"/>
    <w:rsid w:val="00D975E7"/>
    <w:rsid w:val="00DA0916"/>
    <w:rsid w:val="00DA2723"/>
    <w:rsid w:val="00DA5080"/>
    <w:rsid w:val="00DA5618"/>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2EFE"/>
    <w:rsid w:val="00E33C22"/>
    <w:rsid w:val="00E33D18"/>
    <w:rsid w:val="00E34A48"/>
    <w:rsid w:val="00E3574E"/>
    <w:rsid w:val="00E363D5"/>
    <w:rsid w:val="00E36957"/>
    <w:rsid w:val="00E373F8"/>
    <w:rsid w:val="00E37982"/>
    <w:rsid w:val="00E379D9"/>
    <w:rsid w:val="00E41376"/>
    <w:rsid w:val="00E42FC6"/>
    <w:rsid w:val="00E43F1F"/>
    <w:rsid w:val="00E4494C"/>
    <w:rsid w:val="00E4590A"/>
    <w:rsid w:val="00E45B25"/>
    <w:rsid w:val="00E502BA"/>
    <w:rsid w:val="00E51518"/>
    <w:rsid w:val="00E520E3"/>
    <w:rsid w:val="00E5360E"/>
    <w:rsid w:val="00E57F3A"/>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766B7"/>
    <w:rsid w:val="00E811D2"/>
    <w:rsid w:val="00E837A9"/>
    <w:rsid w:val="00E849C6"/>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1242"/>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19C"/>
    <w:rsid w:val="00F475C3"/>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3D6"/>
    <w:rsid w:val="00F7340B"/>
    <w:rsid w:val="00F745D4"/>
    <w:rsid w:val="00F74814"/>
    <w:rsid w:val="00F74AFD"/>
    <w:rsid w:val="00F76B94"/>
    <w:rsid w:val="00F80C33"/>
    <w:rsid w:val="00F81941"/>
    <w:rsid w:val="00F8226F"/>
    <w:rsid w:val="00F8525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C70D7"/>
    <w:rsid w:val="00FD013C"/>
    <w:rsid w:val="00FD05A3"/>
    <w:rsid w:val="00FD14D6"/>
    <w:rsid w:val="00FD33CA"/>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397339D"/>
    <w:rsid w:val="05B517B2"/>
    <w:rsid w:val="0666393D"/>
    <w:rsid w:val="078D73D6"/>
    <w:rsid w:val="07D33D16"/>
    <w:rsid w:val="09637941"/>
    <w:rsid w:val="0B675B31"/>
    <w:rsid w:val="0BDF51D7"/>
    <w:rsid w:val="0C3615C8"/>
    <w:rsid w:val="0C4861BD"/>
    <w:rsid w:val="0C7E7AA1"/>
    <w:rsid w:val="0CFE3A2E"/>
    <w:rsid w:val="0D873213"/>
    <w:rsid w:val="0D9425DE"/>
    <w:rsid w:val="0D99361C"/>
    <w:rsid w:val="0EE17086"/>
    <w:rsid w:val="107D340A"/>
    <w:rsid w:val="10E53D98"/>
    <w:rsid w:val="10EB4170"/>
    <w:rsid w:val="10F05838"/>
    <w:rsid w:val="113C24CA"/>
    <w:rsid w:val="119D0D41"/>
    <w:rsid w:val="11D57EAE"/>
    <w:rsid w:val="12162C3B"/>
    <w:rsid w:val="12A32E97"/>
    <w:rsid w:val="12C34A22"/>
    <w:rsid w:val="12D469A6"/>
    <w:rsid w:val="130F1D58"/>
    <w:rsid w:val="1318517D"/>
    <w:rsid w:val="145263CB"/>
    <w:rsid w:val="146723C1"/>
    <w:rsid w:val="14896182"/>
    <w:rsid w:val="14F54CB6"/>
    <w:rsid w:val="14FD5CE2"/>
    <w:rsid w:val="155010AB"/>
    <w:rsid w:val="15572C10"/>
    <w:rsid w:val="15737A45"/>
    <w:rsid w:val="1584594C"/>
    <w:rsid w:val="15907301"/>
    <w:rsid w:val="15A069B5"/>
    <w:rsid w:val="15A90346"/>
    <w:rsid w:val="15B24E31"/>
    <w:rsid w:val="16AA09BD"/>
    <w:rsid w:val="17652C65"/>
    <w:rsid w:val="17833DE3"/>
    <w:rsid w:val="187C5B16"/>
    <w:rsid w:val="19775424"/>
    <w:rsid w:val="1A241EC0"/>
    <w:rsid w:val="1AE96A89"/>
    <w:rsid w:val="1C121D57"/>
    <w:rsid w:val="1C4A137C"/>
    <w:rsid w:val="1C8F1DE9"/>
    <w:rsid w:val="1D272A96"/>
    <w:rsid w:val="1DA871CA"/>
    <w:rsid w:val="1F11313D"/>
    <w:rsid w:val="1F956998"/>
    <w:rsid w:val="1FA31BDA"/>
    <w:rsid w:val="200C3C23"/>
    <w:rsid w:val="20BC256D"/>
    <w:rsid w:val="20DC5C02"/>
    <w:rsid w:val="20DE7ECC"/>
    <w:rsid w:val="20FE711F"/>
    <w:rsid w:val="21241474"/>
    <w:rsid w:val="21A70E96"/>
    <w:rsid w:val="225E4DAF"/>
    <w:rsid w:val="22891E2D"/>
    <w:rsid w:val="22A743B8"/>
    <w:rsid w:val="22D33607"/>
    <w:rsid w:val="23B9685A"/>
    <w:rsid w:val="23FD2509"/>
    <w:rsid w:val="243943F8"/>
    <w:rsid w:val="245E6E60"/>
    <w:rsid w:val="24E05430"/>
    <w:rsid w:val="267A7579"/>
    <w:rsid w:val="272231F7"/>
    <w:rsid w:val="27961F1E"/>
    <w:rsid w:val="27AD7C03"/>
    <w:rsid w:val="28C46277"/>
    <w:rsid w:val="29062B05"/>
    <w:rsid w:val="29127A38"/>
    <w:rsid w:val="29C509E6"/>
    <w:rsid w:val="2AAA7342"/>
    <w:rsid w:val="2AB43BC5"/>
    <w:rsid w:val="2B556F15"/>
    <w:rsid w:val="2B7F4BC3"/>
    <w:rsid w:val="2CE81BAF"/>
    <w:rsid w:val="2D0D207A"/>
    <w:rsid w:val="2DAC05D8"/>
    <w:rsid w:val="2DE728EA"/>
    <w:rsid w:val="2DE73F83"/>
    <w:rsid w:val="2E726843"/>
    <w:rsid w:val="2EDC02FF"/>
    <w:rsid w:val="2EE87C86"/>
    <w:rsid w:val="2EEC5388"/>
    <w:rsid w:val="2FEC4ED7"/>
    <w:rsid w:val="3172033E"/>
    <w:rsid w:val="3227588C"/>
    <w:rsid w:val="325F6558"/>
    <w:rsid w:val="331653E5"/>
    <w:rsid w:val="341C30A3"/>
    <w:rsid w:val="34DE5F74"/>
    <w:rsid w:val="351529A9"/>
    <w:rsid w:val="355A74E9"/>
    <w:rsid w:val="35A94B4F"/>
    <w:rsid w:val="35FD1F7A"/>
    <w:rsid w:val="36616918"/>
    <w:rsid w:val="366D672C"/>
    <w:rsid w:val="3676129B"/>
    <w:rsid w:val="36E3150F"/>
    <w:rsid w:val="3836614A"/>
    <w:rsid w:val="384A4707"/>
    <w:rsid w:val="385D644E"/>
    <w:rsid w:val="38F33167"/>
    <w:rsid w:val="39C83C69"/>
    <w:rsid w:val="39CE5E1D"/>
    <w:rsid w:val="3A422D7D"/>
    <w:rsid w:val="3A9701E9"/>
    <w:rsid w:val="3B3009A4"/>
    <w:rsid w:val="3B4244C5"/>
    <w:rsid w:val="3C003247"/>
    <w:rsid w:val="3C8E6F2D"/>
    <w:rsid w:val="3CA56322"/>
    <w:rsid w:val="3CC449FF"/>
    <w:rsid w:val="3D6145DC"/>
    <w:rsid w:val="3D7E4394"/>
    <w:rsid w:val="3E495BEB"/>
    <w:rsid w:val="3E5E0082"/>
    <w:rsid w:val="3EDB4EA4"/>
    <w:rsid w:val="3F9F3463"/>
    <w:rsid w:val="3FC31914"/>
    <w:rsid w:val="405D6728"/>
    <w:rsid w:val="40FD6FDA"/>
    <w:rsid w:val="41110191"/>
    <w:rsid w:val="414A37BB"/>
    <w:rsid w:val="41B45A04"/>
    <w:rsid w:val="42643A73"/>
    <w:rsid w:val="42AA1012"/>
    <w:rsid w:val="42C22665"/>
    <w:rsid w:val="43216AFD"/>
    <w:rsid w:val="43FB66E3"/>
    <w:rsid w:val="44A973E3"/>
    <w:rsid w:val="44DC7F4B"/>
    <w:rsid w:val="45651876"/>
    <w:rsid w:val="45CC523B"/>
    <w:rsid w:val="466F6CEB"/>
    <w:rsid w:val="46AA377D"/>
    <w:rsid w:val="48435459"/>
    <w:rsid w:val="49363676"/>
    <w:rsid w:val="49713AA7"/>
    <w:rsid w:val="499A2688"/>
    <w:rsid w:val="49D47D5A"/>
    <w:rsid w:val="49F62026"/>
    <w:rsid w:val="4A4B48E3"/>
    <w:rsid w:val="4A8E7CB4"/>
    <w:rsid w:val="4B1A7369"/>
    <w:rsid w:val="4B5137BF"/>
    <w:rsid w:val="4B9B035B"/>
    <w:rsid w:val="4D6F5E2A"/>
    <w:rsid w:val="4D774E55"/>
    <w:rsid w:val="4DA86B45"/>
    <w:rsid w:val="4E3720DD"/>
    <w:rsid w:val="4F510F39"/>
    <w:rsid w:val="4FAF38AA"/>
    <w:rsid w:val="51497070"/>
    <w:rsid w:val="51E025FE"/>
    <w:rsid w:val="52922F88"/>
    <w:rsid w:val="52AA4A52"/>
    <w:rsid w:val="52FD675A"/>
    <w:rsid w:val="53157F45"/>
    <w:rsid w:val="532B7AD5"/>
    <w:rsid w:val="53D80FA7"/>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A770570"/>
    <w:rsid w:val="5AC859BF"/>
    <w:rsid w:val="5B4C17F1"/>
    <w:rsid w:val="5BA56356"/>
    <w:rsid w:val="5C0F2072"/>
    <w:rsid w:val="5C8F2D7B"/>
    <w:rsid w:val="5CFC1D50"/>
    <w:rsid w:val="5D7F49BE"/>
    <w:rsid w:val="5E6C25B6"/>
    <w:rsid w:val="5E84123F"/>
    <w:rsid w:val="5F0028BB"/>
    <w:rsid w:val="5F2528F6"/>
    <w:rsid w:val="5F9764C2"/>
    <w:rsid w:val="5FEF64C1"/>
    <w:rsid w:val="603300A7"/>
    <w:rsid w:val="607E0927"/>
    <w:rsid w:val="60D968DA"/>
    <w:rsid w:val="60F41422"/>
    <w:rsid w:val="619D5BCC"/>
    <w:rsid w:val="62107539"/>
    <w:rsid w:val="6233128F"/>
    <w:rsid w:val="62635DDC"/>
    <w:rsid w:val="62FE3555"/>
    <w:rsid w:val="63D7368B"/>
    <w:rsid w:val="63EA24F1"/>
    <w:rsid w:val="657A0549"/>
    <w:rsid w:val="665A104A"/>
    <w:rsid w:val="66C61348"/>
    <w:rsid w:val="66ED444E"/>
    <w:rsid w:val="67484273"/>
    <w:rsid w:val="682C4881"/>
    <w:rsid w:val="689A111C"/>
    <w:rsid w:val="68A603CF"/>
    <w:rsid w:val="69D32689"/>
    <w:rsid w:val="69E27B06"/>
    <w:rsid w:val="69EA623B"/>
    <w:rsid w:val="6A0F3694"/>
    <w:rsid w:val="6A5445FC"/>
    <w:rsid w:val="6A5C1E75"/>
    <w:rsid w:val="6AAC696A"/>
    <w:rsid w:val="6AB76CFB"/>
    <w:rsid w:val="6ABA08C1"/>
    <w:rsid w:val="6BC1702A"/>
    <w:rsid w:val="6C282248"/>
    <w:rsid w:val="6CBD55AC"/>
    <w:rsid w:val="6DE636A7"/>
    <w:rsid w:val="6DE86594"/>
    <w:rsid w:val="6E5C2511"/>
    <w:rsid w:val="71736FAA"/>
    <w:rsid w:val="718764FD"/>
    <w:rsid w:val="725831A5"/>
    <w:rsid w:val="73607DE9"/>
    <w:rsid w:val="73711235"/>
    <w:rsid w:val="743E60F9"/>
    <w:rsid w:val="74D30849"/>
    <w:rsid w:val="753E278B"/>
    <w:rsid w:val="75BE6EB5"/>
    <w:rsid w:val="7815375E"/>
    <w:rsid w:val="790D6252"/>
    <w:rsid w:val="79166739"/>
    <w:rsid w:val="7AE40810"/>
    <w:rsid w:val="7B0749C7"/>
    <w:rsid w:val="7BBB6C68"/>
    <w:rsid w:val="7C574749"/>
    <w:rsid w:val="7C8E2CF6"/>
    <w:rsid w:val="7C967B8B"/>
    <w:rsid w:val="7CD015B7"/>
    <w:rsid w:val="7DBD6503"/>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51"/>
    <w:semiHidden/>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Heading 1 Char"/>
    <w:link w:val="3"/>
    <w:qFormat/>
    <w:locked/>
    <w:uiPriority w:val="99"/>
    <w:rPr>
      <w:rFonts w:cs="Times New Roman"/>
      <w:b/>
      <w:kern w:val="44"/>
      <w:sz w:val="44"/>
    </w:rPr>
  </w:style>
  <w:style w:type="character" w:customStyle="1" w:styleId="24">
    <w:name w:val="Comment Text Char"/>
    <w:link w:val="5"/>
    <w:qFormat/>
    <w:locked/>
    <w:uiPriority w:val="99"/>
    <w:rPr>
      <w:rFonts w:cs="Times New Roman"/>
      <w:kern w:val="2"/>
      <w:sz w:val="24"/>
    </w:rPr>
  </w:style>
  <w:style w:type="character" w:customStyle="1" w:styleId="25">
    <w:name w:val="Body Text Indent Char"/>
    <w:link w:val="7"/>
    <w:qFormat/>
    <w:locked/>
    <w:uiPriority w:val="99"/>
    <w:rPr>
      <w:rFonts w:ascii="等线" w:eastAsia="等线" w:cs="Times New Roman"/>
      <w:kern w:val="2"/>
      <w:sz w:val="22"/>
    </w:rPr>
  </w:style>
  <w:style w:type="character" w:customStyle="1" w:styleId="26">
    <w:name w:val="Plain Text Char"/>
    <w:link w:val="10"/>
    <w:qFormat/>
    <w:locked/>
    <w:uiPriority w:val="0"/>
    <w:rPr>
      <w:rFonts w:ascii="宋体" w:hAnsi="Courier New" w:cs="Times New Roman"/>
      <w:kern w:val="2"/>
      <w:sz w:val="21"/>
    </w:rPr>
  </w:style>
  <w:style w:type="character" w:customStyle="1" w:styleId="27">
    <w:name w:val="Date Char"/>
    <w:link w:val="11"/>
    <w:qFormat/>
    <w:locked/>
    <w:uiPriority w:val="99"/>
    <w:rPr>
      <w:rFonts w:cs="Times New Roman"/>
      <w:kern w:val="2"/>
      <w:sz w:val="24"/>
    </w:rPr>
  </w:style>
  <w:style w:type="character" w:customStyle="1" w:styleId="28">
    <w:name w:val="Footer Char"/>
    <w:link w:val="13"/>
    <w:semiHidden/>
    <w:qFormat/>
    <w:locked/>
    <w:uiPriority w:val="99"/>
    <w:rPr>
      <w:rFonts w:cs="Times New Roman"/>
      <w:sz w:val="18"/>
      <w:szCs w:val="18"/>
    </w:rPr>
  </w:style>
  <w:style w:type="character" w:customStyle="1" w:styleId="29">
    <w:name w:val="Header Char"/>
    <w:link w:val="14"/>
    <w:qFormat/>
    <w:locked/>
    <w:uiPriority w:val="99"/>
    <w:rPr>
      <w:rFonts w:cs="Times New Roman"/>
      <w:kern w:val="2"/>
      <w:sz w:val="18"/>
    </w:rPr>
  </w:style>
  <w:style w:type="character" w:customStyle="1" w:styleId="30">
    <w:name w:val="Comment Subject Char"/>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List Paragraph Char"/>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Body Text Char"/>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1">
    <w:name w:val="Balloon Text Char"/>
    <w:basedOn w:val="19"/>
    <w:link w:val="12"/>
    <w:semiHidden/>
    <w:qFormat/>
    <w:uiPriority w:val="99"/>
    <w:rPr>
      <w:kern w:val="2"/>
      <w:sz w:val="18"/>
      <w:szCs w:val="18"/>
    </w:rPr>
  </w:style>
  <w:style w:type="paragraph" w:customStyle="1" w:styleId="5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8D0ED-2164-9F4D-BB6F-9749BE025CB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12559</Words>
  <Characters>13350</Characters>
  <Lines>104</Lines>
  <Paragraphs>29</Paragraphs>
  <TotalTime>0</TotalTime>
  <ScaleCrop>false</ScaleCrop>
  <LinksUpToDate>false</LinksUpToDate>
  <CharactersWithSpaces>13916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2023-04-07T07:01:00Z</dcterms:created>
  <dc:creator>微软用户</dc:creator>
  <cp:lastModifiedBy>Administrator</cp:lastModifiedBy>
  <cp:lastPrinted>2019-11-22T01:53:00Z</cp:lastPrinted>
  <dcterms:modified xsi:type="dcterms:W3CDTF">2023-04-14T02:57:04Z</dcterms:modified>
  <dc:title>淮海工学院A8-10号楼学生宿舍家具招标书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3CA9546B5493496C96BB489F9BD47FDF_13</vt:lpwstr>
  </property>
</Properties>
</file>