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bookmarkStart w:id="15" w:name="_GoBack"/>
      <w:bookmarkEnd w:id="15"/>
      <w:bookmarkStart w:id="0" w:name="OLE_LINK2"/>
      <w:bookmarkStart w:id="1" w:name="OLE_LINK1"/>
      <w:r>
        <w:rPr>
          <w:b/>
          <w:sz w:val="44"/>
          <w:szCs w:val="44"/>
          <w:highlight w:val="none"/>
        </w:rPr>
        <w:t>南京信息工程大学</w:t>
      </w:r>
      <w:bookmarkEnd w:id="0"/>
      <w:bookmarkEnd w:id="1"/>
      <w:r>
        <w:rPr>
          <w:rFonts w:hint="eastAsia"/>
          <w:b/>
          <w:sz w:val="44"/>
          <w:szCs w:val="44"/>
          <w:highlight w:val="none"/>
        </w:rPr>
        <w:t>实验室废弃物收集、转运与处置服务</w:t>
      </w:r>
      <w:r>
        <w:rPr>
          <w:rFonts w:hint="eastAsia" w:ascii="宋体" w:hAnsi="宋体"/>
          <w:b/>
          <w:sz w:val="44"/>
          <w:szCs w:val="44"/>
          <w:highlight w:val="none"/>
        </w:rPr>
        <w:t>采购</w:t>
      </w:r>
      <w:r>
        <w:rPr>
          <w:rFonts w:hint="eastAsia"/>
          <w:b/>
          <w:sz w:val="44"/>
          <w:szCs w:val="44"/>
          <w:highlight w:val="none"/>
        </w:rPr>
        <w:t>项目</w:t>
      </w:r>
      <w:r>
        <w:rPr>
          <w:b/>
          <w:sz w:val="44"/>
          <w:szCs w:val="44"/>
          <w:highlight w:val="none"/>
        </w:rPr>
        <w:t>招标文件</w:t>
      </w:r>
    </w:p>
    <w:p>
      <w:pPr>
        <w:pStyle w:val="7"/>
        <w:ind w:left="1470" w:right="1470"/>
        <w:rPr>
          <w:highlight w:val="none"/>
        </w:rPr>
      </w:pPr>
    </w:p>
    <w:p>
      <w:pPr>
        <w:widowControl/>
        <w:spacing w:before="75" w:after="75" w:line="555" w:lineRule="atLeast"/>
        <w:ind w:firstLine="555"/>
        <w:jc w:val="center"/>
        <w:rPr>
          <w:rFonts w:ascii="宋体" w:hAnsi="宋体" w:cs="仿宋"/>
          <w:sz w:val="28"/>
          <w:szCs w:val="28"/>
          <w:highlight w:val="none"/>
          <w:u w:val="single"/>
        </w:rPr>
      </w:pPr>
      <w:r>
        <w:rPr>
          <w:rFonts w:hint="eastAsia" w:ascii="宋体" w:hAnsi="宋体" w:cs="仿宋"/>
          <w:sz w:val="28"/>
          <w:szCs w:val="28"/>
          <w:highlight w:val="none"/>
          <w:u w:val="single"/>
        </w:rPr>
        <w:t>（招标编号：</w:t>
      </w:r>
      <w:r>
        <w:rPr>
          <w:rFonts w:hint="eastAsia" w:ascii="仿宋" w:hAnsi="仿宋" w:eastAsia="仿宋" w:cs="仿宋"/>
          <w:i w:val="0"/>
          <w:iCs w:val="0"/>
          <w:caps w:val="0"/>
          <w:color w:val="000000"/>
          <w:spacing w:val="0"/>
          <w:kern w:val="0"/>
          <w:sz w:val="28"/>
          <w:szCs w:val="28"/>
          <w:highlight w:val="none"/>
          <w:u w:val="single"/>
          <w:lang w:val="en-US" w:eastAsia="zh-CN" w:bidi="ar"/>
        </w:rPr>
        <w:t>JZCG-2021-00178</w:t>
      </w:r>
      <w:r>
        <w:rPr>
          <w:rFonts w:hint="eastAsia" w:ascii="仿宋" w:hAnsi="仿宋" w:eastAsia="仿宋" w:cs="仿宋"/>
          <w:color w:val="000000"/>
          <w:kern w:val="0"/>
          <w:sz w:val="28"/>
          <w:szCs w:val="28"/>
          <w:highlight w:val="none"/>
          <w:u w:val="single"/>
          <w:lang w:bidi="ar"/>
        </w:rPr>
        <w:t>）</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21年1</w:t>
      </w:r>
      <w:r>
        <w:rPr>
          <w:rFonts w:hint="eastAsia" w:ascii="宋体" w:hAnsi="宋体" w:cs="仿宋"/>
          <w:sz w:val="28"/>
          <w:szCs w:val="28"/>
          <w:highlight w:val="none"/>
          <w:u w:val="single"/>
          <w:lang w:val="en-US" w:eastAsia="zh-CN"/>
        </w:rPr>
        <w:t>2</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1</w:t>
      </w:r>
      <w:r>
        <w:rPr>
          <w:rFonts w:hint="eastAsia" w:ascii="宋体" w:hAnsi="宋体" w:cs="仿宋"/>
          <w:sz w:val="28"/>
          <w:szCs w:val="28"/>
          <w:highlight w:val="none"/>
          <w:u w:val="single"/>
        </w:rPr>
        <w:t>5日1</w:t>
      </w:r>
      <w:r>
        <w:rPr>
          <w:rFonts w:hint="eastAsia" w:ascii="宋体" w:hAnsi="宋体" w:cs="仿宋"/>
          <w:sz w:val="28"/>
          <w:szCs w:val="28"/>
          <w:highlight w:val="none"/>
          <w:u w:val="single"/>
          <w:lang w:eastAsia="zh-CN"/>
        </w:rPr>
        <w:t>5</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rPr>
        <w:t>实验室与设备管理处</w:t>
      </w:r>
      <w:r>
        <w:rPr>
          <w:rFonts w:ascii="宋体" w:hAnsi="宋体"/>
          <w:sz w:val="28"/>
          <w:szCs w:val="28"/>
          <w:highlight w:val="none"/>
        </w:rPr>
        <w:t>委托，就</w:t>
      </w:r>
      <w:r>
        <w:rPr>
          <w:rFonts w:hint="eastAsia" w:ascii="宋体" w:hAnsi="宋体"/>
          <w:sz w:val="28"/>
          <w:szCs w:val="28"/>
          <w:highlight w:val="none"/>
        </w:rPr>
        <w:t>实验室废弃物收集、转运与处置服务采购项目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20"/>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20"/>
        <w:spacing w:line="360" w:lineRule="auto"/>
        <w:ind w:firstLine="560"/>
        <w:rPr>
          <w:rFonts w:ascii="宋体" w:hAnsi="宋体"/>
          <w:kern w:val="2"/>
          <w:sz w:val="28"/>
          <w:szCs w:val="28"/>
          <w:highlight w:val="none"/>
        </w:rPr>
      </w:pPr>
      <w:r>
        <w:rPr>
          <w:rFonts w:ascii="宋体" w:hAnsi="宋体"/>
          <w:kern w:val="2"/>
          <w:sz w:val="28"/>
          <w:szCs w:val="28"/>
          <w:highlight w:val="none"/>
        </w:rPr>
        <w:t>1. 项目名称：</w:t>
      </w:r>
      <w:r>
        <w:rPr>
          <w:rFonts w:hint="eastAsia" w:ascii="宋体" w:hAnsi="宋体"/>
          <w:kern w:val="2"/>
          <w:sz w:val="28"/>
          <w:szCs w:val="28"/>
          <w:highlight w:val="none"/>
        </w:rPr>
        <w:t>南京信息工程大学实验室废弃物收集、转运与处置服务采购项目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18"/>
          <w:b/>
          <w:color w:val="auto"/>
          <w:sz w:val="24"/>
          <w:highlight w:val="none"/>
        </w:rPr>
        <w:t>https://bulletin.nuist.edu.cn/779/lis</w:t>
      </w:r>
      <w:r>
        <w:rPr>
          <w:rStyle w:val="18"/>
          <w:color w:val="auto"/>
          <w:sz w:val="24"/>
          <w:highlight w:val="none"/>
        </w:rPr>
        <w:t>t.htm</w:t>
      </w:r>
      <w:r>
        <w:rPr>
          <w:rStyle w:val="18"/>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sz w:val="28"/>
          <w:szCs w:val="28"/>
          <w:highlight w:val="none"/>
        </w:rPr>
      </w:pPr>
      <w:r>
        <w:rPr>
          <w:rFonts w:ascii="宋体" w:hAnsi="宋体"/>
          <w:sz w:val="28"/>
          <w:szCs w:val="28"/>
          <w:highlight w:val="none"/>
        </w:rPr>
        <w:t>5.</w:t>
      </w:r>
      <w:r>
        <w:rPr>
          <w:rFonts w:hint="eastAsia" w:ascii="宋体" w:hAnsi="宋体"/>
          <w:sz w:val="28"/>
          <w:szCs w:val="28"/>
          <w:highlight w:val="none"/>
        </w:rPr>
        <w:t>正式的答疑回复文件也按上述方式处理留存。</w:t>
      </w:r>
    </w:p>
    <w:p>
      <w:pPr>
        <w:pStyle w:val="21"/>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21"/>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8.本项目拒绝下述供应商参加本次采购活动的情形：</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（3）供应商被“信用中国”网站（www.creditchina.gov.cn）、“中国政府采购网”(www.ccgp.gov.cn)列入失信被执行人、重大税收违法案件当事人名单、政府采购严重违法失信行为记录名单。</w:t>
      </w:r>
    </w:p>
    <w:p>
      <w:pPr>
        <w:snapToGrid w:val="0"/>
        <w:spacing w:line="538"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9.本项目的特定资格要求：</w:t>
      </w:r>
      <w:r>
        <w:rPr>
          <w:rFonts w:hint="eastAsia" w:ascii="宋体" w:hAnsi="宋体" w:cs="宋体"/>
          <w:bCs/>
          <w:sz w:val="28"/>
          <w:szCs w:val="28"/>
          <w:highlight w:val="none"/>
        </w:rPr>
        <w:t xml:space="preserve">供应商具有行业主管部门颁发的在有效期内的危险废物经营许可证，核准经营类别需包括HW49（900-039-49、900-047-49、900-999-49）。（复印件加盖投标人公章） </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10.本项目</w:t>
      </w:r>
      <w:r>
        <w:rPr>
          <w:rFonts w:hint="eastAsia" w:ascii="宋体" w:hAnsi="宋体" w:cs="宋体"/>
          <w:bCs/>
          <w:sz w:val="28"/>
          <w:szCs w:val="28"/>
          <w:highlight w:val="none"/>
          <w:u w:val="single"/>
        </w:rPr>
        <w:t>不接受</w:t>
      </w:r>
      <w:r>
        <w:rPr>
          <w:rFonts w:hint="eastAsia" w:ascii="宋体" w:hAnsi="宋体" w:cs="宋体"/>
          <w:bCs/>
          <w:sz w:val="28"/>
          <w:szCs w:val="28"/>
          <w:highlight w:val="none"/>
        </w:rPr>
        <w:t>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六、本项目预算价（最高限价）为49.5</w:t>
      </w:r>
      <w:r>
        <w:rPr>
          <w:rFonts w:hint="eastAsia" w:ascii="宋体" w:hAnsi="宋体" w:cs="宋体"/>
          <w:sz w:val="28"/>
          <w:szCs w:val="28"/>
          <w:highlight w:val="none"/>
          <w:lang w:val="en-US" w:eastAsia="zh-CN"/>
        </w:rPr>
        <w:t>0</w:t>
      </w:r>
      <w:r>
        <w:rPr>
          <w:rFonts w:hint="eastAsia" w:ascii="宋体" w:hAnsi="宋体" w:cs="宋体"/>
          <w:sz w:val="28"/>
          <w:szCs w:val="28"/>
          <w:highlight w:val="none"/>
        </w:rPr>
        <w:t>万元，本项目只接受人民币报价。</w:t>
      </w: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）投标人相关资质证明文件复印件（如：营业执照、银行基本户开户证、资质证书等）；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）投标单位或产品或服务近三年相关业绩证明材料（含中标通知书、合同及客户评价表，三者缺一不可）；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投标人必须投本标书所有标段的内容，不允许分标段投标；标书中标段标</w:t>
      </w:r>
      <w:r>
        <w:rPr>
          <w:rFonts w:hint="eastAsia" w:ascii="宋体" w:hAnsi="宋体" w:cs="Arial"/>
          <w:kern w:val="0"/>
          <w:sz w:val="18"/>
          <w:szCs w:val="18"/>
          <w:highlight w:val="none"/>
        </w:rPr>
        <w:t>★</w:t>
      </w:r>
      <w:r>
        <w:rPr>
          <w:rFonts w:hint="eastAsia"/>
          <w:sz w:val="28"/>
          <w:szCs w:val="28"/>
          <w:highlight w:val="none"/>
        </w:rPr>
        <w:t>的参数必须满足，否则视为无效标书；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widowControl/>
        <w:spacing w:before="75" w:after="75" w:line="555" w:lineRule="atLeast"/>
        <w:ind w:firstLine="555" w:firstLineChars="0"/>
        <w:jc w:val="left"/>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hint="eastAsia" w:ascii="仿宋" w:hAnsi="仿宋" w:eastAsia="仿宋" w:cs="仿宋"/>
          <w:b/>
          <w:bCs/>
          <w:i w:val="0"/>
          <w:iCs w:val="0"/>
          <w:caps w:val="0"/>
          <w:color w:val="000000"/>
          <w:spacing w:val="0"/>
          <w:kern w:val="0"/>
          <w:sz w:val="28"/>
          <w:szCs w:val="28"/>
          <w:highlight w:val="none"/>
          <w:lang w:val="en-US" w:eastAsia="zh-CN" w:bidi="ar"/>
        </w:rPr>
        <w:t>JZCG-2021-00178</w:t>
      </w:r>
      <w:r>
        <w:rPr>
          <w:rFonts w:hint="eastAsia" w:ascii="宋体" w:hAnsi="宋体" w:cs="宋体"/>
          <w:b/>
          <w:bCs/>
          <w:sz w:val="28"/>
          <w:szCs w:val="28"/>
          <w:highlight w:val="none"/>
        </w:rPr>
        <w:t>资料费</w:t>
      </w:r>
      <w:r>
        <w:rPr>
          <w:rFonts w:hint="eastAsia" w:ascii="宋体" w:hAnsi="宋体" w:cs="宋体"/>
          <w:b/>
          <w:sz w:val="28"/>
          <w:szCs w:val="28"/>
          <w:highlight w:val="none"/>
        </w:rPr>
        <w:t>”</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）中标公示结束无异议后5个工作日内，中标单位须及时缴纳中标价的10%作为履约保证金并前来我校领取《中标通知书》（一式二份）。待合同期满，一次性无息返还。</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4"/>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jc w:val="left"/>
        <w:rPr>
          <w:rFonts w:ascii="宋体" w:hAnsi="宋体" w:cs="宋体"/>
          <w:sz w:val="28"/>
          <w:szCs w:val="28"/>
          <w:highlight w:val="none"/>
        </w:rPr>
      </w:pPr>
      <w:r>
        <w:rPr>
          <w:rFonts w:hint="eastAsia" w:ascii="宋体" w:hAnsi="宋体" w:cs="宋体"/>
          <w:sz w:val="28"/>
          <w:szCs w:val="28"/>
          <w:highlight w:val="none"/>
        </w:rPr>
        <w:t>付款采用据实结算。实际费用以《危险废物转移联单》确定的危废种类、数量和中标供应商所报处置单价为依据，每月根据实际转移情况结算，供应商根据结算情况开具增值税发票，采购人自收到发票后 20 个工作日内付清。</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w:t>
      </w:r>
      <w:r>
        <w:rPr>
          <w:rFonts w:hint="eastAsia" w:ascii="仿宋" w:hAnsi="仿宋" w:eastAsia="仿宋" w:cs="仿宋"/>
          <w:b/>
          <w:bCs/>
          <w:i w:val="0"/>
          <w:iCs w:val="0"/>
          <w:caps w:val="0"/>
          <w:color w:val="000000"/>
          <w:spacing w:val="0"/>
          <w:kern w:val="0"/>
          <w:sz w:val="28"/>
          <w:szCs w:val="28"/>
          <w:highlight w:val="none"/>
          <w:lang w:val="en-US" w:eastAsia="zh-CN" w:bidi="ar"/>
        </w:rPr>
        <w:t>JZCG-2021-00178</w:t>
      </w:r>
      <w:r>
        <w:rPr>
          <w:rFonts w:hint="eastAsia" w:ascii="宋体" w:hAnsi="宋体" w:cs="宋体"/>
          <w:b/>
          <w:bCs/>
          <w:sz w:val="28"/>
          <w:szCs w:val="28"/>
          <w:highlight w:val="none"/>
        </w:rPr>
        <w:t>资料费</w:t>
      </w:r>
      <w:r>
        <w:rPr>
          <w:rFonts w:hint="eastAsia" w:ascii="宋体" w:hAnsi="宋体" w:cs="宋体"/>
          <w:b/>
          <w:sz w:val="28"/>
          <w:szCs w:val="28"/>
          <w:highlight w:val="none"/>
        </w:rPr>
        <w:t>”</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履约保证金：中标价10%。</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服务完成，一次性无息返还。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312" w:beforeLines="100" w:after="312"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rPr>
        <w:t>1年1</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22</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w:t>
      </w:r>
      <w:r>
        <w:rPr>
          <w:rFonts w:hint="eastAsia" w:ascii="宋体" w:hAnsi="宋体" w:eastAsia="宋体" w:cs="Times New Roman"/>
          <w:i w:val="0"/>
          <w:iCs w:val="0"/>
          <w:caps w:val="0"/>
          <w:color w:val="auto"/>
          <w:spacing w:val="0"/>
          <w:kern w:val="2"/>
          <w:sz w:val="28"/>
          <w:szCs w:val="28"/>
          <w:highlight w:val="none"/>
          <w:lang w:val="en-US" w:eastAsia="zh-CN" w:bidi="ar"/>
        </w:rPr>
        <w:t>2022年1月5日14：30（北京时间）</w:t>
      </w:r>
      <w:r>
        <w:rPr>
          <w:rFonts w:hint="eastAsia" w:ascii="宋体" w:hAnsi="宋体"/>
          <w:sz w:val="28"/>
          <w:szCs w:val="28"/>
          <w:highlight w:val="none"/>
        </w:rPr>
        <w:t>。</w:t>
      </w:r>
      <w:bookmarkStart w:id="7" w:name="_Hlk32349437"/>
    </w:p>
    <w:bookmarkEnd w:id="7"/>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招标办。联系人：马老师、罗老师、刘老师；联系电话：025-58731441。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w:t>
      </w:r>
      <w:r>
        <w:rPr>
          <w:rFonts w:hint="eastAsia" w:ascii="宋体" w:hAnsi="宋体" w:eastAsia="宋体" w:cs="Times New Roman"/>
          <w:i w:val="0"/>
          <w:iCs w:val="0"/>
          <w:caps w:val="0"/>
          <w:color w:val="auto"/>
          <w:spacing w:val="0"/>
          <w:kern w:val="2"/>
          <w:sz w:val="28"/>
          <w:szCs w:val="28"/>
          <w:highlight w:val="none"/>
          <w:lang w:val="en-US" w:eastAsia="zh-CN" w:bidi="ar"/>
        </w:rPr>
        <w:t>2022年1月5日14：30（北京时间）</w:t>
      </w:r>
      <w:r>
        <w:rPr>
          <w:rFonts w:hint="eastAsia" w:ascii="宋体" w:hAnsi="宋体"/>
          <w:sz w:val="28"/>
          <w:szCs w:val="28"/>
          <w:highlight w:val="none"/>
        </w:rPr>
        <w:t>；(不安排公开开标、唱标，由招标办工作人员在我校纪检监察部门监督见证下进行，开标、唱标工作全程视频监控并录像)。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，联系人：马老师、罗老师、刘老师；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w:t>
      </w:r>
      <w:r>
        <w:rPr>
          <w:rFonts w:hint="eastAsia" w:ascii="宋体" w:hAnsi="宋体" w:cs="宋体"/>
          <w:sz w:val="28"/>
          <w:szCs w:val="28"/>
          <w:highlight w:val="none"/>
        </w:rPr>
        <w:t>位联系电话：13913314898，联系人：陈老师。</w:t>
      </w:r>
    </w:p>
    <w:p>
      <w:pPr>
        <w:pStyle w:val="7"/>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8" w:name="_Hlk9866962"/>
      <w:r>
        <w:rPr>
          <w:rFonts w:hint="eastAsia" w:ascii="宋体" w:hAnsi="宋体"/>
          <w:b/>
          <w:sz w:val="28"/>
          <w:szCs w:val="28"/>
          <w:highlight w:val="none"/>
        </w:rPr>
        <w:t>南京信息工程大学招标办</w:t>
      </w:r>
    </w:p>
    <w:p>
      <w:pPr>
        <w:pStyle w:val="10"/>
        <w:spacing w:line="360" w:lineRule="auto"/>
        <w:ind w:left="99" w:leftChars="47" w:firstLine="4919" w:firstLineChars="1750"/>
        <w:rPr>
          <w:rStyle w:val="22"/>
          <w:rFonts w:ascii="宋体" w:hAnsi="Times New Roman" w:eastAsia="宋体"/>
          <w:sz w:val="28"/>
          <w:szCs w:val="28"/>
          <w:highlight w:val="none"/>
        </w:rPr>
      </w:pPr>
      <w:r>
        <w:rPr>
          <w:rStyle w:val="22"/>
          <w:rFonts w:ascii="宋体" w:hAnsi="宋体" w:eastAsia="宋体"/>
          <w:sz w:val="28"/>
          <w:szCs w:val="28"/>
          <w:highlight w:val="none"/>
        </w:rPr>
        <w:t>20</w:t>
      </w:r>
      <w:r>
        <w:rPr>
          <w:rStyle w:val="22"/>
          <w:rFonts w:hint="eastAsia" w:ascii="宋体" w:hAnsi="宋体" w:eastAsia="宋体"/>
          <w:sz w:val="28"/>
          <w:szCs w:val="28"/>
          <w:highlight w:val="none"/>
        </w:rPr>
        <w:t>2</w:t>
      </w:r>
      <w:r>
        <w:rPr>
          <w:rStyle w:val="22"/>
          <w:rFonts w:hint="eastAsia" w:ascii="宋体" w:hAnsi="宋体"/>
          <w:sz w:val="28"/>
          <w:szCs w:val="28"/>
          <w:highlight w:val="none"/>
        </w:rPr>
        <w:t>1</w:t>
      </w:r>
      <w:r>
        <w:rPr>
          <w:rStyle w:val="22"/>
          <w:rFonts w:hint="eastAsia" w:ascii="宋体" w:hAnsi="宋体" w:eastAsia="宋体"/>
          <w:sz w:val="28"/>
          <w:szCs w:val="28"/>
          <w:highlight w:val="none"/>
        </w:rPr>
        <w:t>年</w:t>
      </w:r>
      <w:r>
        <w:rPr>
          <w:rStyle w:val="22"/>
          <w:rFonts w:hint="eastAsia" w:ascii="宋体" w:hAnsi="宋体"/>
          <w:sz w:val="28"/>
          <w:szCs w:val="28"/>
          <w:highlight w:val="none"/>
        </w:rPr>
        <w:t>1</w:t>
      </w:r>
      <w:r>
        <w:rPr>
          <w:rStyle w:val="22"/>
          <w:rFonts w:hint="eastAsia" w:ascii="宋体" w:hAnsi="宋体"/>
          <w:sz w:val="28"/>
          <w:szCs w:val="28"/>
          <w:highlight w:val="none"/>
          <w:lang w:val="en-US"/>
        </w:rPr>
        <w:t>2</w:t>
      </w:r>
      <w:r>
        <w:rPr>
          <w:rStyle w:val="22"/>
          <w:rFonts w:hint="eastAsia" w:ascii="宋体" w:hAnsi="宋体" w:eastAsia="宋体"/>
          <w:sz w:val="28"/>
          <w:szCs w:val="28"/>
          <w:highlight w:val="none"/>
        </w:rPr>
        <w:t>月</w:t>
      </w:r>
      <w:r>
        <w:rPr>
          <w:rStyle w:val="22"/>
          <w:rFonts w:hint="eastAsia" w:ascii="宋体" w:hAnsi="宋体"/>
          <w:sz w:val="28"/>
          <w:szCs w:val="28"/>
          <w:highlight w:val="none"/>
          <w:lang w:val="en-US"/>
        </w:rPr>
        <w:t>1</w:t>
      </w:r>
      <w:r>
        <w:rPr>
          <w:rStyle w:val="22"/>
          <w:rFonts w:hint="eastAsia" w:ascii="宋体" w:hAnsi="宋体"/>
          <w:sz w:val="28"/>
          <w:szCs w:val="28"/>
          <w:highlight w:val="none"/>
        </w:rPr>
        <w:t>5</w:t>
      </w:r>
      <w:r>
        <w:rPr>
          <w:rStyle w:val="22"/>
          <w:rFonts w:hint="eastAsia" w:ascii="宋体" w:hAnsi="宋体" w:eastAsia="宋体"/>
          <w:sz w:val="28"/>
          <w:szCs w:val="28"/>
          <w:highlight w:val="none"/>
        </w:rPr>
        <w:t>日</w:t>
      </w:r>
    </w:p>
    <w:bookmarkEnd w:id="8"/>
    <w:p>
      <w:pPr>
        <w:pStyle w:val="9"/>
        <w:adjustRightInd w:val="0"/>
        <w:snapToGrid w:val="0"/>
        <w:spacing w:before="120" w:after="120" w:line="360" w:lineRule="auto"/>
        <w:rPr>
          <w:rStyle w:val="22"/>
          <w:rFonts w:ascii="宋体" w:hAnsi="宋体" w:eastAsia="宋体"/>
          <w:b w:val="0"/>
          <w:sz w:val="28"/>
          <w:szCs w:val="28"/>
          <w:highlight w:val="none"/>
        </w:rPr>
      </w:pPr>
      <w:r>
        <w:rPr>
          <w:rStyle w:val="22"/>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pStyle w:val="3"/>
        <w:jc w:val="center"/>
        <w:rPr>
          <w:highlight w:val="none"/>
        </w:rPr>
      </w:pPr>
      <w:bookmarkStart w:id="10" w:name="_Toc75872064"/>
      <w:r>
        <w:rPr>
          <w:rFonts w:hint="eastAsia"/>
          <w:highlight w:val="none"/>
        </w:rPr>
        <w:t>采购需求</w:t>
      </w:r>
      <w:bookmarkEnd w:id="10"/>
    </w:p>
    <w:p>
      <w:pPr>
        <w:snapToGrid w:val="0"/>
        <w:spacing w:line="360" w:lineRule="auto"/>
        <w:rPr>
          <w:rFonts w:ascii="宋体" w:hAnsi="宋体"/>
          <w:b/>
          <w:bCs/>
          <w:sz w:val="28"/>
          <w:szCs w:val="28"/>
          <w:highlight w:val="none"/>
        </w:rPr>
      </w:pPr>
      <w:r>
        <w:rPr>
          <w:rFonts w:hint="eastAsia" w:ascii="宋体" w:hAnsi="宋体"/>
          <w:b/>
          <w:bCs/>
          <w:sz w:val="28"/>
          <w:szCs w:val="28"/>
          <w:highlight w:val="none"/>
        </w:rPr>
        <w:t>一、需求一览表</w:t>
      </w:r>
    </w:p>
    <w:p>
      <w:pPr>
        <w:pStyle w:val="4"/>
        <w:ind w:firstLine="560" w:firstLineChars="200"/>
        <w:rPr>
          <w:rFonts w:ascii="宋体" w:hAnsi="宋体"/>
          <w:sz w:val="28"/>
          <w:szCs w:val="28"/>
          <w:highlight w:val="none"/>
        </w:rPr>
      </w:pPr>
      <w:r>
        <w:rPr>
          <w:rFonts w:hint="eastAsia" w:ascii="宋体" w:hAnsi="宋体"/>
          <w:sz w:val="28"/>
          <w:szCs w:val="28"/>
          <w:highlight w:val="none"/>
        </w:rPr>
        <w:t>根据国家以及江苏省生态环境厅制定的有关实验室危险废弃物转移处置管理办法，供应商合法合规对南京信息工程大学实验室危险废弃物进行上门收集、转移、运输并处置完毕的全过程服务。</w:t>
      </w:r>
    </w:p>
    <w:tbl>
      <w:tblPr>
        <w:tblStyle w:val="14"/>
        <w:tblpPr w:leftFromText="180" w:rightFromText="180" w:vertAnchor="text" w:horzAnchor="page" w:tblpX="924" w:tblpY="243"/>
        <w:tblOverlap w:val="never"/>
        <w:tblW w:w="10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4"/>
        <w:gridCol w:w="2510"/>
        <w:gridCol w:w="2168"/>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项目名称</w:t>
            </w:r>
          </w:p>
        </w:tc>
        <w:tc>
          <w:tcPr>
            <w:tcW w:w="25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简要技术要求</w:t>
            </w:r>
          </w:p>
        </w:tc>
        <w:tc>
          <w:tcPr>
            <w:tcW w:w="21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服务期限</w:t>
            </w:r>
          </w:p>
        </w:tc>
        <w:tc>
          <w:tcPr>
            <w:tcW w:w="27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预算金额</w:t>
            </w:r>
          </w:p>
          <w:p>
            <w:pPr>
              <w:jc w:val="center"/>
              <w:rPr>
                <w:rFonts w:ascii="宋体" w:hAnsi="宋体"/>
                <w:sz w:val="24"/>
                <w:highlight w:val="none"/>
              </w:rPr>
            </w:pPr>
            <w:r>
              <w:rPr>
                <w:rFonts w:hint="eastAsia" w:ascii="宋体" w:hAnsi="宋体"/>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500" w:lineRule="exact"/>
              <w:jc w:val="center"/>
              <w:rPr>
                <w:sz w:val="24"/>
                <w:highlight w:val="none"/>
              </w:rPr>
            </w:pPr>
            <w:r>
              <w:rPr>
                <w:rFonts w:ascii="宋体" w:hAnsi="宋体"/>
                <w:sz w:val="24"/>
                <w:highlight w:val="none"/>
              </w:rPr>
              <w:t>南京信息工程大学实验室危险</w:t>
            </w:r>
            <w:r>
              <w:rPr>
                <w:rFonts w:hint="eastAsia" w:ascii="宋体" w:hAnsi="宋体"/>
                <w:sz w:val="24"/>
                <w:highlight w:val="none"/>
              </w:rPr>
              <w:t>废弃物</w:t>
            </w:r>
            <w:r>
              <w:rPr>
                <w:rFonts w:ascii="宋体" w:hAnsi="宋体"/>
                <w:sz w:val="24"/>
                <w:highlight w:val="none"/>
              </w:rPr>
              <w:t>收集</w:t>
            </w:r>
            <w:r>
              <w:rPr>
                <w:rFonts w:hint="eastAsia" w:ascii="宋体" w:hAnsi="宋体"/>
                <w:sz w:val="24"/>
                <w:highlight w:val="none"/>
              </w:rPr>
              <w:t>、</w:t>
            </w:r>
            <w:r>
              <w:rPr>
                <w:rFonts w:ascii="宋体" w:hAnsi="宋体"/>
                <w:sz w:val="24"/>
                <w:highlight w:val="none"/>
              </w:rPr>
              <w:t>运输</w:t>
            </w:r>
            <w:r>
              <w:rPr>
                <w:rFonts w:hint="eastAsia" w:ascii="宋体" w:hAnsi="宋体"/>
                <w:sz w:val="24"/>
                <w:highlight w:val="none"/>
              </w:rPr>
              <w:t>、</w:t>
            </w:r>
            <w:r>
              <w:rPr>
                <w:rFonts w:ascii="宋体" w:hAnsi="宋体"/>
                <w:sz w:val="24"/>
                <w:highlight w:val="none"/>
              </w:rPr>
              <w:t>处置</w:t>
            </w:r>
            <w:r>
              <w:rPr>
                <w:rFonts w:hint="eastAsia" w:ascii="宋体" w:hAnsi="宋体"/>
                <w:sz w:val="24"/>
                <w:highlight w:val="none"/>
              </w:rPr>
              <w:t>服务采购项目</w:t>
            </w:r>
          </w:p>
        </w:tc>
        <w:tc>
          <w:tcPr>
            <w:tcW w:w="25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4"/>
                <w:highlight w:val="none"/>
              </w:rPr>
            </w:pPr>
            <w:r>
              <w:rPr>
                <w:rFonts w:hint="eastAsia" w:ascii="宋体" w:hAnsi="宋体"/>
                <w:sz w:val="24"/>
                <w:highlight w:val="none"/>
              </w:rPr>
              <w:t>服务内容包含上门收集、打包整理、运输、处置等</w:t>
            </w:r>
          </w:p>
        </w:tc>
        <w:tc>
          <w:tcPr>
            <w:tcW w:w="2168" w:type="dxa"/>
            <w:tcBorders>
              <w:left w:val="single" w:color="auto" w:sz="4" w:space="0"/>
              <w:right w:val="single" w:color="auto" w:sz="4" w:space="0"/>
            </w:tcBorders>
            <w:vAlign w:val="center"/>
          </w:tcPr>
          <w:p>
            <w:pPr>
              <w:tabs>
                <w:tab w:val="left" w:pos="720"/>
              </w:tabs>
              <w:spacing w:line="500" w:lineRule="exact"/>
              <w:jc w:val="center"/>
              <w:rPr>
                <w:rFonts w:ascii="宋体" w:hAnsi="宋体"/>
                <w:sz w:val="24"/>
                <w:highlight w:val="none"/>
              </w:rPr>
            </w:pPr>
            <w:r>
              <w:rPr>
                <w:rFonts w:hint="eastAsia" w:ascii="宋体" w:hAnsi="宋体"/>
                <w:sz w:val="24"/>
                <w:highlight w:val="none"/>
              </w:rPr>
              <w:t>服务期两年</w:t>
            </w:r>
          </w:p>
          <w:p>
            <w:pPr>
              <w:pStyle w:val="4"/>
              <w:spacing w:line="500" w:lineRule="exact"/>
              <w:ind w:firstLine="0"/>
              <w:jc w:val="center"/>
              <w:rPr>
                <w:sz w:val="24"/>
                <w:highlight w:val="none"/>
              </w:rPr>
            </w:pPr>
            <w:r>
              <w:rPr>
                <w:rFonts w:hint="eastAsia" w:ascii="宋体" w:hAnsi="宋体"/>
                <w:sz w:val="24"/>
                <w:highlight w:val="none"/>
              </w:rPr>
              <w:t>（2022-2023年）</w:t>
            </w:r>
          </w:p>
        </w:tc>
        <w:tc>
          <w:tcPr>
            <w:tcW w:w="27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highlight w:val="none"/>
              </w:rPr>
            </w:pPr>
            <w:r>
              <w:rPr>
                <w:rFonts w:hint="eastAsia" w:ascii="宋体" w:hAnsi="宋体"/>
                <w:sz w:val="24"/>
                <w:highlight w:val="none"/>
              </w:rPr>
              <w:t>49.5万元</w:t>
            </w:r>
          </w:p>
          <w:p>
            <w:pPr>
              <w:tabs>
                <w:tab w:val="left" w:pos="720"/>
              </w:tabs>
              <w:spacing w:line="500" w:lineRule="exact"/>
              <w:jc w:val="center"/>
              <w:rPr>
                <w:sz w:val="24"/>
                <w:highlight w:val="none"/>
              </w:rPr>
            </w:pPr>
            <w:r>
              <w:rPr>
                <w:rFonts w:hint="eastAsia" w:ascii="宋体" w:hAnsi="宋体"/>
                <w:sz w:val="24"/>
                <w:highlight w:val="none"/>
              </w:rPr>
              <w:t>（2022-2023年总预算）</w:t>
            </w:r>
          </w:p>
        </w:tc>
      </w:tr>
    </w:tbl>
    <w:p>
      <w:pPr>
        <w:ind w:left="210" w:leftChars="100" w:firstLine="240" w:firstLineChars="100"/>
        <w:rPr>
          <w:rFonts w:ascii="宋体" w:hAnsi="宋体"/>
          <w:sz w:val="24"/>
          <w:highlight w:val="none"/>
        </w:rPr>
      </w:pPr>
    </w:p>
    <w:p>
      <w:pPr>
        <w:rPr>
          <w:b/>
          <w:bCs/>
          <w:sz w:val="28"/>
          <w:szCs w:val="28"/>
          <w:highlight w:val="none"/>
        </w:rPr>
      </w:pPr>
      <w:r>
        <w:rPr>
          <w:rFonts w:hint="eastAsia"/>
          <w:b/>
          <w:bCs/>
          <w:sz w:val="28"/>
          <w:szCs w:val="28"/>
          <w:highlight w:val="none"/>
        </w:rPr>
        <w:t>二、技术要求</w:t>
      </w:r>
    </w:p>
    <w:p>
      <w:pPr>
        <w:rPr>
          <w:sz w:val="28"/>
          <w:szCs w:val="28"/>
          <w:highlight w:val="none"/>
        </w:rPr>
      </w:pPr>
      <w:r>
        <w:rPr>
          <w:rFonts w:hint="eastAsia"/>
          <w:sz w:val="28"/>
          <w:szCs w:val="28"/>
          <w:highlight w:val="none"/>
        </w:rPr>
        <w:t xml:space="preserve"> </w:t>
      </w:r>
      <w:r>
        <w:rPr>
          <w:rFonts w:hint="eastAsia"/>
          <w:b/>
          <w:sz w:val="28"/>
          <w:szCs w:val="28"/>
          <w:highlight w:val="none"/>
        </w:rPr>
        <w:t>（一）实验室废弃物种类、收集包装要求：</w:t>
      </w:r>
    </w:p>
    <w:tbl>
      <w:tblPr>
        <w:tblStyle w:val="14"/>
        <w:tblW w:w="9999" w:type="dxa"/>
        <w:jc w:val="center"/>
        <w:tblLayout w:type="fixed"/>
        <w:tblCellMar>
          <w:top w:w="0" w:type="dxa"/>
          <w:left w:w="108" w:type="dxa"/>
          <w:bottom w:w="0" w:type="dxa"/>
          <w:right w:w="108" w:type="dxa"/>
        </w:tblCellMar>
      </w:tblPr>
      <w:tblGrid>
        <w:gridCol w:w="1244"/>
        <w:gridCol w:w="1912"/>
        <w:gridCol w:w="831"/>
        <w:gridCol w:w="1361"/>
        <w:gridCol w:w="1396"/>
        <w:gridCol w:w="3255"/>
      </w:tblGrid>
      <w:tr>
        <w:tblPrEx>
          <w:tblCellMar>
            <w:top w:w="0" w:type="dxa"/>
            <w:left w:w="108" w:type="dxa"/>
            <w:bottom w:w="0" w:type="dxa"/>
            <w:right w:w="108" w:type="dxa"/>
          </w:tblCellMar>
        </w:tblPrEx>
        <w:trPr>
          <w:trHeight w:val="540"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序号</w:t>
            </w:r>
          </w:p>
        </w:tc>
        <w:tc>
          <w:tcPr>
            <w:tcW w:w="1912"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项目</w:t>
            </w:r>
          </w:p>
        </w:tc>
        <w:tc>
          <w:tcPr>
            <w:tcW w:w="831"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单位</w:t>
            </w:r>
          </w:p>
        </w:tc>
        <w:tc>
          <w:tcPr>
            <w:tcW w:w="1361"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形态</w:t>
            </w:r>
          </w:p>
        </w:tc>
        <w:tc>
          <w:tcPr>
            <w:tcW w:w="1396"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两年</w:t>
            </w:r>
          </w:p>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预估量</w:t>
            </w:r>
          </w:p>
        </w:tc>
        <w:tc>
          <w:tcPr>
            <w:tcW w:w="3255"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bCs/>
                <w:sz w:val="24"/>
                <w:highlight w:val="none"/>
              </w:rPr>
              <w:t>收集包装要求</w:t>
            </w:r>
          </w:p>
        </w:tc>
      </w:tr>
      <w:tr>
        <w:tblPrEx>
          <w:tblCellMar>
            <w:top w:w="0" w:type="dxa"/>
            <w:left w:w="108" w:type="dxa"/>
            <w:bottom w:w="0" w:type="dxa"/>
            <w:right w:w="108" w:type="dxa"/>
          </w:tblCellMar>
        </w:tblPrEx>
        <w:trPr>
          <w:trHeight w:val="570" w:hRule="atLeast"/>
          <w:jc w:val="center"/>
        </w:trPr>
        <w:tc>
          <w:tcPr>
            <w:tcW w:w="1244"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1</w:t>
            </w:r>
          </w:p>
        </w:tc>
        <w:tc>
          <w:tcPr>
            <w:tcW w:w="1912" w:type="dxa"/>
            <w:tcBorders>
              <w:top w:val="nil"/>
              <w:left w:val="nil"/>
              <w:bottom w:val="single" w:color="auto" w:sz="4" w:space="0"/>
              <w:right w:val="single" w:color="auto" w:sz="4" w:space="0"/>
            </w:tcBorders>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实验室废液</w:t>
            </w:r>
            <w:r>
              <w:rPr>
                <w:rFonts w:hint="eastAsia" w:asciiTheme="majorEastAsia" w:hAnsiTheme="majorEastAsia" w:eastAsiaTheme="majorEastAsia" w:cstheme="majorEastAsia"/>
                <w:color w:val="000000"/>
                <w:kern w:val="0"/>
                <w:sz w:val="24"/>
                <w:highlight w:val="none"/>
              </w:rPr>
              <w:br w:type="textWrapping"/>
            </w:r>
            <w:r>
              <w:rPr>
                <w:rFonts w:hint="eastAsia" w:asciiTheme="majorEastAsia" w:hAnsiTheme="majorEastAsia" w:eastAsiaTheme="majorEastAsia" w:cstheme="majorEastAsia"/>
                <w:color w:val="000000"/>
                <w:kern w:val="0"/>
                <w:sz w:val="24"/>
                <w:highlight w:val="none"/>
              </w:rPr>
              <w:t>900-047-49</w:t>
            </w:r>
          </w:p>
        </w:tc>
        <w:tc>
          <w:tcPr>
            <w:tcW w:w="831"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吨</w:t>
            </w:r>
          </w:p>
        </w:tc>
        <w:tc>
          <w:tcPr>
            <w:tcW w:w="1361"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液态</w:t>
            </w:r>
          </w:p>
        </w:tc>
        <w:tc>
          <w:tcPr>
            <w:tcW w:w="1396"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16</w:t>
            </w:r>
          </w:p>
        </w:tc>
        <w:tc>
          <w:tcPr>
            <w:tcW w:w="3255"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25L小口、双盖、有透气孔方桶收集，不漏液、能密闭气味，木托盘打包；</w:t>
            </w:r>
          </w:p>
        </w:tc>
      </w:tr>
      <w:tr>
        <w:tblPrEx>
          <w:tblCellMar>
            <w:top w:w="0" w:type="dxa"/>
            <w:left w:w="108" w:type="dxa"/>
            <w:bottom w:w="0" w:type="dxa"/>
            <w:right w:w="108" w:type="dxa"/>
          </w:tblCellMar>
        </w:tblPrEx>
        <w:trPr>
          <w:trHeight w:val="90" w:hRule="atLeast"/>
          <w:jc w:val="center"/>
        </w:trPr>
        <w:tc>
          <w:tcPr>
            <w:tcW w:w="1244"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2</w:t>
            </w:r>
          </w:p>
        </w:tc>
        <w:tc>
          <w:tcPr>
            <w:tcW w:w="1912" w:type="dxa"/>
            <w:tcBorders>
              <w:top w:val="nil"/>
              <w:left w:val="nil"/>
              <w:bottom w:val="single" w:color="auto" w:sz="4" w:space="0"/>
              <w:right w:val="single" w:color="auto" w:sz="4" w:space="0"/>
            </w:tcBorders>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实验室空瓶</w:t>
            </w:r>
            <w:r>
              <w:rPr>
                <w:rFonts w:hint="eastAsia" w:asciiTheme="majorEastAsia" w:hAnsiTheme="majorEastAsia" w:eastAsiaTheme="majorEastAsia" w:cstheme="majorEastAsia"/>
                <w:color w:val="000000"/>
                <w:kern w:val="0"/>
                <w:sz w:val="24"/>
                <w:highlight w:val="none"/>
              </w:rPr>
              <w:br w:type="textWrapping"/>
            </w:r>
            <w:r>
              <w:rPr>
                <w:rFonts w:hint="eastAsia" w:asciiTheme="majorEastAsia" w:hAnsiTheme="majorEastAsia" w:eastAsiaTheme="majorEastAsia" w:cstheme="majorEastAsia"/>
                <w:color w:val="000000"/>
                <w:kern w:val="0"/>
                <w:sz w:val="24"/>
                <w:highlight w:val="none"/>
              </w:rPr>
              <w:t>900-047-49</w:t>
            </w:r>
          </w:p>
        </w:tc>
        <w:tc>
          <w:tcPr>
            <w:tcW w:w="831"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吨</w:t>
            </w:r>
          </w:p>
        </w:tc>
        <w:tc>
          <w:tcPr>
            <w:tcW w:w="1361"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固态</w:t>
            </w:r>
          </w:p>
        </w:tc>
        <w:tc>
          <w:tcPr>
            <w:tcW w:w="1396"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8</w:t>
            </w:r>
          </w:p>
        </w:tc>
        <w:tc>
          <w:tcPr>
            <w:tcW w:w="3255"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纸箱收集，防渗漏吨袋打包；</w:t>
            </w:r>
          </w:p>
        </w:tc>
      </w:tr>
      <w:tr>
        <w:tblPrEx>
          <w:tblCellMar>
            <w:top w:w="0" w:type="dxa"/>
            <w:left w:w="108" w:type="dxa"/>
            <w:bottom w:w="0" w:type="dxa"/>
            <w:right w:w="108" w:type="dxa"/>
          </w:tblCellMar>
        </w:tblPrEx>
        <w:trPr>
          <w:trHeight w:val="570" w:hRule="atLeast"/>
          <w:jc w:val="center"/>
        </w:trPr>
        <w:tc>
          <w:tcPr>
            <w:tcW w:w="1244"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3</w:t>
            </w:r>
          </w:p>
        </w:tc>
        <w:tc>
          <w:tcPr>
            <w:tcW w:w="1912" w:type="dxa"/>
            <w:tcBorders>
              <w:top w:val="nil"/>
              <w:left w:val="nil"/>
              <w:bottom w:val="single" w:color="auto" w:sz="4" w:space="0"/>
              <w:right w:val="single" w:color="auto" w:sz="4" w:space="0"/>
            </w:tcBorders>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固体废弃物</w:t>
            </w:r>
            <w:r>
              <w:rPr>
                <w:rFonts w:hint="eastAsia" w:asciiTheme="majorEastAsia" w:hAnsiTheme="majorEastAsia" w:eastAsiaTheme="majorEastAsia" w:cstheme="majorEastAsia"/>
                <w:color w:val="000000"/>
                <w:kern w:val="0"/>
                <w:sz w:val="24"/>
                <w:highlight w:val="none"/>
              </w:rPr>
              <w:br w:type="textWrapping"/>
            </w:r>
            <w:r>
              <w:rPr>
                <w:rFonts w:hint="eastAsia" w:asciiTheme="majorEastAsia" w:hAnsiTheme="majorEastAsia" w:eastAsiaTheme="majorEastAsia" w:cstheme="majorEastAsia"/>
                <w:color w:val="000000"/>
                <w:kern w:val="0"/>
                <w:sz w:val="24"/>
                <w:highlight w:val="none"/>
              </w:rPr>
              <w:t>900-047-49</w:t>
            </w:r>
          </w:p>
        </w:tc>
        <w:tc>
          <w:tcPr>
            <w:tcW w:w="831"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吨</w:t>
            </w:r>
          </w:p>
        </w:tc>
        <w:tc>
          <w:tcPr>
            <w:tcW w:w="1361"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固态</w:t>
            </w:r>
          </w:p>
        </w:tc>
        <w:tc>
          <w:tcPr>
            <w:tcW w:w="1396"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10</w:t>
            </w:r>
          </w:p>
        </w:tc>
        <w:tc>
          <w:tcPr>
            <w:tcW w:w="3255"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防渗漏小编织袋收集，防渗漏吨袋打包；</w:t>
            </w:r>
          </w:p>
        </w:tc>
      </w:tr>
      <w:tr>
        <w:tblPrEx>
          <w:tblCellMar>
            <w:top w:w="0" w:type="dxa"/>
            <w:left w:w="108" w:type="dxa"/>
            <w:bottom w:w="0" w:type="dxa"/>
            <w:right w:w="108" w:type="dxa"/>
          </w:tblCellMar>
        </w:tblPrEx>
        <w:trPr>
          <w:trHeight w:val="570" w:hRule="atLeast"/>
          <w:jc w:val="center"/>
        </w:trPr>
        <w:tc>
          <w:tcPr>
            <w:tcW w:w="1244"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4</w:t>
            </w:r>
          </w:p>
        </w:tc>
        <w:tc>
          <w:tcPr>
            <w:tcW w:w="1912" w:type="dxa"/>
            <w:tcBorders>
              <w:top w:val="nil"/>
              <w:left w:val="nil"/>
              <w:bottom w:val="single" w:color="auto" w:sz="4" w:space="0"/>
              <w:right w:val="single" w:color="auto" w:sz="4" w:space="0"/>
            </w:tcBorders>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实验室废胶</w:t>
            </w:r>
            <w:r>
              <w:rPr>
                <w:rFonts w:hint="eastAsia" w:asciiTheme="majorEastAsia" w:hAnsiTheme="majorEastAsia" w:eastAsiaTheme="majorEastAsia" w:cstheme="majorEastAsia"/>
                <w:color w:val="000000"/>
                <w:kern w:val="0"/>
                <w:sz w:val="24"/>
                <w:highlight w:val="none"/>
              </w:rPr>
              <w:br w:type="textWrapping"/>
            </w:r>
            <w:r>
              <w:rPr>
                <w:rFonts w:hint="eastAsia" w:asciiTheme="majorEastAsia" w:hAnsiTheme="majorEastAsia" w:eastAsiaTheme="majorEastAsia" w:cstheme="majorEastAsia"/>
                <w:color w:val="000000"/>
                <w:kern w:val="0"/>
                <w:sz w:val="24"/>
                <w:highlight w:val="none"/>
              </w:rPr>
              <w:t>900-047-49</w:t>
            </w:r>
          </w:p>
        </w:tc>
        <w:tc>
          <w:tcPr>
            <w:tcW w:w="831"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吨</w:t>
            </w:r>
          </w:p>
        </w:tc>
        <w:tc>
          <w:tcPr>
            <w:tcW w:w="1361"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半固态</w:t>
            </w:r>
          </w:p>
        </w:tc>
        <w:tc>
          <w:tcPr>
            <w:tcW w:w="1396"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2</w:t>
            </w:r>
          </w:p>
        </w:tc>
        <w:tc>
          <w:tcPr>
            <w:tcW w:w="3255"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25L大口、双盖、有透气孔圆桶收集，不漏液、能密闭气味，木托盘打包；</w:t>
            </w:r>
          </w:p>
        </w:tc>
      </w:tr>
      <w:tr>
        <w:tblPrEx>
          <w:tblCellMar>
            <w:top w:w="0" w:type="dxa"/>
            <w:left w:w="108" w:type="dxa"/>
            <w:bottom w:w="0" w:type="dxa"/>
            <w:right w:w="108" w:type="dxa"/>
          </w:tblCellMar>
        </w:tblPrEx>
        <w:trPr>
          <w:trHeight w:val="570" w:hRule="atLeast"/>
          <w:jc w:val="center"/>
        </w:trPr>
        <w:tc>
          <w:tcPr>
            <w:tcW w:w="1244"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5</w:t>
            </w:r>
          </w:p>
        </w:tc>
        <w:tc>
          <w:tcPr>
            <w:tcW w:w="1912" w:type="dxa"/>
            <w:tcBorders>
              <w:top w:val="nil"/>
              <w:left w:val="nil"/>
              <w:bottom w:val="single" w:color="auto" w:sz="4" w:space="0"/>
              <w:right w:val="single" w:color="auto" w:sz="4" w:space="0"/>
            </w:tcBorders>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实验室废土</w:t>
            </w:r>
            <w:r>
              <w:rPr>
                <w:rFonts w:hint="eastAsia" w:asciiTheme="majorEastAsia" w:hAnsiTheme="majorEastAsia" w:eastAsiaTheme="majorEastAsia" w:cstheme="majorEastAsia"/>
                <w:color w:val="000000"/>
                <w:kern w:val="0"/>
                <w:sz w:val="24"/>
                <w:highlight w:val="none"/>
              </w:rPr>
              <w:br w:type="textWrapping"/>
            </w:r>
            <w:r>
              <w:rPr>
                <w:rFonts w:hint="eastAsia" w:asciiTheme="majorEastAsia" w:hAnsiTheme="majorEastAsia" w:eastAsiaTheme="majorEastAsia" w:cstheme="majorEastAsia"/>
                <w:color w:val="000000"/>
                <w:kern w:val="0"/>
                <w:sz w:val="24"/>
                <w:highlight w:val="none"/>
              </w:rPr>
              <w:t>900-047-49</w:t>
            </w:r>
          </w:p>
        </w:tc>
        <w:tc>
          <w:tcPr>
            <w:tcW w:w="831"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吨</w:t>
            </w:r>
          </w:p>
        </w:tc>
        <w:tc>
          <w:tcPr>
            <w:tcW w:w="1361"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固态</w:t>
            </w:r>
          </w:p>
        </w:tc>
        <w:tc>
          <w:tcPr>
            <w:tcW w:w="1396"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2</w:t>
            </w:r>
          </w:p>
        </w:tc>
        <w:tc>
          <w:tcPr>
            <w:tcW w:w="3255"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防渗漏小编织袋收集，防渗漏吨袋打包；</w:t>
            </w:r>
          </w:p>
        </w:tc>
      </w:tr>
      <w:tr>
        <w:tblPrEx>
          <w:tblCellMar>
            <w:top w:w="0" w:type="dxa"/>
            <w:left w:w="108" w:type="dxa"/>
            <w:bottom w:w="0" w:type="dxa"/>
            <w:right w:w="108" w:type="dxa"/>
          </w:tblCellMar>
        </w:tblPrEx>
        <w:trPr>
          <w:trHeight w:val="570" w:hRule="atLeast"/>
          <w:jc w:val="center"/>
        </w:trPr>
        <w:tc>
          <w:tcPr>
            <w:tcW w:w="1244"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6</w:t>
            </w:r>
          </w:p>
        </w:tc>
        <w:tc>
          <w:tcPr>
            <w:tcW w:w="1912" w:type="dxa"/>
            <w:tcBorders>
              <w:top w:val="nil"/>
              <w:left w:val="nil"/>
              <w:bottom w:val="single" w:color="auto" w:sz="4" w:space="0"/>
              <w:right w:val="single" w:color="auto" w:sz="4" w:space="0"/>
            </w:tcBorders>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实验室活性炭</w:t>
            </w:r>
            <w:r>
              <w:rPr>
                <w:rFonts w:hint="eastAsia" w:asciiTheme="majorEastAsia" w:hAnsiTheme="majorEastAsia" w:eastAsiaTheme="majorEastAsia" w:cstheme="majorEastAsia"/>
                <w:color w:val="000000"/>
                <w:kern w:val="0"/>
                <w:sz w:val="24"/>
                <w:highlight w:val="none"/>
              </w:rPr>
              <w:br w:type="textWrapping"/>
            </w:r>
            <w:r>
              <w:rPr>
                <w:rFonts w:hint="eastAsia" w:asciiTheme="majorEastAsia" w:hAnsiTheme="majorEastAsia" w:eastAsiaTheme="majorEastAsia" w:cstheme="majorEastAsia"/>
                <w:color w:val="000000"/>
                <w:kern w:val="0"/>
                <w:sz w:val="24"/>
                <w:highlight w:val="none"/>
              </w:rPr>
              <w:t>900-039-49</w:t>
            </w:r>
          </w:p>
        </w:tc>
        <w:tc>
          <w:tcPr>
            <w:tcW w:w="831"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吨</w:t>
            </w:r>
          </w:p>
        </w:tc>
        <w:tc>
          <w:tcPr>
            <w:tcW w:w="1361"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固态</w:t>
            </w:r>
          </w:p>
        </w:tc>
        <w:tc>
          <w:tcPr>
            <w:tcW w:w="1396"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2</w:t>
            </w:r>
          </w:p>
        </w:tc>
        <w:tc>
          <w:tcPr>
            <w:tcW w:w="3255" w:type="dxa"/>
            <w:tcBorders>
              <w:top w:val="nil"/>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防渗漏小编织袋收集，防渗漏吨袋打包；</w:t>
            </w:r>
          </w:p>
        </w:tc>
      </w:tr>
      <w:tr>
        <w:tblPrEx>
          <w:tblCellMar>
            <w:top w:w="0" w:type="dxa"/>
            <w:left w:w="108" w:type="dxa"/>
            <w:bottom w:w="0" w:type="dxa"/>
            <w:right w:w="108" w:type="dxa"/>
          </w:tblCellMar>
        </w:tblPrEx>
        <w:trPr>
          <w:trHeight w:val="269" w:hRule="atLeast"/>
          <w:jc w:val="center"/>
        </w:trPr>
        <w:tc>
          <w:tcPr>
            <w:tcW w:w="1244" w:type="dxa"/>
            <w:tcBorders>
              <w:top w:val="single" w:color="auto" w:sz="4" w:space="0"/>
              <w:left w:val="single" w:color="auto" w:sz="4" w:space="0"/>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7</w:t>
            </w:r>
          </w:p>
        </w:tc>
        <w:tc>
          <w:tcPr>
            <w:tcW w:w="191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过期试剂(不含剧毒类、含汞类、爆炸类、民爆类)900-999-49</w:t>
            </w:r>
          </w:p>
        </w:tc>
        <w:tc>
          <w:tcPr>
            <w:tcW w:w="831" w:type="dxa"/>
            <w:tcBorders>
              <w:top w:val="single" w:color="auto" w:sz="4" w:space="0"/>
              <w:left w:val="single" w:color="auto" w:sz="4" w:space="0"/>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吨</w:t>
            </w:r>
          </w:p>
        </w:tc>
        <w:tc>
          <w:tcPr>
            <w:tcW w:w="1361" w:type="dxa"/>
            <w:tcBorders>
              <w:top w:val="single" w:color="auto" w:sz="4" w:space="0"/>
              <w:left w:val="single" w:color="auto" w:sz="4" w:space="0"/>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p>
        </w:tc>
        <w:tc>
          <w:tcPr>
            <w:tcW w:w="1396" w:type="dxa"/>
            <w:tcBorders>
              <w:top w:val="single" w:color="auto" w:sz="4" w:space="0"/>
              <w:left w:val="single" w:color="auto" w:sz="4" w:space="0"/>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2</w:t>
            </w:r>
          </w:p>
        </w:tc>
        <w:tc>
          <w:tcPr>
            <w:tcW w:w="3255" w:type="dxa"/>
            <w:tcBorders>
              <w:top w:val="single" w:color="auto" w:sz="4" w:space="0"/>
              <w:left w:val="single" w:color="auto" w:sz="4" w:space="0"/>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专用收集箱收集，防渗漏吨袋打包；</w:t>
            </w:r>
          </w:p>
        </w:tc>
      </w:tr>
      <w:tr>
        <w:tblPrEx>
          <w:tblCellMar>
            <w:top w:w="0" w:type="dxa"/>
            <w:left w:w="108" w:type="dxa"/>
            <w:bottom w:w="0" w:type="dxa"/>
            <w:right w:w="108" w:type="dxa"/>
          </w:tblCellMar>
        </w:tblPrEx>
        <w:trPr>
          <w:trHeight w:val="900" w:hRule="atLeast"/>
          <w:jc w:val="center"/>
        </w:trPr>
        <w:tc>
          <w:tcPr>
            <w:tcW w:w="1244" w:type="dxa"/>
            <w:tcBorders>
              <w:top w:val="single" w:color="auto" w:sz="4" w:space="0"/>
              <w:left w:val="single" w:color="auto" w:sz="4" w:space="0"/>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8</w:t>
            </w:r>
          </w:p>
        </w:tc>
        <w:tc>
          <w:tcPr>
            <w:tcW w:w="1912"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含汞类过期试剂900-999-49</w:t>
            </w:r>
          </w:p>
        </w:tc>
        <w:tc>
          <w:tcPr>
            <w:tcW w:w="831" w:type="dxa"/>
            <w:tcBorders>
              <w:top w:val="single" w:color="auto" w:sz="4" w:space="0"/>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公斤</w:t>
            </w:r>
          </w:p>
        </w:tc>
        <w:tc>
          <w:tcPr>
            <w:tcW w:w="1361" w:type="dxa"/>
            <w:tcBorders>
              <w:top w:val="single" w:color="auto" w:sz="4" w:space="0"/>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p>
        </w:tc>
        <w:tc>
          <w:tcPr>
            <w:tcW w:w="1396" w:type="dxa"/>
            <w:tcBorders>
              <w:top w:val="single" w:color="auto" w:sz="4" w:space="0"/>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5</w:t>
            </w:r>
          </w:p>
        </w:tc>
        <w:tc>
          <w:tcPr>
            <w:tcW w:w="3255" w:type="dxa"/>
            <w:tcBorders>
              <w:top w:val="single" w:color="auto" w:sz="4" w:space="0"/>
              <w:left w:val="nil"/>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4"/>
                <w:highlight w:val="none"/>
              </w:rPr>
            </w:pPr>
            <w:r>
              <w:rPr>
                <w:rFonts w:hint="eastAsia" w:asciiTheme="majorEastAsia" w:hAnsiTheme="majorEastAsia" w:eastAsiaTheme="majorEastAsia" w:cstheme="majorEastAsia"/>
                <w:color w:val="000000"/>
                <w:kern w:val="0"/>
                <w:sz w:val="24"/>
                <w:highlight w:val="none"/>
              </w:rPr>
              <w:t>专用收集箱收集，防渗漏吨袋打包；</w:t>
            </w:r>
          </w:p>
        </w:tc>
      </w:tr>
    </w:tbl>
    <w:p>
      <w:pPr>
        <w:rPr>
          <w:sz w:val="24"/>
          <w:szCs w:val="32"/>
          <w:highlight w:val="none"/>
        </w:rPr>
      </w:pPr>
    </w:p>
    <w:p>
      <w:pPr>
        <w:rPr>
          <w:sz w:val="28"/>
          <w:szCs w:val="28"/>
          <w:highlight w:val="none"/>
        </w:rPr>
      </w:pPr>
      <w:r>
        <w:rPr>
          <w:rFonts w:hint="eastAsia"/>
          <w:b/>
          <w:sz w:val="28"/>
          <w:szCs w:val="28"/>
          <w:highlight w:val="none"/>
        </w:rPr>
        <w:t>（二）实验室废弃物收集、储存、处置全过程规范化管理要求：</w:t>
      </w:r>
    </w:p>
    <w:p>
      <w:pPr>
        <w:ind w:firstLine="480" w:firstLineChars="200"/>
        <w:rPr>
          <w:sz w:val="24"/>
          <w:szCs w:val="32"/>
          <w:highlight w:val="none"/>
        </w:rPr>
      </w:pPr>
    </w:p>
    <w:tbl>
      <w:tblPr>
        <w:tblStyle w:val="14"/>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2035"/>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50" w:type="dxa"/>
            <w:noWrap/>
            <w:vAlign w:val="center"/>
          </w:tcPr>
          <w:p>
            <w:pPr>
              <w:spacing w:line="500" w:lineRule="exact"/>
              <w:jc w:val="center"/>
              <w:rPr>
                <w:sz w:val="24"/>
                <w:highlight w:val="none"/>
              </w:rPr>
            </w:pPr>
            <w:r>
              <w:rPr>
                <w:rFonts w:hint="eastAsia"/>
                <w:b/>
                <w:sz w:val="24"/>
                <w:highlight w:val="none"/>
              </w:rPr>
              <w:t>项目</w:t>
            </w:r>
          </w:p>
        </w:tc>
        <w:tc>
          <w:tcPr>
            <w:tcW w:w="8635" w:type="dxa"/>
            <w:gridSpan w:val="2"/>
            <w:noWrap/>
            <w:vAlign w:val="center"/>
          </w:tcPr>
          <w:p>
            <w:pPr>
              <w:spacing w:line="500" w:lineRule="exact"/>
              <w:jc w:val="center"/>
              <w:rPr>
                <w:sz w:val="24"/>
                <w:highlight w:val="none"/>
              </w:rPr>
            </w:pPr>
            <w:r>
              <w:rPr>
                <w:rFonts w:hint="eastAsia"/>
                <w:b/>
                <w:sz w:val="24"/>
                <w:highlight w:val="none"/>
              </w:rPr>
              <w:t>规范化管理要求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450" w:type="dxa"/>
            <w:vMerge w:val="restart"/>
            <w:noWrap/>
            <w:vAlign w:val="center"/>
          </w:tcPr>
          <w:p>
            <w:pPr>
              <w:spacing w:line="500" w:lineRule="exact"/>
              <w:rPr>
                <w:sz w:val="24"/>
                <w:highlight w:val="none"/>
              </w:rPr>
            </w:pPr>
            <w:r>
              <w:rPr>
                <w:rFonts w:hint="eastAsia"/>
                <w:sz w:val="24"/>
                <w:highlight w:val="none"/>
              </w:rPr>
              <w:t>1、服务环节</w:t>
            </w:r>
          </w:p>
        </w:tc>
        <w:tc>
          <w:tcPr>
            <w:tcW w:w="8635" w:type="dxa"/>
            <w:gridSpan w:val="2"/>
            <w:noWrap/>
            <w:vAlign w:val="center"/>
          </w:tcPr>
          <w:p>
            <w:pPr>
              <w:spacing w:line="500" w:lineRule="exact"/>
              <w:rPr>
                <w:sz w:val="24"/>
                <w:highlight w:val="none"/>
              </w:rPr>
            </w:pPr>
            <w:r>
              <w:rPr>
                <w:rFonts w:hint="eastAsia"/>
                <w:sz w:val="24"/>
                <w:highlight w:val="none"/>
              </w:rPr>
              <w:t>1.1服务方提供上门回收危废、废弃物取样检测、打包装车、运输、处置等全过程服务。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450" w:type="dxa"/>
            <w:vMerge w:val="continue"/>
            <w:noWrap/>
            <w:vAlign w:val="center"/>
          </w:tcPr>
          <w:p>
            <w:pPr>
              <w:spacing w:line="500" w:lineRule="exact"/>
              <w:rPr>
                <w:sz w:val="24"/>
                <w:highlight w:val="none"/>
              </w:rPr>
            </w:pPr>
          </w:p>
        </w:tc>
        <w:tc>
          <w:tcPr>
            <w:tcW w:w="8635" w:type="dxa"/>
            <w:gridSpan w:val="2"/>
            <w:noWrap/>
            <w:vAlign w:val="center"/>
          </w:tcPr>
          <w:p>
            <w:pPr>
              <w:spacing w:line="500" w:lineRule="exact"/>
              <w:rPr>
                <w:sz w:val="24"/>
                <w:highlight w:val="none"/>
              </w:rPr>
            </w:pPr>
            <w:r>
              <w:rPr>
                <w:rFonts w:hint="eastAsia"/>
                <w:sz w:val="24"/>
                <w:highlight w:val="none"/>
              </w:rPr>
              <w:t>1.2制定详细的规范化服务、管理以及环保教育培训方案，严格遵守学校管理,严格执行安监、环保等部门有关规定；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50" w:type="dxa"/>
            <w:vMerge w:val="continue"/>
            <w:noWrap/>
            <w:vAlign w:val="center"/>
          </w:tcPr>
          <w:p>
            <w:pPr>
              <w:spacing w:line="500" w:lineRule="exact"/>
              <w:rPr>
                <w:sz w:val="24"/>
                <w:highlight w:val="none"/>
              </w:rPr>
            </w:pPr>
          </w:p>
        </w:tc>
        <w:tc>
          <w:tcPr>
            <w:tcW w:w="8635" w:type="dxa"/>
            <w:gridSpan w:val="2"/>
            <w:noWrap/>
            <w:vAlign w:val="center"/>
          </w:tcPr>
          <w:p>
            <w:pPr>
              <w:spacing w:line="500" w:lineRule="exact"/>
              <w:rPr>
                <w:sz w:val="24"/>
                <w:highlight w:val="none"/>
              </w:rPr>
            </w:pPr>
            <w:r>
              <w:rPr>
                <w:rFonts w:hint="eastAsia"/>
                <w:sz w:val="24"/>
                <w:highlight w:val="none"/>
              </w:rPr>
              <w:t>1.3制定应对服务过程中可能产生的各类突发事件的应急预案；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450" w:type="dxa"/>
            <w:vMerge w:val="continue"/>
            <w:noWrap/>
            <w:vAlign w:val="center"/>
          </w:tcPr>
          <w:p>
            <w:pPr>
              <w:spacing w:line="500" w:lineRule="exact"/>
              <w:rPr>
                <w:sz w:val="24"/>
                <w:highlight w:val="none"/>
              </w:rPr>
            </w:pPr>
          </w:p>
        </w:tc>
        <w:tc>
          <w:tcPr>
            <w:tcW w:w="8635" w:type="dxa"/>
            <w:gridSpan w:val="2"/>
            <w:noWrap/>
            <w:vAlign w:val="center"/>
          </w:tcPr>
          <w:p>
            <w:pPr>
              <w:spacing w:line="500" w:lineRule="exact"/>
              <w:rPr>
                <w:sz w:val="24"/>
                <w:highlight w:val="none"/>
              </w:rPr>
            </w:pPr>
            <w:r>
              <w:rPr>
                <w:rFonts w:hint="eastAsia"/>
                <w:sz w:val="24"/>
                <w:highlight w:val="none"/>
              </w:rPr>
              <w:t>1.4服务方在服务过程中必须严格执行《中华人民共和国固体废物污染环境防治法》、《危险废物焚烧污染控制标准》等相关</w:t>
            </w:r>
            <w:r>
              <w:rPr>
                <w:rFonts w:hint="eastAsia" w:ascii="宋体" w:hAnsi="宋体" w:cs="宋体"/>
                <w:sz w:val="24"/>
                <w:highlight w:val="none"/>
              </w:rPr>
              <w:t>安全和</w:t>
            </w:r>
            <w:r>
              <w:rPr>
                <w:rFonts w:hint="eastAsia"/>
                <w:sz w:val="24"/>
                <w:highlight w:val="none"/>
              </w:rPr>
              <w:t>环保法律、法规。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450" w:type="dxa"/>
            <w:vMerge w:val="continue"/>
            <w:noWrap/>
            <w:vAlign w:val="center"/>
          </w:tcPr>
          <w:p>
            <w:pPr>
              <w:spacing w:line="500" w:lineRule="exact"/>
              <w:rPr>
                <w:sz w:val="24"/>
                <w:highlight w:val="none"/>
              </w:rPr>
            </w:pPr>
          </w:p>
        </w:tc>
        <w:tc>
          <w:tcPr>
            <w:tcW w:w="8635" w:type="dxa"/>
            <w:gridSpan w:val="2"/>
            <w:noWrap/>
            <w:vAlign w:val="center"/>
          </w:tcPr>
          <w:p>
            <w:pPr>
              <w:snapToGrid w:val="0"/>
              <w:spacing w:line="500" w:lineRule="exact"/>
              <w:ind w:left="-17" w:leftChars="-8"/>
              <w:rPr>
                <w:sz w:val="24"/>
                <w:highlight w:val="none"/>
              </w:rPr>
            </w:pPr>
            <w:r>
              <w:rPr>
                <w:rFonts w:hint="eastAsia"/>
                <w:sz w:val="24"/>
                <w:highlight w:val="none"/>
              </w:rPr>
              <w:t>★</w:t>
            </w:r>
            <w:r>
              <w:rPr>
                <w:rFonts w:hint="eastAsia" w:ascii="宋体" w:hAnsi="宋体" w:cs="宋体"/>
                <w:sz w:val="24"/>
                <w:highlight w:val="none"/>
              </w:rPr>
              <w:t>1.5</w:t>
            </w:r>
            <w:r>
              <w:rPr>
                <w:rFonts w:hint="eastAsia"/>
                <w:sz w:val="24"/>
                <w:highlight w:val="none"/>
              </w:rPr>
              <w:t>服务方</w:t>
            </w:r>
            <w:r>
              <w:rPr>
                <w:rFonts w:hint="eastAsia" w:ascii="宋体" w:hAnsi="宋体" w:cs="宋体"/>
                <w:sz w:val="24"/>
                <w:highlight w:val="none"/>
              </w:rPr>
              <w:t>在</w:t>
            </w:r>
            <w:r>
              <w:rPr>
                <w:rFonts w:hint="eastAsia"/>
                <w:sz w:val="24"/>
                <w:highlight w:val="none"/>
              </w:rPr>
              <w:t>服务过程中</w:t>
            </w:r>
            <w:r>
              <w:rPr>
                <w:rFonts w:hint="eastAsia" w:ascii="宋体" w:hAnsi="宋体" w:cs="宋体"/>
                <w:sz w:val="24"/>
                <w:highlight w:val="none"/>
              </w:rPr>
              <w:t>需保障作业场地清洁符合环境、卫生管理的有关规定，做到工完料尽场地清。服务全过程中不得产生二次污染，不得产生安全、环保等问题。如因服务方过错引起安全、环保等事故，或被政府相关部门处罚等情况，由</w:t>
            </w:r>
            <w:r>
              <w:rPr>
                <w:rFonts w:hint="eastAsia"/>
                <w:sz w:val="24"/>
                <w:highlight w:val="none"/>
              </w:rPr>
              <w:t>中标单位</w:t>
            </w:r>
            <w:r>
              <w:rPr>
                <w:rFonts w:hint="eastAsia" w:ascii="宋体" w:hAnsi="宋体" w:cs="宋体"/>
                <w:sz w:val="24"/>
                <w:highlight w:val="none"/>
              </w:rPr>
              <w:t>承担全部责任。服务方在作业过程中发生安全事故造成服务方人员或因服务方原因造成采购方或第三方人员伤亡，由</w:t>
            </w:r>
            <w:r>
              <w:rPr>
                <w:rFonts w:hint="eastAsia"/>
                <w:sz w:val="24"/>
                <w:highlight w:val="none"/>
              </w:rPr>
              <w:t>中标单位</w:t>
            </w:r>
            <w:r>
              <w:rPr>
                <w:rFonts w:hint="eastAsia" w:ascii="宋体" w:hAnsi="宋体" w:cs="宋体"/>
                <w:sz w:val="24"/>
                <w:highlight w:val="none"/>
              </w:rPr>
              <w:t>承担全部责任。</w:t>
            </w:r>
            <w:r>
              <w:rPr>
                <w:rFonts w:hint="eastAsia"/>
                <w:sz w:val="24"/>
                <w:highlight w:val="none"/>
              </w:rPr>
              <w:t>服务方</w:t>
            </w:r>
            <w:r>
              <w:rPr>
                <w:rFonts w:hint="eastAsia" w:ascii="宋体" w:hAnsi="宋体" w:cs="宋体"/>
                <w:sz w:val="24"/>
                <w:highlight w:val="none"/>
              </w:rPr>
              <w:t>作业往返人员及车辆注意交通安全，任何事故由</w:t>
            </w:r>
            <w:r>
              <w:rPr>
                <w:rFonts w:hint="eastAsia"/>
                <w:sz w:val="24"/>
                <w:highlight w:val="none"/>
              </w:rPr>
              <w:t>中标单位</w:t>
            </w:r>
            <w:r>
              <w:rPr>
                <w:rFonts w:hint="eastAsia" w:ascii="宋体" w:hAnsi="宋体" w:cs="宋体"/>
                <w:sz w:val="24"/>
                <w:highlight w:val="none"/>
              </w:rPr>
              <w:t>承担。</w:t>
            </w:r>
            <w:r>
              <w:rPr>
                <w:rFonts w:hint="eastAsia" w:ascii="宋体" w:hAnsi="宋体" w:cs="宋体"/>
                <w:b/>
                <w:bCs/>
                <w:sz w:val="24"/>
                <w:highlight w:val="none"/>
              </w:rPr>
              <w:t>（提供加盖公章的承诺书）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50" w:type="dxa"/>
            <w:vMerge w:val="restart"/>
            <w:noWrap/>
            <w:vAlign w:val="center"/>
          </w:tcPr>
          <w:p>
            <w:pPr>
              <w:spacing w:line="500" w:lineRule="exact"/>
              <w:jc w:val="center"/>
              <w:rPr>
                <w:sz w:val="24"/>
                <w:highlight w:val="none"/>
              </w:rPr>
            </w:pPr>
            <w:r>
              <w:rPr>
                <w:sz w:val="24"/>
                <w:highlight w:val="none"/>
              </w:rPr>
              <w:t>2</w:t>
            </w:r>
            <w:r>
              <w:rPr>
                <w:rFonts w:hint="eastAsia"/>
                <w:sz w:val="24"/>
                <w:highlight w:val="none"/>
              </w:rPr>
              <w:t>、收集服务</w:t>
            </w:r>
          </w:p>
        </w:tc>
        <w:tc>
          <w:tcPr>
            <w:tcW w:w="2035" w:type="dxa"/>
            <w:vAlign w:val="center"/>
          </w:tcPr>
          <w:p>
            <w:pPr>
              <w:spacing w:line="500" w:lineRule="exact"/>
              <w:rPr>
                <w:sz w:val="24"/>
                <w:highlight w:val="none"/>
              </w:rPr>
            </w:pPr>
            <w:r>
              <w:rPr>
                <w:rFonts w:hint="eastAsia"/>
                <w:sz w:val="24"/>
                <w:highlight w:val="none"/>
              </w:rPr>
              <w:t>2.1服务范围</w:t>
            </w:r>
          </w:p>
        </w:tc>
        <w:tc>
          <w:tcPr>
            <w:tcW w:w="6600" w:type="dxa"/>
            <w:vAlign w:val="center"/>
          </w:tcPr>
          <w:p>
            <w:pPr>
              <w:spacing w:line="500" w:lineRule="exact"/>
              <w:rPr>
                <w:sz w:val="24"/>
                <w:highlight w:val="none"/>
              </w:rPr>
            </w:pPr>
            <w:r>
              <w:rPr>
                <w:rFonts w:hint="eastAsia"/>
                <w:sz w:val="24"/>
                <w:highlight w:val="none"/>
              </w:rPr>
              <w:t>全校教学科研实验室及校区内外各其他产生实验室废弃物场所。对危险废物（进行安全检查、分类整理、打包装箱、现场称重、张贴标签、登记台账、网上申报等操作；每次收集转运服务应由不少于两人执行，并配备充足的防护设备和应急器材，以保证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50" w:type="dxa"/>
            <w:vMerge w:val="continue"/>
            <w:vAlign w:val="center"/>
          </w:tcPr>
          <w:p>
            <w:pPr>
              <w:spacing w:line="500" w:lineRule="exact"/>
              <w:jc w:val="center"/>
              <w:rPr>
                <w:sz w:val="24"/>
                <w:highlight w:val="none"/>
              </w:rPr>
            </w:pPr>
          </w:p>
        </w:tc>
        <w:tc>
          <w:tcPr>
            <w:tcW w:w="2035" w:type="dxa"/>
            <w:vAlign w:val="center"/>
          </w:tcPr>
          <w:p>
            <w:pPr>
              <w:spacing w:line="500" w:lineRule="exact"/>
              <w:rPr>
                <w:sz w:val="24"/>
                <w:highlight w:val="none"/>
              </w:rPr>
            </w:pPr>
            <w:r>
              <w:rPr>
                <w:rFonts w:hint="eastAsia"/>
                <w:sz w:val="24"/>
                <w:highlight w:val="none"/>
              </w:rPr>
              <w:t>2</w:t>
            </w:r>
            <w:r>
              <w:rPr>
                <w:sz w:val="24"/>
                <w:highlight w:val="none"/>
              </w:rPr>
              <w:t>.2</w:t>
            </w:r>
            <w:r>
              <w:rPr>
                <w:rFonts w:hint="eastAsia"/>
                <w:sz w:val="24"/>
                <w:highlight w:val="none"/>
              </w:rPr>
              <w:t>收集方式</w:t>
            </w:r>
          </w:p>
        </w:tc>
        <w:tc>
          <w:tcPr>
            <w:tcW w:w="6600" w:type="dxa"/>
            <w:vAlign w:val="center"/>
          </w:tcPr>
          <w:p>
            <w:pPr>
              <w:spacing w:line="500" w:lineRule="exact"/>
              <w:rPr>
                <w:sz w:val="24"/>
                <w:highlight w:val="none"/>
              </w:rPr>
            </w:pPr>
            <w:r>
              <w:rPr>
                <w:rFonts w:hint="eastAsia" w:ascii="宋体" w:hAnsi="宋体"/>
                <w:bCs/>
                <w:sz w:val="24"/>
                <w:highlight w:val="none"/>
              </w:rPr>
              <w:t>▲</w:t>
            </w:r>
            <w:r>
              <w:rPr>
                <w:rFonts w:hint="eastAsia"/>
                <w:sz w:val="24"/>
                <w:highlight w:val="none"/>
              </w:rPr>
              <w:t>服务方提供信息化智能服务管理平台，满足各实验室根据需求以线上预约形式通知服务方上门收集危废，服务方收到预约后应在规定时间内上门完成收集服务并转运至学校危废库房，确保所有危废安全入库可溯源。由服务方提供的相关系统或公众号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50" w:type="dxa"/>
            <w:vMerge w:val="continue"/>
            <w:vAlign w:val="center"/>
          </w:tcPr>
          <w:p>
            <w:pPr>
              <w:spacing w:line="500" w:lineRule="exact"/>
              <w:jc w:val="center"/>
              <w:rPr>
                <w:sz w:val="24"/>
                <w:highlight w:val="none"/>
              </w:rPr>
            </w:pPr>
          </w:p>
        </w:tc>
        <w:tc>
          <w:tcPr>
            <w:tcW w:w="2035" w:type="dxa"/>
            <w:vAlign w:val="center"/>
          </w:tcPr>
          <w:p>
            <w:pPr>
              <w:spacing w:line="500" w:lineRule="exact"/>
              <w:rPr>
                <w:sz w:val="24"/>
                <w:highlight w:val="none"/>
              </w:rPr>
            </w:pPr>
            <w:r>
              <w:rPr>
                <w:sz w:val="24"/>
                <w:highlight w:val="none"/>
              </w:rPr>
              <w:t>2.3</w:t>
            </w:r>
            <w:r>
              <w:rPr>
                <w:rFonts w:hint="eastAsia"/>
                <w:sz w:val="24"/>
                <w:highlight w:val="none"/>
              </w:rPr>
              <w:t>收集服务时间约定</w:t>
            </w:r>
          </w:p>
        </w:tc>
        <w:tc>
          <w:tcPr>
            <w:tcW w:w="6600" w:type="dxa"/>
            <w:vAlign w:val="center"/>
          </w:tcPr>
          <w:p>
            <w:pPr>
              <w:spacing w:line="500" w:lineRule="exact"/>
              <w:rPr>
                <w:sz w:val="24"/>
                <w:highlight w:val="none"/>
              </w:rPr>
            </w:pPr>
            <w:r>
              <w:rPr>
                <w:rFonts w:hint="eastAsia"/>
                <w:sz w:val="24"/>
                <w:highlight w:val="none"/>
              </w:rPr>
              <w:t>a、收集服务时间：工作日9:00-17:00（含寒暑假）；</w:t>
            </w:r>
          </w:p>
          <w:p>
            <w:pPr>
              <w:spacing w:line="500" w:lineRule="exact"/>
              <w:rPr>
                <w:rFonts w:ascii="宋体" w:hAnsi="宋体" w:cs="宋体"/>
                <w:b/>
                <w:bCs/>
                <w:sz w:val="24"/>
                <w:highlight w:val="none"/>
              </w:rPr>
            </w:pPr>
            <w:r>
              <w:rPr>
                <w:rFonts w:hint="eastAsia"/>
                <w:sz w:val="24"/>
                <w:highlight w:val="none"/>
              </w:rPr>
              <w:t>★b、服务响应时间：收到订单后</w:t>
            </w:r>
            <w:r>
              <w:rPr>
                <w:sz w:val="24"/>
                <w:highlight w:val="none"/>
              </w:rPr>
              <w:t>24</w:t>
            </w:r>
            <w:r>
              <w:rPr>
                <w:rFonts w:hint="eastAsia"/>
                <w:sz w:val="24"/>
                <w:highlight w:val="none"/>
              </w:rPr>
              <w:t>小时内安排人员完成上门收集</w:t>
            </w:r>
            <w:r>
              <w:rPr>
                <w:rFonts w:hint="eastAsia" w:ascii="宋体" w:hAnsi="宋体" w:cs="宋体"/>
                <w:b/>
                <w:bCs/>
                <w:sz w:val="24"/>
                <w:highlight w:val="none"/>
              </w:rPr>
              <w:t>（提供加盖公章的承诺书）</w:t>
            </w:r>
          </w:p>
          <w:p>
            <w:pPr>
              <w:spacing w:line="500" w:lineRule="exact"/>
              <w:rPr>
                <w:sz w:val="24"/>
                <w:highlight w:val="none"/>
              </w:rPr>
            </w:pPr>
            <w:r>
              <w:rPr>
                <w:rFonts w:hint="eastAsia" w:ascii="宋体" w:hAnsi="宋体"/>
                <w:bCs/>
                <w:sz w:val="24"/>
                <w:highlight w:val="none"/>
              </w:rPr>
              <w:t>▲</w:t>
            </w:r>
            <w:r>
              <w:rPr>
                <w:rFonts w:hint="eastAsia"/>
                <w:sz w:val="24"/>
                <w:highlight w:val="none"/>
              </w:rPr>
              <w:t>c、服务频次：根据实际预约订单情况，不少于每月2次，前期可根据校方要求，增加收集频次；</w:t>
            </w:r>
          </w:p>
          <w:p>
            <w:pPr>
              <w:spacing w:line="500" w:lineRule="exact"/>
              <w:rPr>
                <w:sz w:val="24"/>
                <w:highlight w:val="none"/>
              </w:rPr>
            </w:pPr>
            <w:r>
              <w:rPr>
                <w:rFonts w:hint="eastAsia"/>
                <w:sz w:val="24"/>
                <w:highlight w:val="none"/>
              </w:rPr>
              <w:t>d、在学校有突击任务时无条件临时抽调人员完成，并保证随叫随到。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50" w:type="dxa"/>
            <w:vMerge w:val="continue"/>
            <w:vAlign w:val="center"/>
          </w:tcPr>
          <w:p>
            <w:pPr>
              <w:spacing w:line="500" w:lineRule="exact"/>
              <w:jc w:val="center"/>
              <w:rPr>
                <w:sz w:val="24"/>
                <w:highlight w:val="none"/>
              </w:rPr>
            </w:pPr>
          </w:p>
        </w:tc>
        <w:tc>
          <w:tcPr>
            <w:tcW w:w="2035" w:type="dxa"/>
            <w:vAlign w:val="center"/>
          </w:tcPr>
          <w:p>
            <w:pPr>
              <w:spacing w:line="500" w:lineRule="exact"/>
              <w:rPr>
                <w:sz w:val="24"/>
                <w:highlight w:val="none"/>
              </w:rPr>
            </w:pPr>
            <w:r>
              <w:rPr>
                <w:rFonts w:hint="eastAsia"/>
                <w:sz w:val="24"/>
                <w:highlight w:val="none"/>
              </w:rPr>
              <w:t>2</w:t>
            </w:r>
            <w:r>
              <w:rPr>
                <w:sz w:val="24"/>
                <w:highlight w:val="none"/>
              </w:rPr>
              <w:t>.4</w:t>
            </w:r>
            <w:r>
              <w:rPr>
                <w:rFonts w:hint="eastAsia"/>
                <w:sz w:val="24"/>
                <w:highlight w:val="none"/>
              </w:rPr>
              <w:t>校内转运要求</w:t>
            </w:r>
          </w:p>
        </w:tc>
        <w:tc>
          <w:tcPr>
            <w:tcW w:w="6600" w:type="dxa"/>
            <w:vAlign w:val="center"/>
          </w:tcPr>
          <w:p>
            <w:pPr>
              <w:spacing w:line="500" w:lineRule="exact"/>
              <w:rPr>
                <w:sz w:val="24"/>
                <w:highlight w:val="none"/>
              </w:rPr>
            </w:pPr>
            <w:r>
              <w:rPr>
                <w:rFonts w:hint="eastAsia"/>
                <w:sz w:val="24"/>
                <w:highlight w:val="none"/>
              </w:rPr>
              <w:t>各楼层实验室至一楼使用静音、橡胶车轮推车转运，楼宇至实验室废弃物暂存库使用箱式货车转运；车速不得大于10km/h；同时负责收集现场及运输过程中环境清洁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450" w:type="dxa"/>
            <w:vMerge w:val="continue"/>
            <w:vAlign w:val="center"/>
          </w:tcPr>
          <w:p>
            <w:pPr>
              <w:spacing w:line="500" w:lineRule="exact"/>
              <w:jc w:val="center"/>
              <w:rPr>
                <w:sz w:val="24"/>
                <w:highlight w:val="none"/>
              </w:rPr>
            </w:pPr>
          </w:p>
        </w:tc>
        <w:tc>
          <w:tcPr>
            <w:tcW w:w="2035" w:type="dxa"/>
            <w:vAlign w:val="center"/>
          </w:tcPr>
          <w:p>
            <w:pPr>
              <w:spacing w:line="500" w:lineRule="exact"/>
              <w:rPr>
                <w:sz w:val="24"/>
                <w:highlight w:val="none"/>
              </w:rPr>
            </w:pPr>
            <w:r>
              <w:rPr>
                <w:rFonts w:hint="eastAsia"/>
                <w:sz w:val="24"/>
                <w:highlight w:val="none"/>
              </w:rPr>
              <w:t>2</w:t>
            </w:r>
            <w:r>
              <w:rPr>
                <w:sz w:val="24"/>
                <w:highlight w:val="none"/>
              </w:rPr>
              <w:t>.5</w:t>
            </w:r>
            <w:r>
              <w:rPr>
                <w:rFonts w:hint="eastAsia"/>
                <w:sz w:val="24"/>
                <w:highlight w:val="none"/>
              </w:rPr>
              <w:t>收集步骤和职责</w:t>
            </w:r>
          </w:p>
        </w:tc>
        <w:tc>
          <w:tcPr>
            <w:tcW w:w="6600" w:type="dxa"/>
            <w:vAlign w:val="center"/>
          </w:tcPr>
          <w:p>
            <w:pPr>
              <w:spacing w:line="500" w:lineRule="exact"/>
              <w:rPr>
                <w:sz w:val="24"/>
                <w:highlight w:val="none"/>
              </w:rPr>
            </w:pPr>
            <w:r>
              <w:rPr>
                <w:rFonts w:hint="eastAsia" w:ascii="宋体" w:hAnsi="宋体"/>
                <w:bCs/>
                <w:sz w:val="24"/>
                <w:highlight w:val="none"/>
              </w:rPr>
              <w:t>▲</w:t>
            </w:r>
            <w:r>
              <w:rPr>
                <w:rFonts w:hint="eastAsia"/>
                <w:sz w:val="24"/>
                <w:highlight w:val="none"/>
              </w:rPr>
              <w:t>现场对实验室内危险废弃物进行分类检查，检查完毕称重，请实验室确认种类、重量，收集后同步补充实验室内所需的废液桶、包装容器、包装袋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1450" w:type="dxa"/>
            <w:vMerge w:val="continue"/>
            <w:vAlign w:val="center"/>
          </w:tcPr>
          <w:p>
            <w:pPr>
              <w:spacing w:line="500" w:lineRule="exact"/>
              <w:jc w:val="center"/>
              <w:rPr>
                <w:sz w:val="24"/>
                <w:highlight w:val="none"/>
              </w:rPr>
            </w:pPr>
          </w:p>
        </w:tc>
        <w:tc>
          <w:tcPr>
            <w:tcW w:w="2035" w:type="dxa"/>
            <w:vAlign w:val="center"/>
          </w:tcPr>
          <w:p>
            <w:pPr>
              <w:spacing w:line="500" w:lineRule="exact"/>
              <w:rPr>
                <w:sz w:val="24"/>
                <w:highlight w:val="none"/>
              </w:rPr>
            </w:pPr>
            <w:r>
              <w:rPr>
                <w:rFonts w:hint="eastAsia"/>
                <w:sz w:val="24"/>
                <w:highlight w:val="none"/>
              </w:rPr>
              <w:t>2</w:t>
            </w:r>
            <w:r>
              <w:rPr>
                <w:sz w:val="24"/>
                <w:highlight w:val="none"/>
              </w:rPr>
              <w:t>.6</w:t>
            </w:r>
            <w:r>
              <w:rPr>
                <w:rFonts w:hint="eastAsia"/>
                <w:sz w:val="24"/>
                <w:highlight w:val="none"/>
              </w:rPr>
              <w:t>环保宣传培训</w:t>
            </w:r>
          </w:p>
        </w:tc>
        <w:tc>
          <w:tcPr>
            <w:tcW w:w="6600" w:type="dxa"/>
            <w:vAlign w:val="center"/>
          </w:tcPr>
          <w:p>
            <w:pPr>
              <w:spacing w:line="500" w:lineRule="exact"/>
              <w:rPr>
                <w:sz w:val="24"/>
                <w:highlight w:val="none"/>
              </w:rPr>
            </w:pPr>
            <w:r>
              <w:rPr>
                <w:rFonts w:hint="eastAsia"/>
                <w:sz w:val="24"/>
                <w:highlight w:val="none"/>
              </w:rPr>
              <w:t>配合学校进行实验室废弃物管理的宣传培训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50" w:type="dxa"/>
            <w:vMerge w:val="continue"/>
            <w:vAlign w:val="center"/>
          </w:tcPr>
          <w:p>
            <w:pPr>
              <w:spacing w:line="500" w:lineRule="exact"/>
              <w:jc w:val="center"/>
              <w:rPr>
                <w:sz w:val="24"/>
                <w:highlight w:val="none"/>
              </w:rPr>
            </w:pPr>
          </w:p>
        </w:tc>
        <w:tc>
          <w:tcPr>
            <w:tcW w:w="2035" w:type="dxa"/>
            <w:vAlign w:val="center"/>
          </w:tcPr>
          <w:p>
            <w:pPr>
              <w:spacing w:line="500" w:lineRule="exact"/>
              <w:rPr>
                <w:sz w:val="24"/>
                <w:highlight w:val="none"/>
              </w:rPr>
            </w:pPr>
            <w:r>
              <w:rPr>
                <w:rFonts w:hint="eastAsia"/>
                <w:sz w:val="24"/>
                <w:highlight w:val="none"/>
              </w:rPr>
              <w:t>2</w:t>
            </w:r>
            <w:r>
              <w:rPr>
                <w:sz w:val="24"/>
                <w:highlight w:val="none"/>
              </w:rPr>
              <w:t>.7</w:t>
            </w:r>
            <w:r>
              <w:rPr>
                <w:rFonts w:hint="eastAsia"/>
                <w:sz w:val="24"/>
                <w:highlight w:val="none"/>
              </w:rPr>
              <w:t>收集实验室固体废弃物要求</w:t>
            </w:r>
          </w:p>
        </w:tc>
        <w:tc>
          <w:tcPr>
            <w:tcW w:w="6600" w:type="dxa"/>
            <w:vAlign w:val="center"/>
          </w:tcPr>
          <w:p>
            <w:pPr>
              <w:spacing w:line="500" w:lineRule="exact"/>
              <w:rPr>
                <w:sz w:val="24"/>
                <w:highlight w:val="none"/>
              </w:rPr>
            </w:pPr>
            <w:r>
              <w:rPr>
                <w:rFonts w:hint="eastAsia"/>
                <w:sz w:val="24"/>
                <w:highlight w:val="none"/>
              </w:rPr>
              <w:t>所有器皿、试管内不得含有实验残留物质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50" w:type="dxa"/>
            <w:vMerge w:val="continue"/>
            <w:vAlign w:val="center"/>
          </w:tcPr>
          <w:p>
            <w:pPr>
              <w:spacing w:line="500" w:lineRule="exact"/>
              <w:jc w:val="center"/>
              <w:rPr>
                <w:sz w:val="24"/>
                <w:highlight w:val="none"/>
              </w:rPr>
            </w:pPr>
          </w:p>
        </w:tc>
        <w:tc>
          <w:tcPr>
            <w:tcW w:w="2035" w:type="dxa"/>
            <w:vAlign w:val="center"/>
          </w:tcPr>
          <w:p>
            <w:pPr>
              <w:spacing w:line="500" w:lineRule="exact"/>
              <w:rPr>
                <w:sz w:val="24"/>
                <w:highlight w:val="none"/>
              </w:rPr>
            </w:pPr>
            <w:r>
              <w:rPr>
                <w:rFonts w:hint="eastAsia"/>
                <w:sz w:val="24"/>
                <w:highlight w:val="none"/>
              </w:rPr>
              <w:t>2</w:t>
            </w:r>
            <w:r>
              <w:rPr>
                <w:sz w:val="24"/>
                <w:highlight w:val="none"/>
              </w:rPr>
              <w:t>.8</w:t>
            </w:r>
            <w:r>
              <w:rPr>
                <w:rFonts w:hint="eastAsia"/>
                <w:sz w:val="24"/>
                <w:highlight w:val="none"/>
              </w:rPr>
              <w:t>收集实验室废胶要求</w:t>
            </w:r>
          </w:p>
        </w:tc>
        <w:tc>
          <w:tcPr>
            <w:tcW w:w="6600" w:type="dxa"/>
            <w:vAlign w:val="center"/>
          </w:tcPr>
          <w:p>
            <w:pPr>
              <w:spacing w:line="500" w:lineRule="exact"/>
              <w:rPr>
                <w:sz w:val="24"/>
                <w:highlight w:val="none"/>
              </w:rPr>
            </w:pPr>
            <w:r>
              <w:rPr>
                <w:rFonts w:hint="eastAsia"/>
                <w:sz w:val="24"/>
                <w:highlight w:val="none"/>
              </w:rPr>
              <w:t>需高温灭菌后再装敞口桶，废胶需分类，按EB胶、培养基、水平胶、垂直胶等进行分类，不得混装。致癌废胶要单独包装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50" w:type="dxa"/>
            <w:vMerge w:val="continue"/>
            <w:vAlign w:val="center"/>
          </w:tcPr>
          <w:p>
            <w:pPr>
              <w:spacing w:line="500" w:lineRule="exact"/>
              <w:jc w:val="center"/>
              <w:rPr>
                <w:sz w:val="24"/>
                <w:highlight w:val="none"/>
              </w:rPr>
            </w:pPr>
          </w:p>
        </w:tc>
        <w:tc>
          <w:tcPr>
            <w:tcW w:w="2035" w:type="dxa"/>
            <w:vAlign w:val="center"/>
          </w:tcPr>
          <w:p>
            <w:pPr>
              <w:spacing w:line="500" w:lineRule="exact"/>
              <w:rPr>
                <w:sz w:val="24"/>
                <w:highlight w:val="none"/>
              </w:rPr>
            </w:pPr>
            <w:r>
              <w:rPr>
                <w:rFonts w:hint="eastAsia"/>
                <w:sz w:val="24"/>
                <w:highlight w:val="none"/>
              </w:rPr>
              <w:t>2</w:t>
            </w:r>
            <w:r>
              <w:rPr>
                <w:sz w:val="24"/>
                <w:highlight w:val="none"/>
              </w:rPr>
              <w:t>.9</w:t>
            </w:r>
            <w:r>
              <w:rPr>
                <w:rFonts w:hint="eastAsia"/>
                <w:sz w:val="24"/>
                <w:highlight w:val="none"/>
              </w:rPr>
              <w:t>收集实验室废液要求</w:t>
            </w:r>
          </w:p>
        </w:tc>
        <w:tc>
          <w:tcPr>
            <w:tcW w:w="6600" w:type="dxa"/>
            <w:vAlign w:val="center"/>
          </w:tcPr>
          <w:p>
            <w:pPr>
              <w:spacing w:line="500" w:lineRule="exact"/>
              <w:rPr>
                <w:sz w:val="24"/>
                <w:highlight w:val="none"/>
              </w:rPr>
            </w:pPr>
            <w:r>
              <w:rPr>
                <w:rFonts w:hint="eastAsia"/>
                <w:sz w:val="24"/>
                <w:highlight w:val="none"/>
              </w:rPr>
              <w:t>废液需分类，按有机、无机进行分类。废液不得超过包装桶容积的80%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50" w:type="dxa"/>
            <w:vMerge w:val="continue"/>
            <w:vAlign w:val="center"/>
          </w:tcPr>
          <w:p>
            <w:pPr>
              <w:spacing w:line="500" w:lineRule="exact"/>
              <w:jc w:val="center"/>
              <w:rPr>
                <w:sz w:val="24"/>
                <w:highlight w:val="none"/>
              </w:rPr>
            </w:pPr>
          </w:p>
        </w:tc>
        <w:tc>
          <w:tcPr>
            <w:tcW w:w="2035" w:type="dxa"/>
            <w:vAlign w:val="center"/>
          </w:tcPr>
          <w:p>
            <w:pPr>
              <w:spacing w:line="500" w:lineRule="exact"/>
              <w:rPr>
                <w:sz w:val="24"/>
                <w:highlight w:val="none"/>
              </w:rPr>
            </w:pPr>
            <w:r>
              <w:rPr>
                <w:rFonts w:hint="eastAsia"/>
                <w:sz w:val="24"/>
                <w:highlight w:val="none"/>
              </w:rPr>
              <w:t>2</w:t>
            </w:r>
            <w:r>
              <w:rPr>
                <w:sz w:val="24"/>
                <w:highlight w:val="none"/>
              </w:rPr>
              <w:t>.10</w:t>
            </w:r>
            <w:r>
              <w:rPr>
                <w:rFonts w:hint="eastAsia"/>
                <w:sz w:val="24"/>
                <w:highlight w:val="none"/>
              </w:rPr>
              <w:t>收集实验室空瓶要求</w:t>
            </w:r>
          </w:p>
        </w:tc>
        <w:tc>
          <w:tcPr>
            <w:tcW w:w="6600" w:type="dxa"/>
            <w:vAlign w:val="center"/>
          </w:tcPr>
          <w:p>
            <w:pPr>
              <w:spacing w:line="500" w:lineRule="exact"/>
              <w:rPr>
                <w:sz w:val="24"/>
                <w:highlight w:val="none"/>
              </w:rPr>
            </w:pPr>
            <w:r>
              <w:rPr>
                <w:rFonts w:hint="eastAsia"/>
                <w:sz w:val="24"/>
                <w:highlight w:val="none"/>
              </w:rPr>
              <w:t>所有废瓶内不得含有固体、液体试剂等物质。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50" w:type="dxa"/>
            <w:vMerge w:val="continue"/>
            <w:vAlign w:val="center"/>
          </w:tcPr>
          <w:p>
            <w:pPr>
              <w:spacing w:line="500" w:lineRule="exact"/>
              <w:jc w:val="center"/>
              <w:rPr>
                <w:sz w:val="24"/>
                <w:highlight w:val="none"/>
              </w:rPr>
            </w:pPr>
          </w:p>
        </w:tc>
        <w:tc>
          <w:tcPr>
            <w:tcW w:w="2035" w:type="dxa"/>
            <w:vAlign w:val="center"/>
          </w:tcPr>
          <w:p>
            <w:pPr>
              <w:spacing w:line="500" w:lineRule="exact"/>
              <w:rPr>
                <w:sz w:val="24"/>
                <w:highlight w:val="none"/>
              </w:rPr>
            </w:pPr>
            <w:r>
              <w:rPr>
                <w:rFonts w:hint="eastAsia"/>
                <w:sz w:val="24"/>
                <w:highlight w:val="none"/>
              </w:rPr>
              <w:t>2</w:t>
            </w:r>
            <w:r>
              <w:rPr>
                <w:sz w:val="24"/>
                <w:highlight w:val="none"/>
              </w:rPr>
              <w:t>.11</w:t>
            </w:r>
            <w:r>
              <w:rPr>
                <w:rFonts w:hint="eastAsia"/>
                <w:sz w:val="24"/>
                <w:highlight w:val="none"/>
              </w:rPr>
              <w:t>收集通风设施活性炭要求</w:t>
            </w:r>
          </w:p>
        </w:tc>
        <w:tc>
          <w:tcPr>
            <w:tcW w:w="6600" w:type="dxa"/>
            <w:vAlign w:val="center"/>
          </w:tcPr>
          <w:p>
            <w:pPr>
              <w:spacing w:line="500" w:lineRule="exact"/>
              <w:rPr>
                <w:sz w:val="24"/>
                <w:highlight w:val="none"/>
              </w:rPr>
            </w:pPr>
            <w:r>
              <w:rPr>
                <w:rFonts w:hint="eastAsia"/>
                <w:sz w:val="24"/>
                <w:highlight w:val="none"/>
              </w:rPr>
              <w:t>装入防渗漏编织袋内，扎紧袋口，不得撒漏。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50" w:type="dxa"/>
            <w:vMerge w:val="continue"/>
            <w:vAlign w:val="center"/>
          </w:tcPr>
          <w:p>
            <w:pPr>
              <w:spacing w:line="500" w:lineRule="exact"/>
              <w:jc w:val="center"/>
              <w:rPr>
                <w:sz w:val="24"/>
                <w:highlight w:val="none"/>
              </w:rPr>
            </w:pPr>
          </w:p>
        </w:tc>
        <w:tc>
          <w:tcPr>
            <w:tcW w:w="2035" w:type="dxa"/>
            <w:vAlign w:val="center"/>
          </w:tcPr>
          <w:p>
            <w:pPr>
              <w:spacing w:line="500" w:lineRule="exact"/>
              <w:rPr>
                <w:sz w:val="24"/>
                <w:highlight w:val="none"/>
              </w:rPr>
            </w:pPr>
            <w:r>
              <w:rPr>
                <w:rFonts w:hint="eastAsia"/>
                <w:sz w:val="24"/>
                <w:highlight w:val="none"/>
              </w:rPr>
              <w:t>2</w:t>
            </w:r>
            <w:r>
              <w:rPr>
                <w:sz w:val="24"/>
                <w:highlight w:val="none"/>
              </w:rPr>
              <w:t>.12</w:t>
            </w:r>
            <w:r>
              <w:rPr>
                <w:rFonts w:hint="eastAsia"/>
                <w:sz w:val="24"/>
                <w:highlight w:val="none"/>
              </w:rPr>
              <w:t>收集过期化学试剂要求</w:t>
            </w:r>
          </w:p>
        </w:tc>
        <w:tc>
          <w:tcPr>
            <w:tcW w:w="6600" w:type="dxa"/>
            <w:vAlign w:val="center"/>
          </w:tcPr>
          <w:p>
            <w:pPr>
              <w:spacing w:line="500" w:lineRule="exact"/>
              <w:rPr>
                <w:sz w:val="24"/>
                <w:highlight w:val="none"/>
              </w:rPr>
            </w:pPr>
            <w:r>
              <w:rPr>
                <w:rFonts w:hint="eastAsia"/>
                <w:sz w:val="24"/>
                <w:highlight w:val="none"/>
              </w:rPr>
              <w:t xml:space="preserve">固体、液体需分别整理打包，对易自燃的试剂要进行密闭隔绝空气包装。（不含管制类）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50" w:type="dxa"/>
            <w:vMerge w:val="continue"/>
            <w:vAlign w:val="center"/>
          </w:tcPr>
          <w:p>
            <w:pPr>
              <w:spacing w:line="500" w:lineRule="exact"/>
              <w:jc w:val="center"/>
              <w:rPr>
                <w:sz w:val="24"/>
                <w:highlight w:val="none"/>
              </w:rPr>
            </w:pPr>
          </w:p>
        </w:tc>
        <w:tc>
          <w:tcPr>
            <w:tcW w:w="2035" w:type="dxa"/>
            <w:vAlign w:val="center"/>
          </w:tcPr>
          <w:p>
            <w:pPr>
              <w:spacing w:line="500" w:lineRule="exact"/>
              <w:rPr>
                <w:sz w:val="24"/>
                <w:highlight w:val="none"/>
              </w:rPr>
            </w:pPr>
            <w:r>
              <w:rPr>
                <w:rFonts w:hint="eastAsia"/>
                <w:sz w:val="24"/>
                <w:highlight w:val="none"/>
              </w:rPr>
              <w:t>2</w:t>
            </w:r>
            <w:r>
              <w:rPr>
                <w:sz w:val="24"/>
                <w:highlight w:val="none"/>
              </w:rPr>
              <w:t>.13</w:t>
            </w:r>
            <w:r>
              <w:rPr>
                <w:rFonts w:hint="eastAsia"/>
                <w:sz w:val="24"/>
                <w:highlight w:val="none"/>
              </w:rPr>
              <w:t>收集实验废土要求</w:t>
            </w:r>
          </w:p>
        </w:tc>
        <w:tc>
          <w:tcPr>
            <w:tcW w:w="6600" w:type="dxa"/>
            <w:vAlign w:val="center"/>
          </w:tcPr>
          <w:p>
            <w:pPr>
              <w:spacing w:line="500" w:lineRule="exact"/>
              <w:rPr>
                <w:sz w:val="24"/>
                <w:highlight w:val="none"/>
              </w:rPr>
            </w:pPr>
            <w:r>
              <w:rPr>
                <w:rFonts w:hint="eastAsia"/>
                <w:sz w:val="24"/>
                <w:highlight w:val="none"/>
              </w:rPr>
              <w:t>装入防渗漏编织袋内，不得混入其余类型垃圾，扎进袋口，防止撒漏。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450" w:type="dxa"/>
            <w:vMerge w:val="restart"/>
            <w:vAlign w:val="center"/>
          </w:tcPr>
          <w:p>
            <w:pPr>
              <w:spacing w:line="500" w:lineRule="exact"/>
              <w:jc w:val="center"/>
              <w:rPr>
                <w:sz w:val="24"/>
                <w:highlight w:val="none"/>
              </w:rPr>
            </w:pPr>
            <w:r>
              <w:rPr>
                <w:rFonts w:hint="eastAsia"/>
                <w:sz w:val="24"/>
                <w:highlight w:val="none"/>
              </w:rPr>
              <w:t>3、实验室废弃物暂存库管理服务</w:t>
            </w:r>
          </w:p>
        </w:tc>
        <w:tc>
          <w:tcPr>
            <w:tcW w:w="8635" w:type="dxa"/>
            <w:gridSpan w:val="2"/>
            <w:vAlign w:val="center"/>
          </w:tcPr>
          <w:p>
            <w:pPr>
              <w:spacing w:line="500" w:lineRule="exact"/>
              <w:rPr>
                <w:sz w:val="24"/>
                <w:highlight w:val="none"/>
              </w:rPr>
            </w:pPr>
            <w:r>
              <w:rPr>
                <w:sz w:val="24"/>
                <w:highlight w:val="none"/>
              </w:rPr>
              <w:t>3.1</w:t>
            </w:r>
            <w:r>
              <w:rPr>
                <w:rFonts w:hint="eastAsia"/>
                <w:sz w:val="24"/>
                <w:highlight w:val="none"/>
              </w:rPr>
              <w:t>不同类型实验室废弃物分类存放，间距不低于</w:t>
            </w:r>
            <w:r>
              <w:rPr>
                <w:sz w:val="24"/>
                <w:highlight w:val="none"/>
              </w:rPr>
              <w:t>0.5</w:t>
            </w:r>
            <w:r>
              <w:rPr>
                <w:rFonts w:hint="eastAsia"/>
                <w:sz w:val="24"/>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50" w:type="dxa"/>
            <w:vMerge w:val="continue"/>
            <w:vAlign w:val="center"/>
          </w:tcPr>
          <w:p>
            <w:pPr>
              <w:spacing w:line="500" w:lineRule="exact"/>
              <w:jc w:val="center"/>
              <w:rPr>
                <w:sz w:val="24"/>
                <w:highlight w:val="none"/>
              </w:rPr>
            </w:pPr>
          </w:p>
        </w:tc>
        <w:tc>
          <w:tcPr>
            <w:tcW w:w="8635" w:type="dxa"/>
            <w:gridSpan w:val="2"/>
            <w:vAlign w:val="center"/>
          </w:tcPr>
          <w:p>
            <w:pPr>
              <w:spacing w:line="500" w:lineRule="exact"/>
              <w:rPr>
                <w:sz w:val="24"/>
                <w:highlight w:val="none"/>
              </w:rPr>
            </w:pPr>
            <w:r>
              <w:rPr>
                <w:sz w:val="24"/>
                <w:highlight w:val="none"/>
              </w:rPr>
              <w:t>3.2</w:t>
            </w:r>
            <w:r>
              <w:rPr>
                <w:rFonts w:hint="eastAsia"/>
                <w:sz w:val="24"/>
                <w:highlight w:val="none"/>
              </w:rPr>
              <w:t>对入库实验室废弃物打包（实验室废液、实验室废胶、实验室空瓶、过期化学试剂打包在托盘上，实验室固体废弃物、通风设施活性炭、实验废土装入吨袋）、称重、粘贴实验室废弃物标贴。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50" w:type="dxa"/>
            <w:vMerge w:val="continue"/>
            <w:vAlign w:val="center"/>
          </w:tcPr>
          <w:p>
            <w:pPr>
              <w:spacing w:line="500" w:lineRule="exact"/>
              <w:jc w:val="center"/>
              <w:rPr>
                <w:sz w:val="24"/>
                <w:highlight w:val="none"/>
              </w:rPr>
            </w:pPr>
          </w:p>
        </w:tc>
        <w:tc>
          <w:tcPr>
            <w:tcW w:w="8635" w:type="dxa"/>
            <w:gridSpan w:val="2"/>
            <w:vAlign w:val="center"/>
          </w:tcPr>
          <w:p>
            <w:pPr>
              <w:spacing w:line="500" w:lineRule="exact"/>
              <w:rPr>
                <w:sz w:val="24"/>
                <w:highlight w:val="none"/>
              </w:rPr>
            </w:pPr>
            <w:r>
              <w:rPr>
                <w:sz w:val="24"/>
                <w:highlight w:val="none"/>
              </w:rPr>
              <w:t>3.3</w:t>
            </w:r>
            <w:r>
              <w:rPr>
                <w:rFonts w:hint="eastAsia"/>
                <w:sz w:val="24"/>
                <w:highlight w:val="none"/>
              </w:rPr>
              <w:t>确保新产生实验室废弃物及时入库，库存量低于环保局考核指标量。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50" w:type="dxa"/>
            <w:vMerge w:val="continue"/>
            <w:vAlign w:val="center"/>
          </w:tcPr>
          <w:p>
            <w:pPr>
              <w:spacing w:line="500" w:lineRule="exact"/>
              <w:jc w:val="center"/>
              <w:rPr>
                <w:sz w:val="24"/>
                <w:highlight w:val="none"/>
              </w:rPr>
            </w:pPr>
          </w:p>
        </w:tc>
        <w:tc>
          <w:tcPr>
            <w:tcW w:w="8635" w:type="dxa"/>
            <w:gridSpan w:val="2"/>
            <w:vAlign w:val="center"/>
          </w:tcPr>
          <w:p>
            <w:pPr>
              <w:spacing w:line="500" w:lineRule="exact"/>
              <w:rPr>
                <w:sz w:val="24"/>
                <w:highlight w:val="none"/>
              </w:rPr>
            </w:pPr>
            <w:r>
              <w:rPr>
                <w:rFonts w:hint="eastAsia"/>
                <w:sz w:val="24"/>
                <w:highlight w:val="none"/>
              </w:rPr>
              <w:t>3</w:t>
            </w:r>
            <w:r>
              <w:rPr>
                <w:sz w:val="24"/>
                <w:highlight w:val="none"/>
              </w:rPr>
              <w:t>.4</w:t>
            </w:r>
            <w:r>
              <w:rPr>
                <w:rFonts w:hint="eastAsia"/>
                <w:sz w:val="24"/>
                <w:highlight w:val="none"/>
              </w:rPr>
              <w:t>服务方采取措施确保实验室废弃物暂存库的安全使用，必须安装监控系统、危废库规范化展板、标识，配备应急物资、器材。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50" w:type="dxa"/>
            <w:vMerge w:val="continue"/>
            <w:vAlign w:val="center"/>
          </w:tcPr>
          <w:p>
            <w:pPr>
              <w:spacing w:line="500" w:lineRule="exact"/>
              <w:jc w:val="center"/>
              <w:rPr>
                <w:sz w:val="24"/>
                <w:highlight w:val="none"/>
              </w:rPr>
            </w:pPr>
          </w:p>
        </w:tc>
        <w:tc>
          <w:tcPr>
            <w:tcW w:w="8635" w:type="dxa"/>
            <w:gridSpan w:val="2"/>
            <w:vAlign w:val="center"/>
          </w:tcPr>
          <w:p>
            <w:pPr>
              <w:spacing w:line="500" w:lineRule="exact"/>
              <w:rPr>
                <w:sz w:val="24"/>
                <w:highlight w:val="none"/>
              </w:rPr>
            </w:pPr>
            <w:r>
              <w:rPr>
                <w:rFonts w:hint="eastAsia"/>
                <w:sz w:val="24"/>
                <w:highlight w:val="none"/>
              </w:rPr>
              <w:t>3</w:t>
            </w:r>
            <w:r>
              <w:rPr>
                <w:sz w:val="24"/>
                <w:highlight w:val="none"/>
              </w:rPr>
              <w:t>.5</w:t>
            </w:r>
            <w:r>
              <w:rPr>
                <w:rFonts w:hint="eastAsia"/>
                <w:sz w:val="24"/>
                <w:highlight w:val="none"/>
              </w:rPr>
              <w:t>负责实验室废弃物台账登记，年度计划申报、环保报表填报、配合学校接受环保部门的检查。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50" w:type="dxa"/>
            <w:vMerge w:val="continue"/>
            <w:vAlign w:val="center"/>
          </w:tcPr>
          <w:p>
            <w:pPr>
              <w:spacing w:line="500" w:lineRule="exact"/>
              <w:jc w:val="center"/>
              <w:rPr>
                <w:sz w:val="24"/>
                <w:highlight w:val="none"/>
              </w:rPr>
            </w:pPr>
          </w:p>
        </w:tc>
        <w:tc>
          <w:tcPr>
            <w:tcW w:w="8635" w:type="dxa"/>
            <w:gridSpan w:val="2"/>
            <w:vAlign w:val="center"/>
          </w:tcPr>
          <w:p>
            <w:pPr>
              <w:spacing w:line="500" w:lineRule="exact"/>
              <w:rPr>
                <w:sz w:val="24"/>
                <w:highlight w:val="none"/>
              </w:rPr>
            </w:pPr>
            <w:r>
              <w:rPr>
                <w:sz w:val="24"/>
                <w:highlight w:val="none"/>
              </w:rPr>
              <w:t>3.6</w:t>
            </w:r>
            <w:r>
              <w:rPr>
                <w:rFonts w:hint="eastAsia"/>
                <w:sz w:val="24"/>
                <w:highlight w:val="none"/>
              </w:rPr>
              <w:t>要求废液总量控制在3吨以下，固废控制在2吨以下。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450" w:type="dxa"/>
            <w:vMerge w:val="restart"/>
            <w:vAlign w:val="center"/>
          </w:tcPr>
          <w:p>
            <w:pPr>
              <w:spacing w:line="500" w:lineRule="exact"/>
              <w:jc w:val="center"/>
              <w:rPr>
                <w:sz w:val="24"/>
                <w:highlight w:val="none"/>
              </w:rPr>
            </w:pPr>
            <w:r>
              <w:rPr>
                <w:sz w:val="24"/>
                <w:highlight w:val="none"/>
              </w:rPr>
              <w:t>4</w:t>
            </w:r>
            <w:r>
              <w:rPr>
                <w:rFonts w:hint="eastAsia"/>
                <w:sz w:val="24"/>
                <w:highlight w:val="none"/>
              </w:rPr>
              <w:t>、实验室废弃物处置服务</w:t>
            </w:r>
          </w:p>
        </w:tc>
        <w:tc>
          <w:tcPr>
            <w:tcW w:w="8635" w:type="dxa"/>
            <w:gridSpan w:val="2"/>
            <w:vAlign w:val="center"/>
          </w:tcPr>
          <w:p>
            <w:pPr>
              <w:spacing w:line="500" w:lineRule="exact"/>
              <w:rPr>
                <w:sz w:val="24"/>
                <w:highlight w:val="none"/>
              </w:rPr>
            </w:pPr>
            <w:r>
              <w:rPr>
                <w:rFonts w:hint="eastAsia" w:ascii="宋体" w:hAnsi="宋体"/>
                <w:bCs/>
                <w:sz w:val="24"/>
                <w:highlight w:val="none"/>
              </w:rPr>
              <w:t>▲</w:t>
            </w:r>
            <w:r>
              <w:rPr>
                <w:sz w:val="24"/>
                <w:highlight w:val="none"/>
              </w:rPr>
              <w:t>4.1</w:t>
            </w:r>
            <w:r>
              <w:rPr>
                <w:rFonts w:hint="eastAsia"/>
                <w:sz w:val="24"/>
                <w:highlight w:val="none"/>
              </w:rPr>
              <w:t>进行运输、搬运等操作，应严格执行安监、环保等部门有关规定，履行相关要求，做到合法合规。装车时应服从学校管理，遵循学校相关规章制度，确保安全清运；如因服务方过错引起安全或环保等事故，导致人身伤亡和财产损失，中标单位承担全部责任。</w:t>
            </w:r>
            <w:r>
              <w:rPr>
                <w:rFonts w:hint="eastAsia" w:ascii="宋体" w:hAnsi="宋体" w:cs="宋体"/>
                <w:b/>
                <w:bCs/>
                <w:sz w:val="24"/>
                <w:highlight w:val="none"/>
              </w:rPr>
              <w:t>（提供加盖公章的承诺书）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continue"/>
            <w:vAlign w:val="center"/>
          </w:tcPr>
          <w:p>
            <w:pPr>
              <w:spacing w:line="500" w:lineRule="exact"/>
              <w:jc w:val="center"/>
              <w:rPr>
                <w:sz w:val="24"/>
                <w:highlight w:val="none"/>
              </w:rPr>
            </w:pPr>
          </w:p>
        </w:tc>
        <w:tc>
          <w:tcPr>
            <w:tcW w:w="8635" w:type="dxa"/>
            <w:gridSpan w:val="2"/>
            <w:noWrap/>
            <w:vAlign w:val="center"/>
          </w:tcPr>
          <w:p>
            <w:pPr>
              <w:spacing w:line="500" w:lineRule="exact"/>
              <w:rPr>
                <w:sz w:val="24"/>
                <w:highlight w:val="none"/>
              </w:rPr>
            </w:pPr>
            <w:r>
              <w:rPr>
                <w:rFonts w:hint="eastAsia"/>
                <w:sz w:val="24"/>
                <w:highlight w:val="none"/>
              </w:rPr>
              <w:t>4</w:t>
            </w:r>
            <w:r>
              <w:rPr>
                <w:sz w:val="24"/>
                <w:highlight w:val="none"/>
              </w:rPr>
              <w:t>.2</w:t>
            </w:r>
            <w:r>
              <w:rPr>
                <w:rFonts w:hint="eastAsia"/>
                <w:sz w:val="24"/>
                <w:highlight w:val="none"/>
              </w:rPr>
              <w:t>及时处理入库实验室废弃物，实验室废弃物外运处置不低于每月1车次。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50" w:type="dxa"/>
            <w:vMerge w:val="continue"/>
            <w:vAlign w:val="center"/>
          </w:tcPr>
          <w:p>
            <w:pPr>
              <w:spacing w:line="500" w:lineRule="exact"/>
              <w:jc w:val="center"/>
              <w:rPr>
                <w:sz w:val="24"/>
                <w:highlight w:val="none"/>
              </w:rPr>
            </w:pPr>
          </w:p>
        </w:tc>
        <w:tc>
          <w:tcPr>
            <w:tcW w:w="8635" w:type="dxa"/>
            <w:gridSpan w:val="2"/>
            <w:noWrap/>
            <w:vAlign w:val="center"/>
          </w:tcPr>
          <w:p>
            <w:pPr>
              <w:spacing w:line="500" w:lineRule="exact"/>
              <w:rPr>
                <w:sz w:val="24"/>
                <w:highlight w:val="none"/>
              </w:rPr>
            </w:pPr>
            <w:r>
              <w:rPr>
                <w:rFonts w:hint="eastAsia" w:ascii="宋体" w:hAnsi="宋体"/>
                <w:bCs/>
                <w:sz w:val="24"/>
                <w:highlight w:val="none"/>
              </w:rPr>
              <w:t>▲</w:t>
            </w:r>
            <w:r>
              <w:rPr>
                <w:sz w:val="24"/>
                <w:highlight w:val="none"/>
              </w:rPr>
              <w:t>4.3</w:t>
            </w:r>
            <w:r>
              <w:rPr>
                <w:rFonts w:hint="eastAsia"/>
                <w:sz w:val="24"/>
                <w:highlight w:val="none"/>
              </w:rPr>
              <w:t>校方发出的实验室废弃物转移通知后5个工作日内安排转运处置。如有临时转运任务，中标方需配合校方3日内安排转运处置，特殊情况随叫随到。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50" w:type="dxa"/>
            <w:vMerge w:val="continue"/>
            <w:vAlign w:val="center"/>
          </w:tcPr>
          <w:p>
            <w:pPr>
              <w:spacing w:line="500" w:lineRule="exact"/>
              <w:jc w:val="center"/>
              <w:rPr>
                <w:sz w:val="24"/>
                <w:highlight w:val="none"/>
              </w:rPr>
            </w:pPr>
          </w:p>
        </w:tc>
        <w:tc>
          <w:tcPr>
            <w:tcW w:w="8635" w:type="dxa"/>
            <w:gridSpan w:val="2"/>
            <w:noWrap/>
            <w:vAlign w:val="center"/>
          </w:tcPr>
          <w:p>
            <w:pPr>
              <w:spacing w:line="500" w:lineRule="exact"/>
              <w:rPr>
                <w:sz w:val="24"/>
                <w:highlight w:val="none"/>
              </w:rPr>
            </w:pPr>
            <w:r>
              <w:rPr>
                <w:rFonts w:hint="eastAsia" w:ascii="宋体" w:hAnsi="宋体"/>
                <w:sz w:val="24"/>
                <w:highlight w:val="none"/>
              </w:rPr>
              <w:t>★</w:t>
            </w:r>
            <w:r>
              <w:rPr>
                <w:rFonts w:hint="eastAsia"/>
                <w:sz w:val="24"/>
                <w:highlight w:val="none"/>
              </w:rPr>
              <w:t>4</w:t>
            </w:r>
            <w:r>
              <w:rPr>
                <w:sz w:val="24"/>
                <w:highlight w:val="none"/>
              </w:rPr>
              <w:t>.4</w:t>
            </w:r>
            <w:r>
              <w:rPr>
                <w:rFonts w:hint="eastAsia"/>
                <w:sz w:val="24"/>
                <w:highlight w:val="none"/>
              </w:rPr>
              <w:t>所有实验室废弃物需由有资质的实验室废弃物处置单位处理，如因服务方过错引起安全或环保等事故，导致损失，中标单位承担全部责任。</w:t>
            </w:r>
            <w:r>
              <w:rPr>
                <w:rFonts w:hint="eastAsia" w:ascii="宋体" w:hAnsi="宋体" w:cs="宋体"/>
                <w:b/>
                <w:bCs/>
                <w:sz w:val="24"/>
                <w:highlight w:val="none"/>
              </w:rPr>
              <w:t>（提供加盖公章的承诺书）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50" w:type="dxa"/>
            <w:vMerge w:val="continue"/>
            <w:vAlign w:val="center"/>
          </w:tcPr>
          <w:p>
            <w:pPr>
              <w:spacing w:line="500" w:lineRule="exact"/>
              <w:jc w:val="center"/>
              <w:rPr>
                <w:sz w:val="24"/>
                <w:highlight w:val="none"/>
              </w:rPr>
            </w:pPr>
          </w:p>
        </w:tc>
        <w:tc>
          <w:tcPr>
            <w:tcW w:w="8635" w:type="dxa"/>
            <w:gridSpan w:val="2"/>
            <w:vAlign w:val="center"/>
          </w:tcPr>
          <w:p>
            <w:pPr>
              <w:spacing w:line="500" w:lineRule="exact"/>
              <w:rPr>
                <w:sz w:val="24"/>
                <w:highlight w:val="none"/>
              </w:rPr>
            </w:pPr>
            <w:r>
              <w:rPr>
                <w:rFonts w:hint="eastAsia" w:ascii="宋体" w:hAnsi="宋体"/>
                <w:sz w:val="24"/>
                <w:highlight w:val="none"/>
              </w:rPr>
              <w:t>★</w:t>
            </w:r>
            <w:r>
              <w:rPr>
                <w:sz w:val="24"/>
                <w:highlight w:val="none"/>
              </w:rPr>
              <w:t>4.5</w:t>
            </w:r>
            <w:r>
              <w:rPr>
                <w:rFonts w:hint="eastAsia"/>
                <w:sz w:val="24"/>
                <w:highlight w:val="none"/>
              </w:rPr>
              <w:t>提供校方管理人员可随时查检的，有记录车辆运输、卸货的GPS轨迹管理软件；确保离开学校的实验室废弃物确实进入处置单位并得到合法处理。</w:t>
            </w:r>
            <w:r>
              <w:rPr>
                <w:rFonts w:hint="eastAsia" w:ascii="宋体" w:hAnsi="宋体" w:cs="宋体"/>
                <w:sz w:val="24"/>
                <w:highlight w:val="none"/>
              </w:rPr>
              <w:t>负责江苏省危废管理平台/全生命周期系统网上日常数据申报和处置转移申报。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50" w:type="dxa"/>
            <w:vMerge w:val="restart"/>
            <w:vAlign w:val="center"/>
          </w:tcPr>
          <w:p>
            <w:pPr>
              <w:spacing w:line="500" w:lineRule="exact"/>
              <w:jc w:val="center"/>
              <w:rPr>
                <w:sz w:val="24"/>
                <w:highlight w:val="none"/>
              </w:rPr>
            </w:pPr>
            <w:r>
              <w:rPr>
                <w:rFonts w:hint="eastAsia"/>
                <w:sz w:val="24"/>
                <w:highlight w:val="none"/>
              </w:rPr>
              <w:t>5、信息化平台</w:t>
            </w:r>
          </w:p>
        </w:tc>
        <w:tc>
          <w:tcPr>
            <w:tcW w:w="8635" w:type="dxa"/>
            <w:gridSpan w:val="2"/>
            <w:vAlign w:val="center"/>
          </w:tcPr>
          <w:p>
            <w:pPr>
              <w:spacing w:line="500" w:lineRule="exact"/>
              <w:rPr>
                <w:sz w:val="24"/>
                <w:highlight w:val="none"/>
              </w:rPr>
            </w:pPr>
            <w:r>
              <w:rPr>
                <w:rFonts w:hint="eastAsia" w:ascii="宋体" w:hAnsi="宋体"/>
                <w:bCs/>
                <w:sz w:val="24"/>
                <w:highlight w:val="none"/>
              </w:rPr>
              <w:t>▲</w:t>
            </w:r>
            <w:r>
              <w:rPr>
                <w:sz w:val="24"/>
                <w:highlight w:val="none"/>
              </w:rPr>
              <w:t>5.1</w:t>
            </w:r>
            <w:r>
              <w:rPr>
                <w:rFonts w:hint="eastAsia"/>
                <w:sz w:val="24"/>
                <w:highlight w:val="none"/>
              </w:rPr>
              <w:t>服务方承诺提供信息化智能管理平台，具有企业认证版本微信公众号或小程序，具备危废收集板块定制化功能；（提供链接、公众号地址、或小程序二维码等便于验证）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450" w:type="dxa"/>
            <w:vMerge w:val="continue"/>
            <w:vAlign w:val="center"/>
          </w:tcPr>
          <w:p>
            <w:pPr>
              <w:spacing w:line="500" w:lineRule="exact"/>
              <w:jc w:val="center"/>
              <w:rPr>
                <w:sz w:val="24"/>
                <w:highlight w:val="none"/>
              </w:rPr>
            </w:pPr>
          </w:p>
        </w:tc>
        <w:tc>
          <w:tcPr>
            <w:tcW w:w="8635" w:type="dxa"/>
            <w:gridSpan w:val="2"/>
            <w:vAlign w:val="center"/>
          </w:tcPr>
          <w:p>
            <w:pPr>
              <w:spacing w:line="500" w:lineRule="exact"/>
              <w:rPr>
                <w:sz w:val="24"/>
                <w:highlight w:val="none"/>
              </w:rPr>
            </w:pPr>
            <w:r>
              <w:rPr>
                <w:rFonts w:hint="eastAsia"/>
                <w:sz w:val="24"/>
                <w:highlight w:val="none"/>
              </w:rPr>
              <w:t>5</w:t>
            </w:r>
            <w:r>
              <w:rPr>
                <w:sz w:val="24"/>
                <w:highlight w:val="none"/>
              </w:rPr>
              <w:t>.2</w:t>
            </w:r>
            <w:r>
              <w:rPr>
                <w:rFonts w:hint="eastAsia"/>
                <w:sz w:val="24"/>
                <w:highlight w:val="none"/>
              </w:rPr>
              <w:t>信息化平台可实现学校院系、楼栋、实验室订单分别统计；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450" w:type="dxa"/>
            <w:vMerge w:val="continue"/>
            <w:vAlign w:val="center"/>
          </w:tcPr>
          <w:p>
            <w:pPr>
              <w:spacing w:line="500" w:lineRule="exact"/>
              <w:jc w:val="center"/>
              <w:rPr>
                <w:sz w:val="24"/>
                <w:highlight w:val="none"/>
              </w:rPr>
            </w:pPr>
          </w:p>
        </w:tc>
        <w:tc>
          <w:tcPr>
            <w:tcW w:w="8635" w:type="dxa"/>
            <w:gridSpan w:val="2"/>
            <w:vAlign w:val="center"/>
          </w:tcPr>
          <w:p>
            <w:pPr>
              <w:spacing w:line="500" w:lineRule="exact"/>
              <w:rPr>
                <w:sz w:val="24"/>
                <w:highlight w:val="none"/>
              </w:rPr>
            </w:pPr>
            <w:r>
              <w:rPr>
                <w:rFonts w:hint="eastAsia"/>
                <w:sz w:val="24"/>
                <w:highlight w:val="none"/>
              </w:rPr>
              <w:t>5</w:t>
            </w:r>
            <w:r>
              <w:rPr>
                <w:sz w:val="24"/>
                <w:highlight w:val="none"/>
              </w:rPr>
              <w:t>.3</w:t>
            </w:r>
            <w:r>
              <w:rPr>
                <w:rFonts w:hint="eastAsia"/>
                <w:sz w:val="24"/>
                <w:highlight w:val="none"/>
              </w:rPr>
              <w:t>信息化平台满足：实验室下单—管理人员收到订单信息—上门收集—现场称重填入系统—后台管理系统同步信息；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0" w:type="dxa"/>
            <w:vMerge w:val="continue"/>
            <w:vAlign w:val="center"/>
          </w:tcPr>
          <w:p>
            <w:pPr>
              <w:spacing w:line="500" w:lineRule="exact"/>
              <w:jc w:val="center"/>
              <w:rPr>
                <w:sz w:val="24"/>
                <w:highlight w:val="none"/>
              </w:rPr>
            </w:pPr>
          </w:p>
        </w:tc>
        <w:tc>
          <w:tcPr>
            <w:tcW w:w="8635" w:type="dxa"/>
            <w:gridSpan w:val="2"/>
            <w:vAlign w:val="center"/>
          </w:tcPr>
          <w:p>
            <w:pPr>
              <w:spacing w:line="500" w:lineRule="exact"/>
              <w:rPr>
                <w:sz w:val="24"/>
                <w:highlight w:val="none"/>
              </w:rPr>
            </w:pPr>
            <w:r>
              <w:rPr>
                <w:rFonts w:hint="eastAsia"/>
                <w:sz w:val="24"/>
                <w:highlight w:val="none"/>
              </w:rPr>
              <w:t>5</w:t>
            </w:r>
            <w:r>
              <w:rPr>
                <w:sz w:val="24"/>
                <w:highlight w:val="none"/>
              </w:rPr>
              <w:t>.4</w:t>
            </w:r>
            <w:r>
              <w:rPr>
                <w:rFonts w:hint="eastAsia"/>
                <w:sz w:val="24"/>
                <w:highlight w:val="none"/>
              </w:rPr>
              <w:t>信息化平台后台管理系统可实时查看历史订单，各实验室危废信息可及时导出。</w:t>
            </w:r>
          </w:p>
        </w:tc>
      </w:tr>
    </w:tbl>
    <w:p>
      <w:pPr>
        <w:pStyle w:val="6"/>
        <w:kinsoku w:val="0"/>
        <w:overflowPunct w:val="0"/>
        <w:rPr>
          <w:b/>
          <w:bCs/>
          <w:kern w:val="0"/>
          <w:sz w:val="28"/>
          <w:szCs w:val="28"/>
          <w:highlight w:val="none"/>
        </w:rPr>
      </w:pPr>
      <w:r>
        <w:rPr>
          <w:rFonts w:hint="eastAsia" w:ascii="宋体" w:hAnsi="宋体" w:cs="宋体"/>
          <w:b/>
          <w:bCs/>
          <w:spacing w:val="2"/>
          <w:sz w:val="28"/>
          <w:szCs w:val="28"/>
          <w:highlight w:val="none"/>
        </w:rPr>
        <w:t>（</w:t>
      </w:r>
      <w:r>
        <w:rPr>
          <w:rFonts w:hint="eastAsia" w:ascii="宋体" w:hAnsi="宋体" w:cs="宋体"/>
          <w:b/>
          <w:bCs/>
          <w:sz w:val="28"/>
          <w:szCs w:val="28"/>
          <w:highlight w:val="none"/>
        </w:rPr>
        <w:t>三</w:t>
      </w:r>
      <w:r>
        <w:rPr>
          <w:rFonts w:hint="eastAsia" w:ascii="宋体" w:hAnsi="宋体" w:cs="宋体"/>
          <w:b/>
          <w:bCs/>
          <w:spacing w:val="2"/>
          <w:sz w:val="28"/>
          <w:szCs w:val="28"/>
          <w:highlight w:val="none"/>
        </w:rPr>
        <w:t>）</w:t>
      </w:r>
      <w:r>
        <w:rPr>
          <w:rFonts w:hint="eastAsia" w:ascii="宋体" w:hAnsi="宋体" w:cs="宋体"/>
          <w:b/>
          <w:bCs/>
          <w:sz w:val="28"/>
          <w:szCs w:val="28"/>
          <w:highlight w:val="none"/>
        </w:rPr>
        <w:t>服务</w:t>
      </w:r>
      <w:r>
        <w:rPr>
          <w:rFonts w:hint="eastAsia" w:ascii="宋体" w:hAnsi="宋体" w:cs="宋体"/>
          <w:b/>
          <w:bCs/>
          <w:spacing w:val="2"/>
          <w:sz w:val="28"/>
          <w:szCs w:val="28"/>
          <w:highlight w:val="none"/>
        </w:rPr>
        <w:t>人</w:t>
      </w:r>
      <w:r>
        <w:rPr>
          <w:rFonts w:hint="eastAsia" w:ascii="宋体" w:hAnsi="宋体" w:cs="宋体"/>
          <w:b/>
          <w:bCs/>
          <w:sz w:val="28"/>
          <w:szCs w:val="28"/>
          <w:highlight w:val="none"/>
        </w:rPr>
        <w:t>员</w:t>
      </w:r>
      <w:r>
        <w:rPr>
          <w:rFonts w:hint="eastAsia" w:ascii="宋体" w:hAnsi="宋体" w:cs="宋体"/>
          <w:b/>
          <w:bCs/>
          <w:spacing w:val="2"/>
          <w:sz w:val="28"/>
          <w:szCs w:val="28"/>
          <w:highlight w:val="none"/>
        </w:rPr>
        <w:t>配</w:t>
      </w:r>
      <w:r>
        <w:rPr>
          <w:rFonts w:hint="eastAsia" w:ascii="宋体" w:hAnsi="宋体" w:cs="宋体"/>
          <w:b/>
          <w:bCs/>
          <w:sz w:val="28"/>
          <w:szCs w:val="28"/>
          <w:highlight w:val="none"/>
        </w:rPr>
        <w:t>置要</w:t>
      </w:r>
      <w:r>
        <w:rPr>
          <w:rFonts w:hint="eastAsia" w:ascii="宋体" w:hAnsi="宋体" w:cs="宋体"/>
          <w:b/>
          <w:bCs/>
          <w:spacing w:val="2"/>
          <w:sz w:val="28"/>
          <w:szCs w:val="28"/>
          <w:highlight w:val="none"/>
        </w:rPr>
        <w:t>求：</w:t>
      </w:r>
      <w:r>
        <w:rPr>
          <w:rFonts w:hint="eastAsia"/>
          <w:b/>
          <w:bCs/>
          <w:sz w:val="28"/>
          <w:szCs w:val="28"/>
          <w:highlight w:val="none"/>
        </w:rPr>
        <w:t xml:space="preserve"> </w:t>
      </w:r>
    </w:p>
    <w:p>
      <w:pPr>
        <w:kinsoku w:val="0"/>
        <w:overflowPunct w:val="0"/>
        <w:spacing w:before="4" w:line="110" w:lineRule="exact"/>
        <w:rPr>
          <w:sz w:val="11"/>
          <w:szCs w:val="11"/>
          <w:highlight w:val="none"/>
        </w:rPr>
      </w:pPr>
      <w:r>
        <w:rPr>
          <w:sz w:val="11"/>
          <w:szCs w:val="11"/>
          <w:highlight w:val="none"/>
        </w:rPr>
        <w:t xml:space="preserve"> </w:t>
      </w:r>
    </w:p>
    <w:p>
      <w:pPr>
        <w:rPr>
          <w:rFonts w:ascii="宋体" w:hAnsi="宋体" w:cs="宋体"/>
          <w:sz w:val="28"/>
          <w:szCs w:val="28"/>
          <w:highlight w:val="none"/>
        </w:rPr>
      </w:pPr>
      <w:r>
        <w:rPr>
          <w:rFonts w:hint="eastAsia" w:hAnsi="宋体"/>
          <w:sz w:val="28"/>
          <w:szCs w:val="28"/>
          <w:highlight w:val="none"/>
        </w:rPr>
        <w:t>1</w:t>
      </w:r>
      <w:r>
        <w:rPr>
          <w:rFonts w:hint="eastAsia" w:ascii="宋体" w:hAnsi="宋体" w:cs="宋体"/>
          <w:sz w:val="28"/>
          <w:szCs w:val="28"/>
          <w:highlight w:val="none"/>
        </w:rPr>
        <w:t>、确保学校有需求时（含节假日）配置人员在岗；服务方需设置现场主管一名，现场主管需具备相关的服务技术能力；服务人员不少于2人，须包括收集、称重、打包、运输等服务人员。</w:t>
      </w:r>
    </w:p>
    <w:p>
      <w:pPr>
        <w:rPr>
          <w:rFonts w:ascii="宋体" w:hAnsi="宋体" w:cs="宋体"/>
          <w:sz w:val="28"/>
          <w:szCs w:val="28"/>
          <w:highlight w:val="none"/>
        </w:rPr>
      </w:pPr>
      <w:r>
        <w:rPr>
          <w:rFonts w:hint="eastAsia" w:ascii="宋体" w:hAnsi="宋体" w:cs="宋体"/>
          <w:sz w:val="28"/>
          <w:szCs w:val="28"/>
          <w:highlight w:val="none"/>
        </w:rPr>
        <w:t>2、做好服务人员的安全措施和现场防护措施，配备安全防护器具（包括防护服、防护面罩、防护眼镜、防护手套等），制定应急预案，文明作业。</w:t>
      </w:r>
    </w:p>
    <w:p>
      <w:pPr>
        <w:pStyle w:val="6"/>
        <w:kinsoku w:val="0"/>
        <w:overflowPunct w:val="0"/>
        <w:rPr>
          <w:rFonts w:ascii="宋体" w:hAnsi="宋体" w:cs="宋体"/>
          <w:spacing w:val="2"/>
          <w:sz w:val="28"/>
          <w:szCs w:val="28"/>
          <w:highlight w:val="none"/>
        </w:rPr>
      </w:pPr>
      <w:r>
        <w:rPr>
          <w:rFonts w:hint="eastAsia" w:ascii="宋体" w:hAnsi="宋体" w:cs="宋体"/>
          <w:spacing w:val="2"/>
          <w:sz w:val="28"/>
          <w:szCs w:val="28"/>
          <w:highlight w:val="none"/>
        </w:rPr>
        <w:t>3、</w:t>
      </w:r>
      <w:r>
        <w:rPr>
          <w:rFonts w:hint="eastAsia" w:ascii="宋体" w:hAnsi="宋体"/>
          <w:bCs/>
          <w:sz w:val="24"/>
          <w:highlight w:val="none"/>
        </w:rPr>
        <w:t>▲</w:t>
      </w:r>
      <w:r>
        <w:rPr>
          <w:rFonts w:hint="eastAsia" w:ascii="宋体" w:hAnsi="宋体" w:cs="宋体"/>
          <w:spacing w:val="2"/>
          <w:sz w:val="28"/>
          <w:szCs w:val="28"/>
          <w:highlight w:val="none"/>
        </w:rPr>
        <w:t xml:space="preserve">现场主管具有环境或化学类相关专业本科及以上学历，且有 3 年以上相关工作经验，提供相应的学历证明材料。 </w:t>
      </w:r>
    </w:p>
    <w:p>
      <w:pPr>
        <w:pStyle w:val="6"/>
        <w:kinsoku w:val="0"/>
        <w:overflowPunct w:val="0"/>
        <w:rPr>
          <w:rFonts w:ascii="宋体" w:hAnsi="宋体" w:cs="宋体"/>
          <w:spacing w:val="2"/>
          <w:sz w:val="28"/>
          <w:szCs w:val="28"/>
          <w:highlight w:val="none"/>
        </w:rPr>
      </w:pPr>
      <w:r>
        <w:rPr>
          <w:rFonts w:hint="eastAsia" w:ascii="宋体" w:hAnsi="宋体" w:cs="宋体"/>
          <w:spacing w:val="2"/>
          <w:sz w:val="28"/>
          <w:szCs w:val="28"/>
          <w:highlight w:val="none"/>
        </w:rPr>
        <w:t>4、服务人员年龄低于55岁，提供相关资质证件。</w:t>
      </w:r>
    </w:p>
    <w:p>
      <w:pPr>
        <w:kinsoku w:val="0"/>
        <w:overflowPunct w:val="0"/>
        <w:spacing w:before="2" w:line="110" w:lineRule="exact"/>
        <w:rPr>
          <w:sz w:val="11"/>
          <w:szCs w:val="11"/>
          <w:highlight w:val="none"/>
        </w:rPr>
      </w:pPr>
      <w:r>
        <w:rPr>
          <w:sz w:val="11"/>
          <w:szCs w:val="11"/>
          <w:highlight w:val="none"/>
        </w:rPr>
        <w:t xml:space="preserve"> </w:t>
      </w:r>
    </w:p>
    <w:p>
      <w:pPr>
        <w:pStyle w:val="6"/>
        <w:kinsoku w:val="0"/>
        <w:overflowPunct w:val="0"/>
        <w:rPr>
          <w:b/>
          <w:bCs/>
          <w:highlight w:val="none"/>
        </w:rPr>
      </w:pPr>
      <w:r>
        <w:rPr>
          <w:rFonts w:hint="eastAsia" w:ascii="宋体" w:hAnsi="宋体" w:cs="宋体"/>
          <w:b/>
          <w:bCs/>
          <w:spacing w:val="2"/>
          <w:sz w:val="28"/>
          <w:szCs w:val="28"/>
          <w:highlight w:val="none"/>
        </w:rPr>
        <w:t>（</w:t>
      </w:r>
      <w:r>
        <w:rPr>
          <w:rFonts w:hint="eastAsia" w:ascii="宋体" w:hAnsi="宋体" w:cs="宋体"/>
          <w:b/>
          <w:bCs/>
          <w:sz w:val="28"/>
          <w:szCs w:val="28"/>
          <w:highlight w:val="none"/>
        </w:rPr>
        <w:t>四</w:t>
      </w:r>
      <w:r>
        <w:rPr>
          <w:rFonts w:hint="eastAsia" w:ascii="宋体" w:hAnsi="宋体" w:cs="宋体"/>
          <w:b/>
          <w:bCs/>
          <w:spacing w:val="2"/>
          <w:sz w:val="28"/>
          <w:szCs w:val="28"/>
          <w:highlight w:val="none"/>
        </w:rPr>
        <w:t>）</w:t>
      </w:r>
      <w:r>
        <w:rPr>
          <w:rFonts w:hint="eastAsia" w:ascii="宋体" w:hAnsi="宋体" w:cs="宋体"/>
          <w:b/>
          <w:bCs/>
          <w:sz w:val="28"/>
          <w:szCs w:val="28"/>
          <w:highlight w:val="none"/>
        </w:rPr>
        <w:t>服务</w:t>
      </w:r>
      <w:r>
        <w:rPr>
          <w:rFonts w:hint="eastAsia" w:ascii="宋体" w:hAnsi="宋体" w:cs="宋体"/>
          <w:b/>
          <w:bCs/>
          <w:spacing w:val="2"/>
          <w:sz w:val="28"/>
          <w:szCs w:val="28"/>
          <w:highlight w:val="none"/>
        </w:rPr>
        <w:t>方</w:t>
      </w:r>
      <w:r>
        <w:rPr>
          <w:rFonts w:hint="eastAsia" w:ascii="宋体" w:hAnsi="宋体" w:cs="宋体"/>
          <w:b/>
          <w:bCs/>
          <w:sz w:val="28"/>
          <w:szCs w:val="28"/>
          <w:highlight w:val="none"/>
        </w:rPr>
        <w:t>提</w:t>
      </w:r>
      <w:r>
        <w:rPr>
          <w:rFonts w:hint="eastAsia" w:ascii="宋体" w:hAnsi="宋体" w:cs="宋体"/>
          <w:b/>
          <w:bCs/>
          <w:spacing w:val="2"/>
          <w:sz w:val="28"/>
          <w:szCs w:val="28"/>
          <w:highlight w:val="none"/>
        </w:rPr>
        <w:t>供</w:t>
      </w:r>
      <w:r>
        <w:rPr>
          <w:rFonts w:hint="eastAsia" w:ascii="宋体" w:hAnsi="宋体" w:cs="宋体"/>
          <w:b/>
          <w:bCs/>
          <w:sz w:val="28"/>
          <w:szCs w:val="28"/>
          <w:highlight w:val="none"/>
        </w:rPr>
        <w:t>车辆</w:t>
      </w:r>
      <w:r>
        <w:rPr>
          <w:rFonts w:hint="eastAsia" w:ascii="宋体" w:hAnsi="宋体" w:cs="宋体"/>
          <w:b/>
          <w:bCs/>
          <w:spacing w:val="2"/>
          <w:sz w:val="28"/>
          <w:szCs w:val="28"/>
          <w:highlight w:val="none"/>
        </w:rPr>
        <w:t>、</w:t>
      </w:r>
      <w:r>
        <w:rPr>
          <w:rFonts w:hint="eastAsia" w:ascii="宋体" w:hAnsi="宋体" w:cs="宋体"/>
          <w:b/>
          <w:bCs/>
          <w:sz w:val="28"/>
          <w:szCs w:val="28"/>
          <w:highlight w:val="none"/>
        </w:rPr>
        <w:t>工</w:t>
      </w:r>
      <w:r>
        <w:rPr>
          <w:rFonts w:hint="eastAsia" w:ascii="宋体" w:hAnsi="宋体" w:cs="宋体"/>
          <w:b/>
          <w:bCs/>
          <w:spacing w:val="2"/>
          <w:sz w:val="28"/>
          <w:szCs w:val="28"/>
          <w:highlight w:val="none"/>
        </w:rPr>
        <w:t>具</w:t>
      </w:r>
      <w:r>
        <w:rPr>
          <w:rFonts w:hint="eastAsia" w:ascii="宋体" w:hAnsi="宋体" w:cs="宋体"/>
          <w:b/>
          <w:bCs/>
          <w:sz w:val="28"/>
          <w:szCs w:val="28"/>
          <w:highlight w:val="none"/>
        </w:rPr>
        <w:t>、办</w:t>
      </w:r>
      <w:r>
        <w:rPr>
          <w:rFonts w:hint="eastAsia" w:ascii="宋体" w:hAnsi="宋体" w:cs="宋体"/>
          <w:b/>
          <w:bCs/>
          <w:spacing w:val="2"/>
          <w:sz w:val="28"/>
          <w:szCs w:val="28"/>
          <w:highlight w:val="none"/>
        </w:rPr>
        <w:t>公</w:t>
      </w:r>
      <w:r>
        <w:rPr>
          <w:rFonts w:hint="eastAsia" w:ascii="宋体" w:hAnsi="宋体" w:cs="宋体"/>
          <w:b/>
          <w:bCs/>
          <w:sz w:val="28"/>
          <w:szCs w:val="28"/>
          <w:highlight w:val="none"/>
        </w:rPr>
        <w:t>配</w:t>
      </w:r>
      <w:r>
        <w:rPr>
          <w:rFonts w:hint="eastAsia" w:ascii="宋体" w:hAnsi="宋体" w:cs="宋体"/>
          <w:b/>
          <w:bCs/>
          <w:spacing w:val="2"/>
          <w:sz w:val="28"/>
          <w:szCs w:val="28"/>
          <w:highlight w:val="none"/>
        </w:rPr>
        <w:t>置</w:t>
      </w:r>
      <w:r>
        <w:rPr>
          <w:rFonts w:hint="eastAsia" w:ascii="宋体" w:hAnsi="宋体" w:cs="宋体"/>
          <w:b/>
          <w:bCs/>
          <w:sz w:val="28"/>
          <w:szCs w:val="28"/>
          <w:highlight w:val="none"/>
        </w:rPr>
        <w:t>要求</w:t>
      </w:r>
      <w:r>
        <w:rPr>
          <w:rFonts w:hint="eastAsia" w:ascii="宋体" w:hAnsi="宋体" w:cs="宋体"/>
          <w:b/>
          <w:bCs/>
          <w:spacing w:val="2"/>
          <w:sz w:val="28"/>
          <w:szCs w:val="28"/>
          <w:highlight w:val="none"/>
        </w:rPr>
        <w:t>：</w:t>
      </w:r>
      <w:r>
        <w:rPr>
          <w:rFonts w:hint="eastAsia"/>
          <w:b/>
          <w:bCs/>
          <w:highlight w:val="none"/>
        </w:rPr>
        <w:t xml:space="preserve"> </w:t>
      </w:r>
    </w:p>
    <w:tbl>
      <w:tblPr>
        <w:tblStyle w:val="14"/>
        <w:tblW w:w="47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2282"/>
        <w:gridCol w:w="1424"/>
        <w:gridCol w:w="5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16" w:type="pct"/>
            <w:vAlign w:val="center"/>
          </w:tcPr>
          <w:p>
            <w:pPr>
              <w:jc w:val="center"/>
              <w:rPr>
                <w:sz w:val="24"/>
                <w:highlight w:val="none"/>
              </w:rPr>
            </w:pPr>
            <w:r>
              <w:rPr>
                <w:rFonts w:hint="eastAsia"/>
                <w:sz w:val="24"/>
                <w:highlight w:val="none"/>
              </w:rPr>
              <w:t>序号</w:t>
            </w:r>
          </w:p>
        </w:tc>
        <w:tc>
          <w:tcPr>
            <w:tcW w:w="1149" w:type="pct"/>
            <w:vAlign w:val="center"/>
          </w:tcPr>
          <w:p>
            <w:pPr>
              <w:jc w:val="center"/>
              <w:rPr>
                <w:sz w:val="24"/>
                <w:highlight w:val="none"/>
              </w:rPr>
            </w:pPr>
            <w:r>
              <w:rPr>
                <w:rFonts w:hint="eastAsia"/>
                <w:sz w:val="24"/>
                <w:highlight w:val="none"/>
              </w:rPr>
              <w:t>设备、工具名称</w:t>
            </w:r>
          </w:p>
        </w:tc>
        <w:tc>
          <w:tcPr>
            <w:tcW w:w="717" w:type="pct"/>
            <w:vAlign w:val="center"/>
          </w:tcPr>
          <w:p>
            <w:pPr>
              <w:jc w:val="center"/>
              <w:rPr>
                <w:sz w:val="24"/>
                <w:highlight w:val="none"/>
              </w:rPr>
            </w:pPr>
            <w:r>
              <w:rPr>
                <w:rFonts w:hint="eastAsia"/>
                <w:sz w:val="24"/>
                <w:highlight w:val="none"/>
              </w:rPr>
              <w:t>数量</w:t>
            </w:r>
          </w:p>
        </w:tc>
        <w:tc>
          <w:tcPr>
            <w:tcW w:w="2616" w:type="pct"/>
            <w:vAlign w:val="center"/>
          </w:tcPr>
          <w:p>
            <w:pPr>
              <w:jc w:val="center"/>
              <w:rPr>
                <w:sz w:val="24"/>
                <w:highlight w:val="none"/>
              </w:rPr>
            </w:pPr>
            <w:r>
              <w:rPr>
                <w:rFonts w:hint="eastAsia"/>
                <w:sz w:val="24"/>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516" w:type="pct"/>
            <w:vAlign w:val="center"/>
          </w:tcPr>
          <w:p>
            <w:pPr>
              <w:jc w:val="center"/>
              <w:rPr>
                <w:sz w:val="24"/>
                <w:highlight w:val="none"/>
              </w:rPr>
            </w:pPr>
            <w:r>
              <w:rPr>
                <w:rFonts w:hint="eastAsia"/>
                <w:sz w:val="24"/>
                <w:highlight w:val="none"/>
              </w:rPr>
              <w:t>1</w:t>
            </w:r>
          </w:p>
        </w:tc>
        <w:tc>
          <w:tcPr>
            <w:tcW w:w="1149" w:type="pct"/>
            <w:vAlign w:val="center"/>
          </w:tcPr>
          <w:p>
            <w:pPr>
              <w:jc w:val="center"/>
              <w:rPr>
                <w:sz w:val="24"/>
                <w:highlight w:val="none"/>
              </w:rPr>
            </w:pPr>
            <w:r>
              <w:rPr>
                <w:rFonts w:hint="eastAsia"/>
                <w:sz w:val="24"/>
                <w:highlight w:val="none"/>
              </w:rPr>
              <w:t>信息化智能服务管理工具</w:t>
            </w:r>
          </w:p>
        </w:tc>
        <w:tc>
          <w:tcPr>
            <w:tcW w:w="717" w:type="pct"/>
            <w:vAlign w:val="center"/>
          </w:tcPr>
          <w:p>
            <w:pPr>
              <w:jc w:val="center"/>
              <w:rPr>
                <w:sz w:val="24"/>
                <w:highlight w:val="none"/>
              </w:rPr>
            </w:pPr>
            <w:r>
              <w:rPr>
                <w:rFonts w:hint="eastAsia"/>
                <w:sz w:val="24"/>
                <w:highlight w:val="none"/>
              </w:rPr>
              <w:t>按需配备</w:t>
            </w:r>
          </w:p>
        </w:tc>
        <w:tc>
          <w:tcPr>
            <w:tcW w:w="2616" w:type="pct"/>
            <w:vAlign w:val="center"/>
          </w:tcPr>
          <w:p>
            <w:pPr>
              <w:jc w:val="center"/>
              <w:rPr>
                <w:sz w:val="24"/>
                <w:highlight w:val="none"/>
              </w:rPr>
            </w:pPr>
            <w:r>
              <w:rPr>
                <w:rFonts w:hint="eastAsia"/>
                <w:sz w:val="24"/>
                <w:highlight w:val="none"/>
              </w:rPr>
              <w:t>满足下达收集送包装物指令、记录各实验室收集危废种类、重量；为学校对危废溯源、危废管理考核提供依据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16" w:type="pct"/>
            <w:vAlign w:val="center"/>
          </w:tcPr>
          <w:p>
            <w:pPr>
              <w:jc w:val="center"/>
              <w:rPr>
                <w:sz w:val="24"/>
                <w:highlight w:val="none"/>
              </w:rPr>
            </w:pPr>
            <w:r>
              <w:rPr>
                <w:rFonts w:hint="eastAsia"/>
                <w:sz w:val="24"/>
                <w:highlight w:val="none"/>
              </w:rPr>
              <w:t>2</w:t>
            </w:r>
          </w:p>
        </w:tc>
        <w:tc>
          <w:tcPr>
            <w:tcW w:w="1149" w:type="pct"/>
            <w:vAlign w:val="center"/>
          </w:tcPr>
          <w:p>
            <w:pPr>
              <w:jc w:val="center"/>
              <w:rPr>
                <w:sz w:val="24"/>
                <w:highlight w:val="none"/>
              </w:rPr>
            </w:pPr>
            <w:r>
              <w:rPr>
                <w:rFonts w:hint="eastAsia"/>
                <w:sz w:val="24"/>
                <w:highlight w:val="none"/>
              </w:rPr>
              <w:t>校内危废</w:t>
            </w:r>
          </w:p>
          <w:p>
            <w:pPr>
              <w:jc w:val="center"/>
              <w:rPr>
                <w:sz w:val="24"/>
                <w:highlight w:val="none"/>
              </w:rPr>
            </w:pPr>
            <w:r>
              <w:rPr>
                <w:rFonts w:hint="eastAsia"/>
                <w:sz w:val="24"/>
                <w:highlight w:val="none"/>
              </w:rPr>
              <w:t>收集转运车</w:t>
            </w:r>
          </w:p>
        </w:tc>
        <w:tc>
          <w:tcPr>
            <w:tcW w:w="717" w:type="pct"/>
            <w:vAlign w:val="center"/>
          </w:tcPr>
          <w:p>
            <w:pPr>
              <w:jc w:val="center"/>
              <w:rPr>
                <w:sz w:val="24"/>
                <w:highlight w:val="none"/>
              </w:rPr>
            </w:pPr>
            <w:r>
              <w:rPr>
                <w:rFonts w:hint="eastAsia"/>
                <w:sz w:val="24"/>
                <w:highlight w:val="none"/>
              </w:rPr>
              <w:t>按需配备</w:t>
            </w:r>
          </w:p>
        </w:tc>
        <w:tc>
          <w:tcPr>
            <w:tcW w:w="2616" w:type="pct"/>
            <w:vAlign w:val="center"/>
          </w:tcPr>
          <w:p>
            <w:pPr>
              <w:jc w:val="center"/>
              <w:rPr>
                <w:sz w:val="24"/>
                <w:highlight w:val="none"/>
              </w:rPr>
            </w:pPr>
            <w:r>
              <w:rPr>
                <w:rFonts w:hint="eastAsia"/>
                <w:sz w:val="24"/>
                <w:highlight w:val="none"/>
              </w:rPr>
              <w:t>满足实验室上门收集和校内转运需要，各类保险齐全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16" w:type="pct"/>
            <w:vAlign w:val="center"/>
          </w:tcPr>
          <w:p>
            <w:pPr>
              <w:jc w:val="center"/>
              <w:rPr>
                <w:sz w:val="24"/>
                <w:highlight w:val="none"/>
              </w:rPr>
            </w:pPr>
            <w:r>
              <w:rPr>
                <w:rFonts w:hint="eastAsia"/>
                <w:sz w:val="24"/>
                <w:highlight w:val="none"/>
              </w:rPr>
              <w:t>3</w:t>
            </w:r>
          </w:p>
        </w:tc>
        <w:tc>
          <w:tcPr>
            <w:tcW w:w="1149" w:type="pct"/>
            <w:vAlign w:val="center"/>
          </w:tcPr>
          <w:p>
            <w:pPr>
              <w:jc w:val="center"/>
              <w:rPr>
                <w:sz w:val="24"/>
                <w:highlight w:val="none"/>
              </w:rPr>
            </w:pPr>
            <w:r>
              <w:rPr>
                <w:rFonts w:hint="eastAsia"/>
                <w:sz w:val="24"/>
                <w:highlight w:val="none"/>
              </w:rPr>
              <w:t>电子秤</w:t>
            </w:r>
          </w:p>
        </w:tc>
        <w:tc>
          <w:tcPr>
            <w:tcW w:w="717" w:type="pct"/>
            <w:vAlign w:val="center"/>
          </w:tcPr>
          <w:p>
            <w:pPr>
              <w:jc w:val="center"/>
              <w:rPr>
                <w:sz w:val="24"/>
                <w:highlight w:val="none"/>
              </w:rPr>
            </w:pPr>
            <w:r>
              <w:rPr>
                <w:rFonts w:hint="eastAsia"/>
                <w:sz w:val="24"/>
                <w:highlight w:val="none"/>
              </w:rPr>
              <w:t>1台</w:t>
            </w:r>
          </w:p>
        </w:tc>
        <w:tc>
          <w:tcPr>
            <w:tcW w:w="2616" w:type="pct"/>
            <w:vAlign w:val="center"/>
          </w:tcPr>
          <w:p>
            <w:pPr>
              <w:jc w:val="center"/>
              <w:rPr>
                <w:sz w:val="24"/>
                <w:highlight w:val="none"/>
              </w:rPr>
            </w:pPr>
            <w:r>
              <w:rPr>
                <w:rFonts w:hint="eastAsia"/>
                <w:sz w:val="24"/>
                <w:highlight w:val="none"/>
              </w:rPr>
              <w:t>规格按实际工作需要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16" w:type="pct"/>
            <w:vAlign w:val="center"/>
          </w:tcPr>
          <w:p>
            <w:pPr>
              <w:jc w:val="center"/>
              <w:rPr>
                <w:sz w:val="24"/>
                <w:highlight w:val="none"/>
              </w:rPr>
            </w:pPr>
            <w:r>
              <w:rPr>
                <w:rFonts w:hint="eastAsia"/>
                <w:sz w:val="24"/>
                <w:highlight w:val="none"/>
              </w:rPr>
              <w:t>4</w:t>
            </w:r>
          </w:p>
        </w:tc>
        <w:tc>
          <w:tcPr>
            <w:tcW w:w="1149" w:type="pct"/>
            <w:vAlign w:val="center"/>
          </w:tcPr>
          <w:p>
            <w:pPr>
              <w:jc w:val="center"/>
              <w:rPr>
                <w:sz w:val="24"/>
                <w:highlight w:val="none"/>
              </w:rPr>
            </w:pPr>
            <w:r>
              <w:rPr>
                <w:rFonts w:hint="eastAsia"/>
                <w:sz w:val="24"/>
                <w:highlight w:val="none"/>
              </w:rPr>
              <w:t>防护设备</w:t>
            </w:r>
          </w:p>
        </w:tc>
        <w:tc>
          <w:tcPr>
            <w:tcW w:w="717" w:type="pct"/>
            <w:vAlign w:val="center"/>
          </w:tcPr>
          <w:p>
            <w:pPr>
              <w:jc w:val="center"/>
              <w:rPr>
                <w:sz w:val="24"/>
                <w:highlight w:val="none"/>
              </w:rPr>
            </w:pPr>
            <w:r>
              <w:rPr>
                <w:rFonts w:hint="eastAsia"/>
                <w:sz w:val="24"/>
                <w:highlight w:val="none"/>
              </w:rPr>
              <w:t>按需配备</w:t>
            </w:r>
          </w:p>
        </w:tc>
        <w:tc>
          <w:tcPr>
            <w:tcW w:w="2616" w:type="pct"/>
            <w:vAlign w:val="center"/>
          </w:tcPr>
          <w:p>
            <w:pPr>
              <w:jc w:val="center"/>
              <w:rPr>
                <w:sz w:val="24"/>
                <w:highlight w:val="none"/>
              </w:rPr>
            </w:pPr>
            <w:r>
              <w:rPr>
                <w:rFonts w:hint="eastAsia"/>
                <w:sz w:val="24"/>
                <w:highlight w:val="none"/>
              </w:rPr>
              <w:t>防护服、防护眼镜、防护手套、防护面罩等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16" w:type="pct"/>
            <w:vAlign w:val="center"/>
          </w:tcPr>
          <w:p>
            <w:pPr>
              <w:jc w:val="center"/>
              <w:rPr>
                <w:sz w:val="24"/>
                <w:highlight w:val="none"/>
              </w:rPr>
            </w:pPr>
            <w:r>
              <w:rPr>
                <w:rFonts w:hint="eastAsia"/>
                <w:sz w:val="24"/>
                <w:highlight w:val="none"/>
              </w:rPr>
              <w:t>5</w:t>
            </w:r>
          </w:p>
        </w:tc>
        <w:tc>
          <w:tcPr>
            <w:tcW w:w="1149" w:type="pct"/>
            <w:vAlign w:val="center"/>
          </w:tcPr>
          <w:p>
            <w:pPr>
              <w:jc w:val="center"/>
              <w:rPr>
                <w:sz w:val="24"/>
                <w:highlight w:val="none"/>
              </w:rPr>
            </w:pPr>
            <w:r>
              <w:rPr>
                <w:rFonts w:hint="eastAsia"/>
                <w:sz w:val="24"/>
                <w:highlight w:val="none"/>
              </w:rPr>
              <w:t>应急器材</w:t>
            </w:r>
          </w:p>
        </w:tc>
        <w:tc>
          <w:tcPr>
            <w:tcW w:w="717" w:type="pct"/>
            <w:vAlign w:val="center"/>
          </w:tcPr>
          <w:p>
            <w:pPr>
              <w:jc w:val="center"/>
              <w:rPr>
                <w:sz w:val="24"/>
                <w:highlight w:val="none"/>
              </w:rPr>
            </w:pPr>
            <w:r>
              <w:rPr>
                <w:rFonts w:hint="eastAsia"/>
                <w:sz w:val="24"/>
                <w:highlight w:val="none"/>
              </w:rPr>
              <w:t>按需配备</w:t>
            </w:r>
          </w:p>
        </w:tc>
        <w:tc>
          <w:tcPr>
            <w:tcW w:w="2616" w:type="pct"/>
            <w:vAlign w:val="center"/>
          </w:tcPr>
          <w:p>
            <w:pPr>
              <w:jc w:val="center"/>
              <w:rPr>
                <w:sz w:val="24"/>
                <w:highlight w:val="none"/>
              </w:rPr>
            </w:pPr>
            <w:r>
              <w:rPr>
                <w:rFonts w:hint="eastAsia"/>
                <w:sz w:val="24"/>
                <w:highlight w:val="none"/>
              </w:rPr>
              <w:t>应急吸附材料、灭火器等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16" w:type="pct"/>
            <w:vAlign w:val="center"/>
          </w:tcPr>
          <w:p>
            <w:pPr>
              <w:jc w:val="center"/>
              <w:rPr>
                <w:sz w:val="24"/>
                <w:highlight w:val="none"/>
              </w:rPr>
            </w:pPr>
            <w:r>
              <w:rPr>
                <w:rFonts w:hint="eastAsia"/>
                <w:sz w:val="24"/>
                <w:highlight w:val="none"/>
              </w:rPr>
              <w:t>6</w:t>
            </w:r>
          </w:p>
        </w:tc>
        <w:tc>
          <w:tcPr>
            <w:tcW w:w="1149" w:type="pct"/>
            <w:vAlign w:val="center"/>
          </w:tcPr>
          <w:p>
            <w:pPr>
              <w:jc w:val="center"/>
              <w:rPr>
                <w:sz w:val="24"/>
                <w:highlight w:val="none"/>
              </w:rPr>
            </w:pPr>
            <w:r>
              <w:rPr>
                <w:rFonts w:hint="eastAsia"/>
                <w:sz w:val="24"/>
                <w:highlight w:val="none"/>
              </w:rPr>
              <w:t>叉车</w:t>
            </w:r>
          </w:p>
        </w:tc>
        <w:tc>
          <w:tcPr>
            <w:tcW w:w="717" w:type="pct"/>
            <w:vAlign w:val="center"/>
          </w:tcPr>
          <w:p>
            <w:pPr>
              <w:jc w:val="center"/>
              <w:rPr>
                <w:sz w:val="24"/>
                <w:highlight w:val="none"/>
              </w:rPr>
            </w:pPr>
            <w:r>
              <w:rPr>
                <w:rFonts w:hint="eastAsia"/>
                <w:sz w:val="24"/>
                <w:highlight w:val="none"/>
              </w:rPr>
              <w:t>1台</w:t>
            </w:r>
          </w:p>
        </w:tc>
        <w:tc>
          <w:tcPr>
            <w:tcW w:w="2616" w:type="pct"/>
            <w:vAlign w:val="center"/>
          </w:tcPr>
          <w:p>
            <w:pPr>
              <w:jc w:val="center"/>
              <w:rPr>
                <w:sz w:val="24"/>
                <w:highlight w:val="none"/>
              </w:rPr>
            </w:pPr>
            <w:r>
              <w:rPr>
                <w:rFonts w:hint="eastAsia"/>
                <w:sz w:val="24"/>
                <w:highlight w:val="none"/>
              </w:rPr>
              <w:t>2 吨可升高 3.5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16" w:type="pct"/>
            <w:vAlign w:val="center"/>
          </w:tcPr>
          <w:p>
            <w:pPr>
              <w:jc w:val="center"/>
              <w:rPr>
                <w:sz w:val="24"/>
                <w:highlight w:val="none"/>
              </w:rPr>
            </w:pPr>
            <w:r>
              <w:rPr>
                <w:rFonts w:hint="eastAsia"/>
                <w:sz w:val="24"/>
                <w:highlight w:val="none"/>
              </w:rPr>
              <w:t>7</w:t>
            </w:r>
          </w:p>
        </w:tc>
        <w:tc>
          <w:tcPr>
            <w:tcW w:w="1149" w:type="pct"/>
            <w:vAlign w:val="center"/>
          </w:tcPr>
          <w:p>
            <w:pPr>
              <w:jc w:val="center"/>
              <w:rPr>
                <w:sz w:val="24"/>
                <w:highlight w:val="none"/>
              </w:rPr>
            </w:pPr>
            <w:r>
              <w:rPr>
                <w:rFonts w:hint="eastAsia"/>
                <w:sz w:val="24"/>
                <w:highlight w:val="none"/>
              </w:rPr>
              <w:t>打包机</w:t>
            </w:r>
          </w:p>
        </w:tc>
        <w:tc>
          <w:tcPr>
            <w:tcW w:w="717" w:type="pct"/>
            <w:vAlign w:val="center"/>
          </w:tcPr>
          <w:p>
            <w:pPr>
              <w:jc w:val="center"/>
              <w:rPr>
                <w:sz w:val="24"/>
                <w:highlight w:val="none"/>
              </w:rPr>
            </w:pPr>
            <w:r>
              <w:rPr>
                <w:rFonts w:hint="eastAsia"/>
                <w:sz w:val="24"/>
                <w:highlight w:val="none"/>
              </w:rPr>
              <w:t>一套</w:t>
            </w:r>
          </w:p>
        </w:tc>
        <w:tc>
          <w:tcPr>
            <w:tcW w:w="2616" w:type="pct"/>
            <w:vAlign w:val="center"/>
          </w:tcPr>
          <w:p>
            <w:pPr>
              <w:jc w:val="center"/>
              <w:rPr>
                <w:sz w:val="24"/>
                <w:highlight w:val="none"/>
              </w:rPr>
            </w:pPr>
            <w:r>
              <w:rPr>
                <w:rFonts w:hint="eastAsia"/>
                <w:sz w:val="24"/>
                <w:highlight w:val="none"/>
              </w:rPr>
              <w:t>含打包带、打包扣、缠绕膜、捆扎绳等</w:t>
            </w:r>
          </w:p>
        </w:tc>
      </w:tr>
    </w:tbl>
    <w:p>
      <w:pPr>
        <w:kinsoku w:val="0"/>
        <w:overflowPunct w:val="0"/>
        <w:spacing w:before="1" w:line="190" w:lineRule="exact"/>
        <w:ind w:right="9827"/>
        <w:rPr>
          <w:rFonts w:ascii="宋体" w:cs="宋体"/>
          <w:highlight w:val="none"/>
        </w:rPr>
      </w:pPr>
      <w:r>
        <w:rPr>
          <w:sz w:val="19"/>
          <w:szCs w:val="19"/>
          <w:highlight w:val="none"/>
        </w:rPr>
        <w:t xml:space="preserve"> </w:t>
      </w:r>
    </w:p>
    <w:p>
      <w:pPr>
        <w:kinsoku w:val="0"/>
        <w:overflowPunct w:val="0"/>
        <w:spacing w:before="2" w:line="110" w:lineRule="exact"/>
        <w:rPr>
          <w:sz w:val="11"/>
          <w:szCs w:val="11"/>
          <w:highlight w:val="none"/>
        </w:rPr>
      </w:pPr>
      <w:r>
        <w:rPr>
          <w:sz w:val="11"/>
          <w:szCs w:val="11"/>
          <w:highlight w:val="none"/>
        </w:rPr>
        <w:t xml:space="preserve"> </w:t>
      </w:r>
    </w:p>
    <w:p>
      <w:pPr>
        <w:pStyle w:val="6"/>
        <w:kinsoku w:val="0"/>
        <w:overflowPunct w:val="0"/>
        <w:rPr>
          <w:rFonts w:ascii="宋体" w:hAnsi="宋体" w:cs="宋体"/>
          <w:b/>
          <w:bCs/>
          <w:spacing w:val="2"/>
          <w:sz w:val="28"/>
          <w:szCs w:val="28"/>
          <w:highlight w:val="none"/>
        </w:rPr>
      </w:pPr>
      <w:r>
        <w:rPr>
          <w:rFonts w:hint="eastAsia" w:ascii="宋体" w:hAnsi="宋体" w:cs="宋体"/>
          <w:b/>
          <w:bCs/>
          <w:spacing w:val="2"/>
          <w:sz w:val="28"/>
          <w:szCs w:val="28"/>
          <w:highlight w:val="none"/>
        </w:rPr>
        <w:t xml:space="preserve">（五）服务方提供耗材配置要求： </w:t>
      </w:r>
    </w:p>
    <w:p>
      <w:pPr>
        <w:kinsoku w:val="0"/>
        <w:overflowPunct w:val="0"/>
        <w:spacing w:before="1" w:line="190" w:lineRule="exact"/>
        <w:rPr>
          <w:sz w:val="19"/>
          <w:szCs w:val="19"/>
          <w:highlight w:val="none"/>
        </w:rPr>
      </w:pPr>
      <w:r>
        <w:rPr>
          <w:sz w:val="19"/>
          <w:szCs w:val="19"/>
          <w:highlight w:val="none"/>
        </w:rPr>
        <w:t xml:space="preserve"> </w:t>
      </w:r>
    </w:p>
    <w:tbl>
      <w:tblPr>
        <w:tblStyle w:val="14"/>
        <w:tblW w:w="0" w:type="auto"/>
        <w:tblInd w:w="147" w:type="dxa"/>
        <w:tblLayout w:type="fixed"/>
        <w:tblCellMar>
          <w:top w:w="0" w:type="dxa"/>
          <w:left w:w="0" w:type="dxa"/>
          <w:bottom w:w="0" w:type="dxa"/>
          <w:right w:w="0" w:type="dxa"/>
        </w:tblCellMar>
      </w:tblPr>
      <w:tblGrid>
        <w:gridCol w:w="997"/>
        <w:gridCol w:w="2678"/>
        <w:gridCol w:w="1419"/>
        <w:gridCol w:w="4817"/>
      </w:tblGrid>
      <w:tr>
        <w:tblPrEx>
          <w:tblCellMar>
            <w:top w:w="0" w:type="dxa"/>
            <w:left w:w="0" w:type="dxa"/>
            <w:bottom w:w="0" w:type="dxa"/>
            <w:right w:w="0" w:type="dxa"/>
          </w:tblCellMar>
        </w:tblPrEx>
        <w:trPr>
          <w:trHeight w:val="521"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序号</w:t>
            </w:r>
          </w:p>
        </w:tc>
        <w:tc>
          <w:tcPr>
            <w:tcW w:w="2678"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名称</w:t>
            </w:r>
          </w:p>
        </w:tc>
        <w:tc>
          <w:tcPr>
            <w:tcW w:w="1419"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预估数量</w:t>
            </w:r>
          </w:p>
        </w:tc>
        <w:tc>
          <w:tcPr>
            <w:tcW w:w="4817"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规格要求</w:t>
            </w:r>
          </w:p>
        </w:tc>
      </w:tr>
      <w:tr>
        <w:tblPrEx>
          <w:tblCellMar>
            <w:top w:w="0" w:type="dxa"/>
            <w:left w:w="0" w:type="dxa"/>
            <w:bottom w:w="0" w:type="dxa"/>
            <w:right w:w="0" w:type="dxa"/>
          </w:tblCellMar>
        </w:tblPrEx>
        <w:trPr>
          <w:trHeight w:val="519"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1</w:t>
            </w:r>
          </w:p>
        </w:tc>
        <w:tc>
          <w:tcPr>
            <w:tcW w:w="2678"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25L 双盖塑料桶</w:t>
            </w:r>
          </w:p>
        </w:tc>
        <w:tc>
          <w:tcPr>
            <w:tcW w:w="1419"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按需配备</w:t>
            </w:r>
          </w:p>
        </w:tc>
        <w:tc>
          <w:tcPr>
            <w:tcW w:w="4817"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both"/>
              <w:rPr>
                <w:rFonts w:ascii="宋体" w:hAnsi="宋体" w:eastAsia="宋体" w:cs="宋体"/>
                <w:highlight w:val="none"/>
              </w:rPr>
            </w:pPr>
            <w:r>
              <w:rPr>
                <w:rFonts w:hint="eastAsia" w:ascii="宋体" w:hAnsi="宋体" w:eastAsia="宋体" w:cs="宋体"/>
                <w:highlight w:val="none"/>
              </w:rPr>
              <w:t>不漏液、耐高温、耐酸碱、全新料</w:t>
            </w:r>
          </w:p>
        </w:tc>
      </w:tr>
      <w:tr>
        <w:tblPrEx>
          <w:tblCellMar>
            <w:top w:w="0" w:type="dxa"/>
            <w:left w:w="0" w:type="dxa"/>
            <w:bottom w:w="0" w:type="dxa"/>
            <w:right w:w="0" w:type="dxa"/>
          </w:tblCellMar>
        </w:tblPrEx>
        <w:trPr>
          <w:trHeight w:val="521"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2</w:t>
            </w:r>
          </w:p>
        </w:tc>
        <w:tc>
          <w:tcPr>
            <w:tcW w:w="2678"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25L 敞口塑料桶</w:t>
            </w:r>
          </w:p>
        </w:tc>
        <w:tc>
          <w:tcPr>
            <w:tcW w:w="1419"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按需配备</w:t>
            </w:r>
          </w:p>
        </w:tc>
        <w:tc>
          <w:tcPr>
            <w:tcW w:w="4817"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both"/>
              <w:rPr>
                <w:rFonts w:ascii="宋体" w:hAnsi="宋体" w:eastAsia="宋体" w:cs="宋体"/>
                <w:highlight w:val="none"/>
              </w:rPr>
            </w:pPr>
            <w:r>
              <w:rPr>
                <w:rFonts w:hint="eastAsia" w:ascii="宋体" w:hAnsi="宋体" w:eastAsia="宋体" w:cs="宋体"/>
                <w:highlight w:val="none"/>
              </w:rPr>
              <w:t>不漏液、耐高温、耐酸碱、全新料</w:t>
            </w:r>
          </w:p>
        </w:tc>
      </w:tr>
      <w:tr>
        <w:tblPrEx>
          <w:tblCellMar>
            <w:top w:w="0" w:type="dxa"/>
            <w:left w:w="0" w:type="dxa"/>
            <w:bottom w:w="0" w:type="dxa"/>
            <w:right w:w="0" w:type="dxa"/>
          </w:tblCellMar>
        </w:tblPrEx>
        <w:trPr>
          <w:trHeight w:val="521"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3</w:t>
            </w:r>
          </w:p>
        </w:tc>
        <w:tc>
          <w:tcPr>
            <w:tcW w:w="2678"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纸箱</w:t>
            </w:r>
          </w:p>
        </w:tc>
        <w:tc>
          <w:tcPr>
            <w:tcW w:w="1419"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按需配备</w:t>
            </w:r>
          </w:p>
        </w:tc>
        <w:tc>
          <w:tcPr>
            <w:tcW w:w="4817"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both"/>
              <w:rPr>
                <w:rFonts w:ascii="宋体" w:hAnsi="宋体" w:eastAsia="宋体" w:cs="宋体"/>
                <w:highlight w:val="none"/>
              </w:rPr>
            </w:pPr>
            <w:r>
              <w:rPr>
                <w:rFonts w:hint="eastAsia" w:ascii="宋体" w:hAnsi="宋体" w:eastAsia="宋体" w:cs="宋体"/>
                <w:highlight w:val="none"/>
              </w:rPr>
              <w:t>300mm*300mm*400mm</w:t>
            </w:r>
          </w:p>
        </w:tc>
      </w:tr>
      <w:tr>
        <w:tblPrEx>
          <w:tblCellMar>
            <w:top w:w="0" w:type="dxa"/>
            <w:left w:w="0" w:type="dxa"/>
            <w:bottom w:w="0" w:type="dxa"/>
            <w:right w:w="0" w:type="dxa"/>
          </w:tblCellMar>
        </w:tblPrEx>
        <w:trPr>
          <w:trHeight w:val="518"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4</w:t>
            </w:r>
          </w:p>
        </w:tc>
        <w:tc>
          <w:tcPr>
            <w:tcW w:w="2678"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木质托盘</w:t>
            </w:r>
          </w:p>
        </w:tc>
        <w:tc>
          <w:tcPr>
            <w:tcW w:w="1419"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按需配备</w:t>
            </w:r>
          </w:p>
        </w:tc>
        <w:tc>
          <w:tcPr>
            <w:tcW w:w="4817"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both"/>
              <w:rPr>
                <w:rFonts w:ascii="宋体" w:hAnsi="宋体" w:eastAsia="宋体" w:cs="宋体"/>
                <w:highlight w:val="none"/>
              </w:rPr>
            </w:pPr>
            <w:r>
              <w:rPr>
                <w:rFonts w:hint="eastAsia" w:ascii="宋体" w:hAnsi="宋体" w:eastAsia="宋体" w:cs="宋体"/>
                <w:highlight w:val="none"/>
              </w:rPr>
              <w:t>1100*1100*80mm</w:t>
            </w:r>
          </w:p>
        </w:tc>
      </w:tr>
      <w:tr>
        <w:trPr>
          <w:trHeight w:val="521"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5</w:t>
            </w:r>
          </w:p>
        </w:tc>
        <w:tc>
          <w:tcPr>
            <w:tcW w:w="2678"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防渗漏编织袋</w:t>
            </w:r>
          </w:p>
        </w:tc>
        <w:tc>
          <w:tcPr>
            <w:tcW w:w="1419"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按需配备</w:t>
            </w:r>
          </w:p>
        </w:tc>
        <w:tc>
          <w:tcPr>
            <w:tcW w:w="4817"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both"/>
              <w:rPr>
                <w:rFonts w:ascii="宋体" w:hAnsi="宋体" w:eastAsia="宋体" w:cs="宋体"/>
                <w:highlight w:val="none"/>
              </w:rPr>
            </w:pPr>
            <w:r>
              <w:rPr>
                <w:rFonts w:hint="eastAsia" w:ascii="宋体" w:hAnsi="宋体" w:eastAsia="宋体" w:cs="宋体"/>
                <w:highlight w:val="none"/>
              </w:rPr>
              <w:t>根据需要配备</w:t>
            </w:r>
          </w:p>
        </w:tc>
      </w:tr>
      <w:tr>
        <w:tblPrEx>
          <w:tblCellMar>
            <w:top w:w="0" w:type="dxa"/>
            <w:left w:w="0" w:type="dxa"/>
            <w:bottom w:w="0" w:type="dxa"/>
            <w:right w:w="0" w:type="dxa"/>
          </w:tblCellMar>
        </w:tblPrEx>
        <w:trPr>
          <w:trHeight w:val="943"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p>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6</w:t>
            </w:r>
          </w:p>
        </w:tc>
        <w:tc>
          <w:tcPr>
            <w:tcW w:w="2678"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防渗漏吨袋</w:t>
            </w:r>
          </w:p>
        </w:tc>
        <w:tc>
          <w:tcPr>
            <w:tcW w:w="1419"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p>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按需配备</w:t>
            </w:r>
          </w:p>
        </w:tc>
        <w:tc>
          <w:tcPr>
            <w:tcW w:w="4817"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both"/>
              <w:rPr>
                <w:rFonts w:ascii="宋体" w:hAnsi="宋体" w:eastAsia="宋体" w:cs="宋体"/>
                <w:highlight w:val="none"/>
              </w:rPr>
            </w:pPr>
            <w:r>
              <w:rPr>
                <w:rFonts w:hint="eastAsia" w:ascii="宋体" w:hAnsi="宋体" w:eastAsia="宋体" w:cs="宋体"/>
                <w:highlight w:val="none"/>
              </w:rPr>
              <w:t>大开口加封口布（配扎口绳）、平底</w:t>
            </w:r>
          </w:p>
        </w:tc>
      </w:tr>
      <w:tr>
        <w:trPr>
          <w:trHeight w:val="521"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7</w:t>
            </w:r>
          </w:p>
        </w:tc>
        <w:tc>
          <w:tcPr>
            <w:tcW w:w="2678"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实验室废弃物标贴</w:t>
            </w:r>
          </w:p>
        </w:tc>
        <w:tc>
          <w:tcPr>
            <w:tcW w:w="1419"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按需配备</w:t>
            </w:r>
          </w:p>
        </w:tc>
        <w:tc>
          <w:tcPr>
            <w:tcW w:w="4817"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both"/>
              <w:rPr>
                <w:rFonts w:ascii="宋体" w:hAnsi="宋体" w:eastAsia="宋体" w:cs="宋体"/>
                <w:highlight w:val="none"/>
              </w:rPr>
            </w:pPr>
            <w:r>
              <w:rPr>
                <w:rFonts w:hint="eastAsia" w:ascii="宋体" w:hAnsi="宋体" w:eastAsia="宋体" w:cs="宋体"/>
                <w:highlight w:val="none"/>
              </w:rPr>
              <w:t>符合国家规定要求</w:t>
            </w:r>
          </w:p>
        </w:tc>
      </w:tr>
      <w:tr>
        <w:tblPrEx>
          <w:tblCellMar>
            <w:top w:w="0" w:type="dxa"/>
            <w:left w:w="0" w:type="dxa"/>
            <w:bottom w:w="0" w:type="dxa"/>
            <w:right w:w="0" w:type="dxa"/>
          </w:tblCellMar>
        </w:tblPrEx>
        <w:trPr>
          <w:trHeight w:val="521"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8</w:t>
            </w:r>
          </w:p>
        </w:tc>
        <w:tc>
          <w:tcPr>
            <w:tcW w:w="2678"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工作服、劳保鞋、手套</w:t>
            </w:r>
          </w:p>
        </w:tc>
        <w:tc>
          <w:tcPr>
            <w:tcW w:w="1419"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按需配备</w:t>
            </w:r>
          </w:p>
        </w:tc>
        <w:tc>
          <w:tcPr>
            <w:tcW w:w="4817"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both"/>
              <w:rPr>
                <w:rFonts w:ascii="宋体" w:hAnsi="宋体" w:eastAsia="宋体" w:cs="宋体"/>
                <w:highlight w:val="none"/>
              </w:rPr>
            </w:pPr>
            <w:r>
              <w:rPr>
                <w:rFonts w:hint="eastAsia" w:ascii="宋体" w:hAnsi="宋体" w:eastAsia="宋体" w:cs="宋体"/>
                <w:highlight w:val="none"/>
              </w:rPr>
              <w:t>符合国家规定要求</w:t>
            </w:r>
          </w:p>
        </w:tc>
      </w:tr>
      <w:tr>
        <w:tblPrEx>
          <w:tblCellMar>
            <w:top w:w="0" w:type="dxa"/>
            <w:left w:w="0" w:type="dxa"/>
            <w:bottom w:w="0" w:type="dxa"/>
            <w:right w:w="0" w:type="dxa"/>
          </w:tblCellMar>
        </w:tblPrEx>
        <w:trPr>
          <w:trHeight w:val="521"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9</w:t>
            </w:r>
          </w:p>
        </w:tc>
        <w:tc>
          <w:tcPr>
            <w:tcW w:w="2678"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防渗漏托盘</w:t>
            </w:r>
          </w:p>
        </w:tc>
        <w:tc>
          <w:tcPr>
            <w:tcW w:w="1419"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100个</w:t>
            </w:r>
          </w:p>
        </w:tc>
        <w:tc>
          <w:tcPr>
            <w:tcW w:w="4817"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both"/>
              <w:rPr>
                <w:rFonts w:ascii="宋体" w:hAnsi="宋体" w:eastAsia="宋体" w:cs="宋体"/>
                <w:highlight w:val="none"/>
              </w:rPr>
            </w:pPr>
            <w:r>
              <w:rPr>
                <w:rFonts w:hint="eastAsia" w:ascii="宋体" w:hAnsi="宋体" w:eastAsia="宋体" w:cs="宋体"/>
                <w:highlight w:val="none"/>
              </w:rPr>
              <w:t>用于实验室使用，每个托盘至少可放1个25L方桶</w:t>
            </w:r>
          </w:p>
        </w:tc>
      </w:tr>
      <w:tr>
        <w:tblPrEx>
          <w:tblCellMar>
            <w:top w:w="0" w:type="dxa"/>
            <w:left w:w="0" w:type="dxa"/>
            <w:bottom w:w="0" w:type="dxa"/>
            <w:right w:w="0" w:type="dxa"/>
          </w:tblCellMar>
        </w:tblPrEx>
        <w:trPr>
          <w:trHeight w:val="521"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10</w:t>
            </w:r>
          </w:p>
        </w:tc>
        <w:tc>
          <w:tcPr>
            <w:tcW w:w="2678"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危废库规范化展板、标识</w:t>
            </w:r>
          </w:p>
        </w:tc>
        <w:tc>
          <w:tcPr>
            <w:tcW w:w="1419"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1套</w:t>
            </w:r>
          </w:p>
        </w:tc>
        <w:tc>
          <w:tcPr>
            <w:tcW w:w="4817"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both"/>
              <w:rPr>
                <w:rFonts w:ascii="宋体" w:hAnsi="宋体" w:eastAsia="宋体" w:cs="宋体"/>
                <w:highlight w:val="none"/>
              </w:rPr>
            </w:pPr>
            <w:r>
              <w:rPr>
                <w:rFonts w:hint="eastAsia" w:ascii="宋体" w:hAnsi="宋体" w:eastAsia="宋体" w:cs="宋体"/>
                <w:highlight w:val="none"/>
              </w:rPr>
              <w:t>符合国家规定要求</w:t>
            </w:r>
          </w:p>
        </w:tc>
      </w:tr>
      <w:tr>
        <w:tblPrEx>
          <w:tblCellMar>
            <w:top w:w="0" w:type="dxa"/>
            <w:left w:w="0" w:type="dxa"/>
            <w:bottom w:w="0" w:type="dxa"/>
            <w:right w:w="0" w:type="dxa"/>
          </w:tblCellMar>
        </w:tblPrEx>
        <w:trPr>
          <w:trHeight w:val="521"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11</w:t>
            </w:r>
          </w:p>
        </w:tc>
        <w:tc>
          <w:tcPr>
            <w:tcW w:w="2678"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实验室危废标识</w:t>
            </w:r>
          </w:p>
        </w:tc>
        <w:tc>
          <w:tcPr>
            <w:tcW w:w="1419"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center"/>
              <w:rPr>
                <w:rFonts w:ascii="宋体" w:hAnsi="宋体" w:eastAsia="宋体" w:cs="宋体"/>
                <w:highlight w:val="none"/>
              </w:rPr>
            </w:pPr>
            <w:r>
              <w:rPr>
                <w:rFonts w:hint="eastAsia" w:ascii="宋体" w:hAnsi="宋体" w:eastAsia="宋体" w:cs="宋体"/>
                <w:highlight w:val="none"/>
              </w:rPr>
              <w:t>按需配备</w:t>
            </w:r>
          </w:p>
        </w:tc>
        <w:tc>
          <w:tcPr>
            <w:tcW w:w="4817" w:type="dxa"/>
            <w:tcBorders>
              <w:top w:val="single" w:color="000000" w:sz="4" w:space="0"/>
              <w:left w:val="nil"/>
              <w:bottom w:val="single" w:color="000000" w:sz="4" w:space="0"/>
              <w:right w:val="single" w:color="000000" w:sz="4" w:space="0"/>
            </w:tcBorders>
            <w:vAlign w:val="center"/>
          </w:tcPr>
          <w:p>
            <w:pPr>
              <w:pStyle w:val="24"/>
              <w:kinsoku w:val="0"/>
              <w:overflowPunct w:val="0"/>
              <w:spacing w:line="297" w:lineRule="exact"/>
              <w:jc w:val="both"/>
              <w:rPr>
                <w:rFonts w:ascii="宋体" w:hAnsi="宋体" w:eastAsia="宋体" w:cs="宋体"/>
                <w:highlight w:val="none"/>
              </w:rPr>
            </w:pPr>
            <w:r>
              <w:rPr>
                <w:rFonts w:hint="eastAsia" w:ascii="宋体" w:hAnsi="宋体" w:eastAsia="宋体" w:cs="宋体"/>
                <w:highlight w:val="none"/>
              </w:rPr>
              <w:t>符合国家规定要求</w:t>
            </w:r>
          </w:p>
        </w:tc>
      </w:tr>
    </w:tbl>
    <w:p>
      <w:pPr>
        <w:ind w:firstLine="480" w:firstLineChars="200"/>
        <w:rPr>
          <w:sz w:val="24"/>
          <w:szCs w:val="32"/>
          <w:highlight w:val="none"/>
        </w:rPr>
      </w:pPr>
    </w:p>
    <w:p>
      <w:pPr>
        <w:spacing w:line="500" w:lineRule="exact"/>
        <w:ind w:left="492" w:hanging="492" w:hangingChars="175"/>
        <w:rPr>
          <w:rFonts w:ascii="宋体" w:hAnsi="宋体" w:cs="宋体"/>
          <w:b/>
          <w:bCs/>
          <w:sz w:val="28"/>
          <w:szCs w:val="28"/>
          <w:highlight w:val="none"/>
        </w:rPr>
      </w:pPr>
      <w:r>
        <w:rPr>
          <w:rFonts w:hint="eastAsia" w:ascii="宋体" w:hAnsi="宋体" w:cs="宋体"/>
          <w:b/>
          <w:bCs/>
          <w:sz w:val="28"/>
          <w:szCs w:val="28"/>
          <w:highlight w:val="none"/>
        </w:rPr>
        <w:t>三、商务要求</w:t>
      </w:r>
    </w:p>
    <w:p>
      <w:pPr>
        <w:kinsoku w:val="0"/>
        <w:overflowPunct w:val="0"/>
        <w:spacing w:line="500" w:lineRule="exact"/>
        <w:ind w:left="490" w:hanging="490" w:hangingChars="175"/>
        <w:rPr>
          <w:rFonts w:ascii="宋体" w:hAnsi="宋体" w:cs="宋体"/>
          <w:sz w:val="28"/>
          <w:szCs w:val="28"/>
          <w:highlight w:val="none"/>
        </w:rPr>
      </w:pPr>
      <w:r>
        <w:rPr>
          <w:rFonts w:hint="eastAsia" w:ascii="宋体" w:hAnsi="宋体" w:cs="宋体"/>
          <w:sz w:val="28"/>
          <w:szCs w:val="28"/>
          <w:highlight w:val="none"/>
        </w:rPr>
        <w:t xml:space="preserve">1、项目建设目标 </w:t>
      </w:r>
    </w:p>
    <w:p>
      <w:pPr>
        <w:pStyle w:val="4"/>
        <w:spacing w:line="500" w:lineRule="exact"/>
        <w:ind w:firstLine="560" w:firstLineChars="200"/>
        <w:rPr>
          <w:rFonts w:ascii="宋体" w:hAnsi="宋体"/>
          <w:sz w:val="28"/>
          <w:szCs w:val="28"/>
          <w:highlight w:val="none"/>
        </w:rPr>
      </w:pPr>
      <w:r>
        <w:rPr>
          <w:rFonts w:hint="eastAsia" w:ascii="宋体" w:hAnsi="宋体"/>
          <w:sz w:val="28"/>
          <w:szCs w:val="28"/>
          <w:highlight w:val="none"/>
        </w:rPr>
        <w:t>根据国家以及江苏省生态环境厅制定的有关实验室危险废弃物转移处置管理办法，中标供应商合法合规对南京信息工程大学实验室危险废弃物废进行上门收集、转移、运输并处置完毕的全过程服务。</w:t>
      </w:r>
    </w:p>
    <w:p>
      <w:pPr>
        <w:kinsoku w:val="0"/>
        <w:overflowPunct w:val="0"/>
        <w:spacing w:line="500" w:lineRule="exact"/>
        <w:ind w:left="490" w:right="1796" w:hanging="490" w:hangingChars="175"/>
        <w:rPr>
          <w:rFonts w:ascii="宋体" w:hAnsi="宋体" w:cs="宋体"/>
          <w:sz w:val="28"/>
          <w:szCs w:val="28"/>
          <w:highlight w:val="none"/>
        </w:rPr>
      </w:pPr>
      <w:r>
        <w:rPr>
          <w:rFonts w:hint="eastAsia" w:ascii="宋体" w:hAnsi="宋体" w:cs="宋体"/>
          <w:sz w:val="28"/>
          <w:szCs w:val="28"/>
          <w:highlight w:val="none"/>
        </w:rPr>
        <w:t xml:space="preserve">2、相关标准及规范 </w:t>
      </w:r>
    </w:p>
    <w:p>
      <w:pPr>
        <w:kinsoku w:val="0"/>
        <w:overflowPunct w:val="0"/>
        <w:spacing w:before="73" w:line="500" w:lineRule="exact"/>
        <w:ind w:firstLine="560" w:firstLineChars="200"/>
        <w:rPr>
          <w:rFonts w:ascii="宋体" w:hAnsi="宋体" w:cs="宋体"/>
          <w:sz w:val="28"/>
          <w:szCs w:val="28"/>
          <w:highlight w:val="none"/>
        </w:rPr>
      </w:pPr>
      <w:r>
        <w:rPr>
          <w:rFonts w:hint="eastAsia" w:ascii="宋体" w:hAnsi="宋体" w:cs="宋体"/>
          <w:sz w:val="28"/>
          <w:szCs w:val="28"/>
          <w:highlight w:val="none"/>
        </w:rPr>
        <w:t xml:space="preserve">符合各项国家标准和规范，在南京信息工程大学现有条件下稳定运行。 </w:t>
      </w:r>
    </w:p>
    <w:p>
      <w:pPr>
        <w:kinsoku w:val="0"/>
        <w:overflowPunct w:val="0"/>
        <w:spacing w:line="500" w:lineRule="exact"/>
        <w:ind w:left="490" w:right="12" w:hanging="490" w:hangingChars="175"/>
        <w:rPr>
          <w:rFonts w:ascii="宋体" w:hAnsi="宋体" w:cs="宋体"/>
          <w:sz w:val="28"/>
          <w:szCs w:val="28"/>
          <w:highlight w:val="none"/>
        </w:rPr>
      </w:pPr>
      <w:r>
        <w:rPr>
          <w:rFonts w:hint="eastAsia" w:ascii="宋体" w:hAnsi="宋体" w:cs="宋体"/>
          <w:sz w:val="28"/>
          <w:szCs w:val="28"/>
          <w:highlight w:val="none"/>
        </w:rPr>
        <w:t xml:space="preserve">3、质量、安全、技术规格、物理特性等要求 </w:t>
      </w:r>
    </w:p>
    <w:p>
      <w:pPr>
        <w:kinsoku w:val="0"/>
        <w:overflowPunct w:val="0"/>
        <w:spacing w:before="73" w:line="500" w:lineRule="exact"/>
        <w:ind w:left="473" w:leftChars="225" w:firstLine="70" w:firstLineChars="25"/>
        <w:rPr>
          <w:rFonts w:ascii="宋体" w:hAnsi="宋体" w:cs="宋体"/>
          <w:sz w:val="28"/>
          <w:szCs w:val="28"/>
          <w:highlight w:val="none"/>
        </w:rPr>
      </w:pPr>
      <w:r>
        <w:rPr>
          <w:rFonts w:hint="eastAsia" w:ascii="宋体" w:hAnsi="宋体" w:cs="宋体"/>
          <w:sz w:val="28"/>
          <w:szCs w:val="28"/>
          <w:highlight w:val="none"/>
        </w:rPr>
        <w:t xml:space="preserve">符合各项国家质量和安全标准，在南京信息工程大学现有条件下安全稳定运行。 </w:t>
      </w:r>
    </w:p>
    <w:p>
      <w:pPr>
        <w:spacing w:line="500" w:lineRule="exact"/>
        <w:ind w:left="490" w:hanging="490" w:hangingChars="175"/>
        <w:rPr>
          <w:rFonts w:ascii="宋体" w:hAnsi="宋体" w:cs="宋体"/>
          <w:sz w:val="28"/>
          <w:szCs w:val="28"/>
          <w:highlight w:val="none"/>
        </w:rPr>
      </w:pPr>
      <w:r>
        <w:rPr>
          <w:rFonts w:hint="eastAsia" w:ascii="宋体" w:hAnsi="宋体" w:cs="宋体"/>
          <w:sz w:val="28"/>
          <w:szCs w:val="28"/>
          <w:highlight w:val="none"/>
        </w:rPr>
        <w:t>4、服务地点</w:t>
      </w:r>
    </w:p>
    <w:p>
      <w:pPr>
        <w:spacing w:line="500" w:lineRule="exact"/>
        <w:ind w:left="490" w:hanging="490" w:hangingChars="175"/>
        <w:rPr>
          <w:rFonts w:ascii="宋体" w:hAnsi="宋体" w:cs="宋体"/>
          <w:sz w:val="28"/>
          <w:szCs w:val="28"/>
          <w:highlight w:val="none"/>
        </w:rPr>
      </w:pPr>
      <w:r>
        <w:rPr>
          <w:rFonts w:hint="eastAsia" w:ascii="宋体" w:hAnsi="宋体" w:cs="宋体"/>
          <w:sz w:val="28"/>
          <w:szCs w:val="28"/>
          <w:highlight w:val="none"/>
        </w:rPr>
        <w:t xml:space="preserve">    南京信息工程大学。</w:t>
      </w:r>
    </w:p>
    <w:p>
      <w:pPr>
        <w:spacing w:line="500" w:lineRule="exact"/>
        <w:ind w:left="490" w:hanging="490" w:hangingChars="175"/>
        <w:rPr>
          <w:rFonts w:ascii="宋体" w:hAnsi="宋体" w:cs="宋体"/>
          <w:sz w:val="28"/>
          <w:szCs w:val="28"/>
          <w:highlight w:val="none"/>
        </w:rPr>
      </w:pPr>
      <w:r>
        <w:rPr>
          <w:rFonts w:hint="eastAsia" w:ascii="宋体" w:hAnsi="宋体" w:cs="宋体"/>
          <w:sz w:val="28"/>
          <w:szCs w:val="28"/>
          <w:highlight w:val="none"/>
        </w:rPr>
        <w:t>5、服务期限</w:t>
      </w:r>
    </w:p>
    <w:p>
      <w:pPr>
        <w:spacing w:line="500" w:lineRule="exact"/>
        <w:ind w:left="490" w:hanging="490" w:hangingChars="175"/>
        <w:rPr>
          <w:rFonts w:ascii="宋体" w:hAnsi="宋体" w:cs="宋体"/>
          <w:sz w:val="28"/>
          <w:szCs w:val="28"/>
          <w:highlight w:val="none"/>
        </w:rPr>
      </w:pPr>
      <w:r>
        <w:rPr>
          <w:rFonts w:hint="eastAsia" w:ascii="宋体" w:hAnsi="宋体" w:cs="宋体"/>
          <w:sz w:val="28"/>
          <w:szCs w:val="28"/>
          <w:highlight w:val="none"/>
        </w:rPr>
        <w:t xml:space="preserve">    本项目服务期限为2年。</w:t>
      </w:r>
    </w:p>
    <w:p>
      <w:pPr>
        <w:spacing w:line="500" w:lineRule="exact"/>
        <w:ind w:left="420" w:hanging="420" w:hangingChars="175"/>
        <w:rPr>
          <w:rFonts w:ascii="宋体" w:hAnsi="宋体" w:cs="宋体"/>
          <w:sz w:val="28"/>
          <w:szCs w:val="28"/>
          <w:highlight w:val="none"/>
        </w:rPr>
      </w:pPr>
      <w:r>
        <w:rPr>
          <w:rFonts w:hint="eastAsia" w:ascii="宋体" w:hAnsi="宋体"/>
          <w:bCs/>
          <w:sz w:val="24"/>
          <w:highlight w:val="none"/>
        </w:rPr>
        <w:t>▲</w:t>
      </w:r>
      <w:r>
        <w:rPr>
          <w:rFonts w:hint="eastAsia" w:ascii="宋体" w:hAnsi="宋体" w:cs="宋体"/>
          <w:sz w:val="28"/>
          <w:szCs w:val="28"/>
          <w:highlight w:val="none"/>
        </w:rPr>
        <w:t>6、服务响应时间</w:t>
      </w:r>
    </w:p>
    <w:p>
      <w:pPr>
        <w:spacing w:line="500" w:lineRule="exact"/>
        <w:ind w:firstLine="560" w:firstLineChars="200"/>
        <w:rPr>
          <w:rFonts w:ascii="宋体" w:hAnsi="宋体" w:cs="宋体"/>
          <w:sz w:val="28"/>
          <w:szCs w:val="28"/>
          <w:highlight w:val="none"/>
        </w:rPr>
      </w:pPr>
      <w:r>
        <w:rPr>
          <w:rFonts w:hint="eastAsia" w:ascii="宋体" w:hAnsi="宋体" w:cs="宋体"/>
          <w:sz w:val="28"/>
          <w:szCs w:val="28"/>
          <w:highlight w:val="none"/>
        </w:rPr>
        <w:t>校方发出的实验室废弃物转移通知后5个工作日内安排转运处置。如有临时转运任务，中标方需配合校方3日内安排转运处置，特殊情况随叫随到。</w:t>
      </w:r>
    </w:p>
    <w:p>
      <w:pPr>
        <w:spacing w:line="500" w:lineRule="exact"/>
        <w:ind w:left="490" w:hanging="490" w:hangingChars="175"/>
        <w:rPr>
          <w:rFonts w:ascii="宋体" w:hAnsi="宋体" w:cs="宋体"/>
          <w:sz w:val="28"/>
          <w:szCs w:val="28"/>
          <w:highlight w:val="none"/>
        </w:rPr>
      </w:pPr>
      <w:r>
        <w:rPr>
          <w:rFonts w:hint="eastAsia" w:ascii="宋体" w:hAnsi="宋体" w:cs="宋体"/>
          <w:sz w:val="28"/>
          <w:szCs w:val="28"/>
          <w:highlight w:val="none"/>
        </w:rPr>
        <w:t>7、付款方式</w:t>
      </w:r>
    </w:p>
    <w:p>
      <w:pPr>
        <w:spacing w:line="500" w:lineRule="exact"/>
        <w:ind w:firstLine="546" w:firstLineChars="195"/>
        <w:rPr>
          <w:rFonts w:ascii="宋体" w:hAnsi="宋体" w:cs="宋体"/>
          <w:sz w:val="28"/>
          <w:szCs w:val="28"/>
          <w:highlight w:val="none"/>
        </w:rPr>
      </w:pPr>
      <w:r>
        <w:rPr>
          <w:rFonts w:hint="eastAsia" w:ascii="宋体" w:hAnsi="宋体" w:cs="宋体"/>
          <w:sz w:val="28"/>
          <w:szCs w:val="28"/>
          <w:highlight w:val="none"/>
        </w:rPr>
        <w:t>实际费用以《危险废物转移联单》确定的危废种类、数量和中标单位所报处置单价为依据，每月根据实际转移情况结算，中标单位根据结算情况开具增值税发票，采购人自收到发票后 20 个工作日内付清。</w:t>
      </w:r>
    </w:p>
    <w:p>
      <w:pPr>
        <w:pStyle w:val="2"/>
        <w:rPr>
          <w:sz w:val="28"/>
          <w:szCs w:val="28"/>
          <w:highlight w:val="none"/>
          <w:lang w:val="zh-CN"/>
        </w:rPr>
      </w:pPr>
      <w:r>
        <w:rPr>
          <w:rFonts w:hint="eastAsia" w:ascii="宋体" w:eastAsia="宋体"/>
          <w:bCs/>
          <w:sz w:val="28"/>
          <w:szCs w:val="28"/>
          <w:highlight w:val="none"/>
        </w:rPr>
        <w:t>（本部分内容由南京信息工程大学实验室与设备管理处提供并负责）</w:t>
      </w: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1"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hAnsi="宋体"/>
          <w:sz w:val="28"/>
          <w:szCs w:val="28"/>
          <w:highlight w:val="none"/>
        </w:rPr>
      </w:pPr>
      <w:r>
        <w:rPr>
          <w:rFonts w:hint="eastAsia" w:ascii="宋体" w:hAnsi="宋体"/>
          <w:sz w:val="28"/>
          <w:szCs w:val="28"/>
          <w:highlight w:val="none"/>
        </w:rPr>
        <w:t>投标报价</w:t>
      </w:r>
    </w:p>
    <w:tbl>
      <w:tblPr>
        <w:tblStyle w:val="14"/>
        <w:tblW w:w="9435" w:type="dxa"/>
        <w:jc w:val="center"/>
        <w:tblLayout w:type="fixed"/>
        <w:tblCellMar>
          <w:top w:w="0" w:type="dxa"/>
          <w:left w:w="108" w:type="dxa"/>
          <w:bottom w:w="0" w:type="dxa"/>
          <w:right w:w="108" w:type="dxa"/>
        </w:tblCellMar>
      </w:tblPr>
      <w:tblGrid>
        <w:gridCol w:w="780"/>
        <w:gridCol w:w="3568"/>
        <w:gridCol w:w="868"/>
        <w:gridCol w:w="1058"/>
        <w:gridCol w:w="1396"/>
        <w:gridCol w:w="1765"/>
      </w:tblGrid>
      <w:tr>
        <w:tblPrEx>
          <w:tblCellMar>
            <w:top w:w="0" w:type="dxa"/>
            <w:left w:w="108" w:type="dxa"/>
            <w:bottom w:w="0" w:type="dxa"/>
            <w:right w:w="108" w:type="dxa"/>
          </w:tblCellMar>
        </w:tblPrEx>
        <w:trPr>
          <w:trHeight w:val="540"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Theme="majorEastAsia"/>
                <w:color w:val="000000"/>
                <w:kern w:val="0"/>
                <w:sz w:val="24"/>
                <w:highlight w:val="none"/>
              </w:rPr>
            </w:pPr>
            <w:r>
              <w:rPr>
                <w:rFonts w:eastAsiaTheme="majorEastAsia"/>
                <w:color w:val="000000"/>
                <w:kern w:val="0"/>
                <w:sz w:val="24"/>
                <w:highlight w:val="none"/>
              </w:rPr>
              <w:t>序号</w:t>
            </w:r>
          </w:p>
        </w:tc>
        <w:tc>
          <w:tcPr>
            <w:tcW w:w="3568" w:type="dxa"/>
            <w:tcBorders>
              <w:top w:val="single" w:color="auto" w:sz="4" w:space="0"/>
              <w:left w:val="nil"/>
              <w:bottom w:val="single" w:color="auto" w:sz="4" w:space="0"/>
              <w:right w:val="single" w:color="auto" w:sz="4" w:space="0"/>
            </w:tcBorders>
            <w:vAlign w:val="center"/>
          </w:tcPr>
          <w:p>
            <w:pPr>
              <w:widowControl/>
              <w:jc w:val="center"/>
              <w:rPr>
                <w:rFonts w:eastAsiaTheme="majorEastAsia"/>
                <w:color w:val="000000"/>
                <w:kern w:val="0"/>
                <w:sz w:val="24"/>
                <w:highlight w:val="none"/>
              </w:rPr>
            </w:pPr>
            <w:r>
              <w:rPr>
                <w:rFonts w:eastAsiaTheme="majorEastAsia"/>
                <w:color w:val="000000"/>
                <w:kern w:val="0"/>
                <w:sz w:val="24"/>
                <w:highlight w:val="none"/>
              </w:rPr>
              <w:t>项目</w:t>
            </w:r>
          </w:p>
        </w:tc>
        <w:tc>
          <w:tcPr>
            <w:tcW w:w="868" w:type="dxa"/>
            <w:tcBorders>
              <w:top w:val="single" w:color="auto" w:sz="4" w:space="0"/>
              <w:left w:val="nil"/>
              <w:bottom w:val="single" w:color="auto" w:sz="4" w:space="0"/>
              <w:right w:val="single" w:color="auto" w:sz="4" w:space="0"/>
            </w:tcBorders>
            <w:vAlign w:val="center"/>
          </w:tcPr>
          <w:p>
            <w:pPr>
              <w:widowControl/>
              <w:jc w:val="center"/>
              <w:rPr>
                <w:rFonts w:eastAsiaTheme="majorEastAsia"/>
                <w:color w:val="000000"/>
                <w:kern w:val="0"/>
                <w:sz w:val="24"/>
                <w:highlight w:val="none"/>
              </w:rPr>
            </w:pPr>
            <w:r>
              <w:rPr>
                <w:rFonts w:eastAsiaTheme="majorEastAsia"/>
                <w:color w:val="000000"/>
                <w:kern w:val="0"/>
                <w:sz w:val="24"/>
                <w:highlight w:val="none"/>
              </w:rPr>
              <w:t>单位</w:t>
            </w:r>
          </w:p>
        </w:tc>
        <w:tc>
          <w:tcPr>
            <w:tcW w:w="1058" w:type="dxa"/>
            <w:tcBorders>
              <w:top w:val="single" w:color="auto" w:sz="4" w:space="0"/>
              <w:left w:val="nil"/>
              <w:bottom w:val="single" w:color="auto" w:sz="4" w:space="0"/>
              <w:right w:val="single" w:color="auto" w:sz="4" w:space="0"/>
            </w:tcBorders>
            <w:vAlign w:val="center"/>
          </w:tcPr>
          <w:p>
            <w:pPr>
              <w:widowControl/>
              <w:jc w:val="center"/>
              <w:rPr>
                <w:rFonts w:eastAsiaTheme="majorEastAsia"/>
                <w:color w:val="000000"/>
                <w:kern w:val="0"/>
                <w:sz w:val="24"/>
                <w:highlight w:val="none"/>
              </w:rPr>
            </w:pPr>
            <w:r>
              <w:rPr>
                <w:rFonts w:eastAsiaTheme="majorEastAsia"/>
                <w:color w:val="000000"/>
                <w:kern w:val="0"/>
                <w:sz w:val="24"/>
                <w:highlight w:val="none"/>
              </w:rPr>
              <w:t>预估量</w:t>
            </w:r>
          </w:p>
        </w:tc>
        <w:tc>
          <w:tcPr>
            <w:tcW w:w="1396" w:type="dxa"/>
            <w:tcBorders>
              <w:top w:val="single" w:color="auto" w:sz="4" w:space="0"/>
              <w:left w:val="nil"/>
              <w:bottom w:val="single" w:color="auto" w:sz="4" w:space="0"/>
              <w:right w:val="single" w:color="auto" w:sz="4" w:space="0"/>
            </w:tcBorders>
            <w:vAlign w:val="center"/>
          </w:tcPr>
          <w:p>
            <w:pPr>
              <w:widowControl/>
              <w:jc w:val="center"/>
              <w:rPr>
                <w:rFonts w:eastAsiaTheme="majorEastAsia"/>
                <w:color w:val="000000"/>
                <w:kern w:val="0"/>
                <w:sz w:val="24"/>
                <w:highlight w:val="none"/>
              </w:rPr>
            </w:pPr>
            <w:r>
              <w:rPr>
                <w:rFonts w:eastAsiaTheme="majorEastAsia"/>
                <w:color w:val="000000"/>
                <w:kern w:val="0"/>
                <w:sz w:val="24"/>
                <w:highlight w:val="none"/>
              </w:rPr>
              <w:t>单价（元）</w:t>
            </w:r>
          </w:p>
        </w:tc>
        <w:tc>
          <w:tcPr>
            <w:tcW w:w="1765" w:type="dxa"/>
            <w:tcBorders>
              <w:top w:val="single" w:color="auto" w:sz="4" w:space="0"/>
              <w:left w:val="nil"/>
              <w:bottom w:val="single" w:color="auto" w:sz="4" w:space="0"/>
              <w:right w:val="single" w:color="auto" w:sz="4" w:space="0"/>
            </w:tcBorders>
            <w:vAlign w:val="center"/>
          </w:tcPr>
          <w:p>
            <w:pPr>
              <w:widowControl/>
              <w:jc w:val="center"/>
              <w:rPr>
                <w:color w:val="000000"/>
                <w:kern w:val="0"/>
                <w:sz w:val="24"/>
                <w:highlight w:val="none"/>
              </w:rPr>
            </w:pPr>
            <w:r>
              <w:rPr>
                <w:sz w:val="24"/>
                <w:highlight w:val="none"/>
              </w:rPr>
              <w:t>处置费（元）</w:t>
            </w:r>
          </w:p>
        </w:tc>
      </w:tr>
      <w:tr>
        <w:tblPrEx>
          <w:tblCellMar>
            <w:top w:w="0" w:type="dxa"/>
            <w:left w:w="108" w:type="dxa"/>
            <w:bottom w:w="0" w:type="dxa"/>
            <w:right w:w="108" w:type="dxa"/>
          </w:tblCellMar>
        </w:tblPrEx>
        <w:trPr>
          <w:trHeight w:val="518" w:hRule="atLeast"/>
          <w:jc w:val="center"/>
        </w:trPr>
        <w:tc>
          <w:tcPr>
            <w:tcW w:w="780"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1</w:t>
            </w:r>
          </w:p>
        </w:tc>
        <w:tc>
          <w:tcPr>
            <w:tcW w:w="3568" w:type="dxa"/>
            <w:tcBorders>
              <w:top w:val="nil"/>
              <w:left w:val="nil"/>
              <w:bottom w:val="single" w:color="auto" w:sz="4" w:space="0"/>
              <w:right w:val="single" w:color="auto" w:sz="4" w:space="0"/>
            </w:tcBorders>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实验室废液（900-047-49）</w:t>
            </w:r>
          </w:p>
        </w:tc>
        <w:tc>
          <w:tcPr>
            <w:tcW w:w="868"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吨</w:t>
            </w:r>
          </w:p>
        </w:tc>
        <w:tc>
          <w:tcPr>
            <w:tcW w:w="1058"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16</w:t>
            </w:r>
          </w:p>
        </w:tc>
        <w:tc>
          <w:tcPr>
            <w:tcW w:w="1396"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p>
        </w:tc>
        <w:tc>
          <w:tcPr>
            <w:tcW w:w="1765"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p>
        </w:tc>
      </w:tr>
      <w:tr>
        <w:tblPrEx>
          <w:tblCellMar>
            <w:top w:w="0" w:type="dxa"/>
            <w:left w:w="108" w:type="dxa"/>
            <w:bottom w:w="0" w:type="dxa"/>
            <w:right w:w="108" w:type="dxa"/>
          </w:tblCellMar>
        </w:tblPrEx>
        <w:trPr>
          <w:trHeight w:val="90" w:hRule="atLeast"/>
          <w:jc w:val="center"/>
        </w:trPr>
        <w:tc>
          <w:tcPr>
            <w:tcW w:w="780"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2</w:t>
            </w:r>
          </w:p>
        </w:tc>
        <w:tc>
          <w:tcPr>
            <w:tcW w:w="3568" w:type="dxa"/>
            <w:tcBorders>
              <w:top w:val="nil"/>
              <w:left w:val="nil"/>
              <w:bottom w:val="single" w:color="auto" w:sz="4" w:space="0"/>
              <w:right w:val="single" w:color="auto" w:sz="4" w:space="0"/>
            </w:tcBorders>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实验室空瓶（900-047-49）</w:t>
            </w:r>
          </w:p>
        </w:tc>
        <w:tc>
          <w:tcPr>
            <w:tcW w:w="868"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吨</w:t>
            </w:r>
          </w:p>
        </w:tc>
        <w:tc>
          <w:tcPr>
            <w:tcW w:w="1058"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8</w:t>
            </w:r>
          </w:p>
        </w:tc>
        <w:tc>
          <w:tcPr>
            <w:tcW w:w="1396"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p>
        </w:tc>
        <w:tc>
          <w:tcPr>
            <w:tcW w:w="1765"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p>
        </w:tc>
      </w:tr>
      <w:tr>
        <w:tblPrEx>
          <w:tblCellMar>
            <w:top w:w="0" w:type="dxa"/>
            <w:left w:w="108" w:type="dxa"/>
            <w:bottom w:w="0" w:type="dxa"/>
            <w:right w:w="108" w:type="dxa"/>
          </w:tblCellMar>
        </w:tblPrEx>
        <w:trPr>
          <w:trHeight w:val="570" w:hRule="atLeast"/>
          <w:jc w:val="center"/>
        </w:trPr>
        <w:tc>
          <w:tcPr>
            <w:tcW w:w="780"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3</w:t>
            </w:r>
          </w:p>
        </w:tc>
        <w:tc>
          <w:tcPr>
            <w:tcW w:w="3568" w:type="dxa"/>
            <w:tcBorders>
              <w:top w:val="nil"/>
              <w:left w:val="nil"/>
              <w:bottom w:val="single" w:color="auto" w:sz="4" w:space="0"/>
              <w:right w:val="single" w:color="auto" w:sz="4" w:space="0"/>
            </w:tcBorders>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固体废弃物（900-047-49）</w:t>
            </w:r>
          </w:p>
        </w:tc>
        <w:tc>
          <w:tcPr>
            <w:tcW w:w="868"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吨</w:t>
            </w:r>
          </w:p>
        </w:tc>
        <w:tc>
          <w:tcPr>
            <w:tcW w:w="1058"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10</w:t>
            </w:r>
          </w:p>
        </w:tc>
        <w:tc>
          <w:tcPr>
            <w:tcW w:w="1396"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p>
        </w:tc>
        <w:tc>
          <w:tcPr>
            <w:tcW w:w="1765"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p>
        </w:tc>
      </w:tr>
      <w:tr>
        <w:tblPrEx>
          <w:tblCellMar>
            <w:top w:w="0" w:type="dxa"/>
            <w:left w:w="108" w:type="dxa"/>
            <w:bottom w:w="0" w:type="dxa"/>
            <w:right w:w="108" w:type="dxa"/>
          </w:tblCellMar>
        </w:tblPrEx>
        <w:trPr>
          <w:trHeight w:val="570" w:hRule="atLeast"/>
          <w:jc w:val="center"/>
        </w:trPr>
        <w:tc>
          <w:tcPr>
            <w:tcW w:w="780"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4</w:t>
            </w:r>
          </w:p>
        </w:tc>
        <w:tc>
          <w:tcPr>
            <w:tcW w:w="3568" w:type="dxa"/>
            <w:tcBorders>
              <w:top w:val="nil"/>
              <w:left w:val="nil"/>
              <w:bottom w:val="single" w:color="auto" w:sz="4" w:space="0"/>
              <w:right w:val="single" w:color="auto" w:sz="4" w:space="0"/>
            </w:tcBorders>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实验室废胶（900-047-49）</w:t>
            </w:r>
          </w:p>
        </w:tc>
        <w:tc>
          <w:tcPr>
            <w:tcW w:w="868"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吨</w:t>
            </w:r>
          </w:p>
        </w:tc>
        <w:tc>
          <w:tcPr>
            <w:tcW w:w="1058"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2</w:t>
            </w:r>
          </w:p>
        </w:tc>
        <w:tc>
          <w:tcPr>
            <w:tcW w:w="1396"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p>
        </w:tc>
        <w:tc>
          <w:tcPr>
            <w:tcW w:w="1765"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p>
        </w:tc>
      </w:tr>
      <w:tr>
        <w:tblPrEx>
          <w:tblCellMar>
            <w:top w:w="0" w:type="dxa"/>
            <w:left w:w="108" w:type="dxa"/>
            <w:bottom w:w="0" w:type="dxa"/>
            <w:right w:w="108" w:type="dxa"/>
          </w:tblCellMar>
        </w:tblPrEx>
        <w:trPr>
          <w:trHeight w:val="570" w:hRule="atLeast"/>
          <w:jc w:val="center"/>
        </w:trPr>
        <w:tc>
          <w:tcPr>
            <w:tcW w:w="780"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5</w:t>
            </w:r>
          </w:p>
        </w:tc>
        <w:tc>
          <w:tcPr>
            <w:tcW w:w="3568" w:type="dxa"/>
            <w:tcBorders>
              <w:top w:val="nil"/>
              <w:left w:val="nil"/>
              <w:bottom w:val="single" w:color="auto" w:sz="4" w:space="0"/>
              <w:right w:val="single" w:color="auto" w:sz="4" w:space="0"/>
            </w:tcBorders>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实验室废土（900-047-49）</w:t>
            </w:r>
          </w:p>
        </w:tc>
        <w:tc>
          <w:tcPr>
            <w:tcW w:w="868"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吨</w:t>
            </w:r>
          </w:p>
        </w:tc>
        <w:tc>
          <w:tcPr>
            <w:tcW w:w="1058"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2</w:t>
            </w:r>
          </w:p>
        </w:tc>
        <w:tc>
          <w:tcPr>
            <w:tcW w:w="1396"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p>
        </w:tc>
        <w:tc>
          <w:tcPr>
            <w:tcW w:w="1765"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p>
        </w:tc>
      </w:tr>
      <w:tr>
        <w:tblPrEx>
          <w:tblCellMar>
            <w:top w:w="0" w:type="dxa"/>
            <w:left w:w="108" w:type="dxa"/>
            <w:bottom w:w="0" w:type="dxa"/>
            <w:right w:w="108" w:type="dxa"/>
          </w:tblCellMar>
        </w:tblPrEx>
        <w:trPr>
          <w:trHeight w:val="570" w:hRule="atLeast"/>
          <w:jc w:val="center"/>
        </w:trPr>
        <w:tc>
          <w:tcPr>
            <w:tcW w:w="780"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6</w:t>
            </w:r>
          </w:p>
        </w:tc>
        <w:tc>
          <w:tcPr>
            <w:tcW w:w="3568" w:type="dxa"/>
            <w:tcBorders>
              <w:top w:val="nil"/>
              <w:left w:val="nil"/>
              <w:bottom w:val="single" w:color="auto" w:sz="4" w:space="0"/>
              <w:right w:val="single" w:color="auto" w:sz="4" w:space="0"/>
            </w:tcBorders>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实验室活性炭（900-039-49）</w:t>
            </w:r>
          </w:p>
        </w:tc>
        <w:tc>
          <w:tcPr>
            <w:tcW w:w="868"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吨</w:t>
            </w:r>
          </w:p>
        </w:tc>
        <w:tc>
          <w:tcPr>
            <w:tcW w:w="1058"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2</w:t>
            </w:r>
          </w:p>
        </w:tc>
        <w:tc>
          <w:tcPr>
            <w:tcW w:w="1396"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p>
        </w:tc>
        <w:tc>
          <w:tcPr>
            <w:tcW w:w="1765" w:type="dxa"/>
            <w:tcBorders>
              <w:top w:val="nil"/>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p>
        </w:tc>
      </w:tr>
      <w:tr>
        <w:tblPrEx>
          <w:tblCellMar>
            <w:top w:w="0" w:type="dxa"/>
            <w:left w:w="108" w:type="dxa"/>
            <w:bottom w:w="0" w:type="dxa"/>
            <w:right w:w="108" w:type="dxa"/>
          </w:tblCellMar>
        </w:tblPrEx>
        <w:trPr>
          <w:trHeight w:val="269" w:hRule="atLeast"/>
          <w:jc w:val="center"/>
        </w:trPr>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7</w:t>
            </w:r>
          </w:p>
        </w:tc>
        <w:tc>
          <w:tcPr>
            <w:tcW w:w="356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过期试剂(不含剧毒类、含汞类、爆炸类、民爆类)（900-999-49）</w:t>
            </w:r>
          </w:p>
        </w:tc>
        <w:tc>
          <w:tcPr>
            <w:tcW w:w="868" w:type="dxa"/>
            <w:tcBorders>
              <w:top w:val="single" w:color="auto" w:sz="4" w:space="0"/>
              <w:left w:val="single" w:color="auto" w:sz="4" w:space="0"/>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吨</w:t>
            </w:r>
          </w:p>
        </w:tc>
        <w:tc>
          <w:tcPr>
            <w:tcW w:w="1058" w:type="dxa"/>
            <w:tcBorders>
              <w:top w:val="single" w:color="auto" w:sz="4" w:space="0"/>
              <w:left w:val="single" w:color="auto" w:sz="4" w:space="0"/>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2</w:t>
            </w:r>
          </w:p>
        </w:tc>
        <w:tc>
          <w:tcPr>
            <w:tcW w:w="1396" w:type="dxa"/>
            <w:tcBorders>
              <w:top w:val="single" w:color="auto" w:sz="4" w:space="0"/>
              <w:left w:val="single" w:color="auto" w:sz="4" w:space="0"/>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p>
        </w:tc>
        <w:tc>
          <w:tcPr>
            <w:tcW w:w="1765" w:type="dxa"/>
            <w:tcBorders>
              <w:top w:val="single" w:color="auto" w:sz="4" w:space="0"/>
              <w:left w:val="single" w:color="auto" w:sz="4" w:space="0"/>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p>
        </w:tc>
      </w:tr>
      <w:tr>
        <w:tblPrEx>
          <w:tblCellMar>
            <w:top w:w="0" w:type="dxa"/>
            <w:left w:w="108" w:type="dxa"/>
            <w:bottom w:w="0" w:type="dxa"/>
            <w:right w:w="108" w:type="dxa"/>
          </w:tblCellMar>
        </w:tblPrEx>
        <w:trPr>
          <w:trHeight w:val="551" w:hRule="atLeast"/>
          <w:jc w:val="center"/>
        </w:trPr>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8</w:t>
            </w:r>
          </w:p>
        </w:tc>
        <w:tc>
          <w:tcPr>
            <w:tcW w:w="3568"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含汞类过期试剂（900-999-49）</w:t>
            </w:r>
          </w:p>
        </w:tc>
        <w:tc>
          <w:tcPr>
            <w:tcW w:w="868" w:type="dxa"/>
            <w:tcBorders>
              <w:top w:val="single" w:color="auto" w:sz="4" w:space="0"/>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公斤</w:t>
            </w:r>
          </w:p>
        </w:tc>
        <w:tc>
          <w:tcPr>
            <w:tcW w:w="1058" w:type="dxa"/>
            <w:tcBorders>
              <w:top w:val="single" w:color="auto" w:sz="4" w:space="0"/>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r>
              <w:rPr>
                <w:rFonts w:eastAsiaTheme="majorEastAsia"/>
                <w:color w:val="000000"/>
                <w:kern w:val="0"/>
                <w:sz w:val="24"/>
                <w:highlight w:val="none"/>
              </w:rPr>
              <w:t>5</w:t>
            </w:r>
          </w:p>
        </w:tc>
        <w:tc>
          <w:tcPr>
            <w:tcW w:w="1396" w:type="dxa"/>
            <w:tcBorders>
              <w:top w:val="single" w:color="auto" w:sz="4" w:space="0"/>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p>
        </w:tc>
        <w:tc>
          <w:tcPr>
            <w:tcW w:w="1765" w:type="dxa"/>
            <w:tcBorders>
              <w:top w:val="single" w:color="auto" w:sz="4" w:space="0"/>
              <w:left w:val="nil"/>
              <w:bottom w:val="single" w:color="auto" w:sz="4" w:space="0"/>
              <w:right w:val="single" w:color="auto" w:sz="4" w:space="0"/>
            </w:tcBorders>
            <w:noWrap/>
            <w:vAlign w:val="center"/>
          </w:tcPr>
          <w:p>
            <w:pPr>
              <w:widowControl/>
              <w:spacing w:line="500" w:lineRule="exact"/>
              <w:jc w:val="center"/>
              <w:rPr>
                <w:rFonts w:eastAsiaTheme="majorEastAsia"/>
                <w:color w:val="000000"/>
                <w:kern w:val="0"/>
                <w:sz w:val="24"/>
                <w:highlight w:val="none"/>
              </w:rPr>
            </w:pPr>
          </w:p>
        </w:tc>
      </w:tr>
      <w:tr>
        <w:tblPrEx>
          <w:tblCellMar>
            <w:top w:w="0" w:type="dxa"/>
            <w:left w:w="108" w:type="dxa"/>
            <w:bottom w:w="0" w:type="dxa"/>
            <w:right w:w="108" w:type="dxa"/>
          </w:tblCellMar>
        </w:tblPrEx>
        <w:trPr>
          <w:trHeight w:val="590" w:hRule="atLeast"/>
          <w:jc w:val="center"/>
        </w:trPr>
        <w:tc>
          <w:tcPr>
            <w:tcW w:w="434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00" w:lineRule="exact"/>
              <w:jc w:val="center"/>
              <w:rPr>
                <w:rFonts w:asciiTheme="majorEastAsia" w:hAnsiTheme="majorEastAsia" w:eastAsiaTheme="majorEastAsia" w:cstheme="majorEastAsia"/>
                <w:color w:val="000000"/>
                <w:kern w:val="0"/>
                <w:sz w:val="22"/>
                <w:szCs w:val="22"/>
                <w:highlight w:val="none"/>
              </w:rPr>
            </w:pPr>
            <w:r>
              <w:rPr>
                <w:rFonts w:hint="eastAsia" w:ascii="宋体" w:hAnsi="宋体" w:cs="宋体"/>
                <w:sz w:val="22"/>
                <w:szCs w:val="22"/>
                <w:highlight w:val="none"/>
              </w:rPr>
              <w:t>总报价：</w:t>
            </w:r>
          </w:p>
        </w:tc>
        <w:tc>
          <w:tcPr>
            <w:tcW w:w="5087" w:type="dxa"/>
            <w:gridSpan w:val="4"/>
            <w:tcBorders>
              <w:top w:val="single" w:color="auto" w:sz="4" w:space="0"/>
              <w:left w:val="nil"/>
              <w:bottom w:val="single" w:color="auto" w:sz="4" w:space="0"/>
              <w:right w:val="single" w:color="auto" w:sz="4" w:space="0"/>
            </w:tcBorders>
            <w:noWrap/>
            <w:vAlign w:val="center"/>
          </w:tcPr>
          <w:p>
            <w:pPr>
              <w:widowControl/>
              <w:spacing w:line="500" w:lineRule="exact"/>
              <w:rPr>
                <w:rFonts w:asciiTheme="majorEastAsia" w:hAnsiTheme="majorEastAsia" w:eastAsiaTheme="majorEastAsia" w:cstheme="majorEastAsia"/>
                <w:color w:val="000000"/>
                <w:kern w:val="0"/>
                <w:sz w:val="22"/>
                <w:szCs w:val="22"/>
                <w:highlight w:val="none"/>
              </w:rPr>
            </w:pPr>
            <w:r>
              <w:rPr>
                <w:rFonts w:hint="eastAsia" w:ascii="宋体" w:hAnsi="宋体"/>
                <w:sz w:val="24"/>
                <w:highlight w:val="none"/>
              </w:rPr>
              <w:t>大写：                  小写：   元</w:t>
            </w:r>
          </w:p>
        </w:tc>
      </w:tr>
    </w:tbl>
    <w:p>
      <w:pPr>
        <w:spacing w:line="360" w:lineRule="auto"/>
        <w:rPr>
          <w:rFonts w:ascii="宋体"/>
          <w:sz w:val="24"/>
          <w:highlight w:val="none"/>
        </w:rPr>
      </w:pPr>
      <w:r>
        <w:rPr>
          <w:rFonts w:hint="eastAsia" w:ascii="宋体" w:hAnsi="宋体"/>
          <w:sz w:val="24"/>
          <w:highlight w:val="none"/>
        </w:rPr>
        <w:t>（可续页）</w:t>
      </w:r>
    </w:p>
    <w:p>
      <w:pPr>
        <w:spacing w:line="360" w:lineRule="auto"/>
        <w:rPr>
          <w:rFonts w:ascii="宋体"/>
          <w:sz w:val="24"/>
          <w:highlight w:val="none"/>
          <w:u w:val="single"/>
        </w:rPr>
      </w:pPr>
      <w:r>
        <w:rPr>
          <w:rFonts w:hint="eastAsia" w:ascii="宋体" w:hAnsi="宋体"/>
          <w:sz w:val="24"/>
          <w:highlight w:val="none"/>
        </w:rPr>
        <w:t>单位盖章：</w:t>
      </w:r>
    </w:p>
    <w:p>
      <w:pPr>
        <w:spacing w:line="360" w:lineRule="auto"/>
        <w:rPr>
          <w:rFonts w:ascii="宋体"/>
          <w:sz w:val="24"/>
          <w:highlight w:val="none"/>
          <w:u w:val="single"/>
        </w:rPr>
      </w:pPr>
      <w:r>
        <w:rPr>
          <w:rFonts w:hint="eastAsia" w:ascii="宋体" w:hAnsi="宋体"/>
          <w:sz w:val="24"/>
          <w:highlight w:val="none"/>
        </w:rPr>
        <w:t>授权代表签字：</w:t>
      </w:r>
    </w:p>
    <w:p>
      <w:pPr>
        <w:spacing w:line="360" w:lineRule="auto"/>
        <w:jc w:val="center"/>
        <w:rPr>
          <w:rFonts w:ascii="宋体"/>
          <w:sz w:val="24"/>
          <w:highlight w:val="none"/>
        </w:rPr>
      </w:pPr>
      <w:r>
        <w:rPr>
          <w:rFonts w:hint="eastAsia" w:ascii="宋体" w:hAnsi="宋体"/>
          <w:sz w:val="24"/>
          <w:highlight w:val="none"/>
        </w:rPr>
        <w:t xml:space="preserve">                                             年  月  日</w:t>
      </w:r>
    </w:p>
    <w:p>
      <w:pPr>
        <w:rPr>
          <w:rFonts w:ascii="宋体" w:hAnsi="宋体"/>
          <w:sz w:val="22"/>
          <w:szCs w:val="22"/>
          <w:highlight w:val="none"/>
        </w:rPr>
      </w:pPr>
    </w:p>
    <w:p>
      <w:pPr>
        <w:rPr>
          <w:rFonts w:ascii="宋体" w:hAnsi="宋体"/>
          <w:sz w:val="22"/>
          <w:szCs w:val="22"/>
          <w:highlight w:val="none"/>
        </w:rPr>
      </w:pPr>
      <w:r>
        <w:rPr>
          <w:rFonts w:hint="eastAsia" w:ascii="宋体" w:hAnsi="宋体"/>
          <w:sz w:val="22"/>
          <w:szCs w:val="22"/>
          <w:highlight w:val="none"/>
        </w:rPr>
        <w:t>填写说明：</w:t>
      </w:r>
    </w:p>
    <w:p>
      <w:pPr>
        <w:ind w:firstLine="440" w:firstLineChars="200"/>
        <w:rPr>
          <w:rFonts w:ascii="宋体" w:hAnsi="宋体"/>
          <w:sz w:val="22"/>
          <w:szCs w:val="22"/>
          <w:highlight w:val="none"/>
        </w:rPr>
      </w:pPr>
      <w:r>
        <w:rPr>
          <w:rFonts w:hint="eastAsia" w:ascii="宋体" w:hAnsi="宋体"/>
          <w:sz w:val="22"/>
          <w:szCs w:val="22"/>
          <w:highlight w:val="none"/>
        </w:rPr>
        <w:t>报价应将设备费、耗材费（按需配备的实验室废液桶、纸箱、托盘、防渗漏编织袋、防渗漏吨袋、实验室废弃物标贴、废弃物专用垃圾袋、危废库规范化展板、实验室危废标识、工作服、劳保鞋、手套等）、服务费、代理费、运输费、上下力费、人工费、检测费、安装费、运输费、调试费、安装辅材、相关调换费用、质保后续服务、管理费、合理利润、国家相关税费（含关税）及其他所有费用包含在内。一旦中标后，所发生的一切费用，无论投标供应商是否在报价中列出相关明细报价，采购人均认为其价格已含在报价中，不得以任何理由向采购人提出增加费用的要求，且不能影响服务质量。</w:t>
      </w:r>
    </w:p>
    <w:bookmarkEnd w:id="9"/>
    <w:bookmarkEnd w:id="11"/>
    <w:p>
      <w:pPr>
        <w:jc w:val="left"/>
        <w:rPr>
          <w:b/>
          <w:sz w:val="28"/>
          <w:szCs w:val="28"/>
          <w:highlight w:val="none"/>
        </w:rPr>
      </w:pPr>
    </w:p>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r>
        <w:rPr>
          <w:rFonts w:hint="eastAsia" w:ascii="宋体" w:hAnsi="宋体" w:cs="宋体"/>
          <w:b/>
          <w:bCs/>
          <w:sz w:val="24"/>
          <w:highlight w:val="none"/>
        </w:rPr>
        <w:t>（提供加盖公章的承诺书）</w:t>
      </w:r>
    </w:p>
    <w:p>
      <w:pPr>
        <w:pStyle w:val="8"/>
        <w:ind w:left="0" w:leftChars="0"/>
        <w:rPr>
          <w:highlight w:val="none"/>
        </w:rPr>
      </w:pPr>
    </w:p>
    <w:p>
      <w:pPr>
        <w:pStyle w:val="7"/>
        <w:ind w:left="0" w:leftChars="0" w:right="126" w:rightChars="60" w:firstLine="560" w:firstLineChars="200"/>
        <w:rPr>
          <w:rFonts w:ascii="宋体" w:hAnsi="宋体"/>
          <w:sz w:val="28"/>
          <w:szCs w:val="28"/>
          <w:highlight w:val="none"/>
        </w:rPr>
      </w:pPr>
      <w:r>
        <w:rPr>
          <w:rFonts w:hint="eastAsia" w:ascii="宋体" w:hAnsi="宋体"/>
          <w:sz w:val="28"/>
          <w:szCs w:val="28"/>
          <w:highlight w:val="none"/>
        </w:rPr>
        <w:t>根据国家以及江苏省生态环境厅制定的有关实验室危险废弃物转移处置管理办法，供应商合法合规对南京信息工程大学实验室危险废弃物进行上门收集、转移、运输并处置完毕的全过程服务。</w:t>
      </w:r>
    </w:p>
    <w:p>
      <w:pPr>
        <w:pStyle w:val="7"/>
        <w:ind w:left="0" w:leftChars="0" w:right="126" w:rightChars="60" w:firstLine="560" w:firstLineChars="200"/>
        <w:rPr>
          <w:rFonts w:ascii="宋体" w:hAnsi="宋体"/>
          <w:sz w:val="28"/>
          <w:szCs w:val="28"/>
          <w:highlight w:val="none"/>
        </w:rPr>
      </w:pPr>
      <w:r>
        <w:rPr>
          <w:rFonts w:hint="eastAsia" w:ascii="宋体" w:hAnsi="宋体"/>
          <w:sz w:val="28"/>
          <w:szCs w:val="28"/>
          <w:highlight w:val="none"/>
        </w:rPr>
        <w:t>服务方在服务过程中需保障作业场地清洁符合环境、卫生管理的有关规定，做到工完料尽场地清。服务全过程中不得产生二次污染，不得产生安全、环保等问题。如因服务方过错引起安全、环保等事故，或被政府相关部门处罚等情况，由中标单位承担全部责任。服务方在作业过程中发生安全事故造成服务方人员或因服务方原因造成采购方或第三方人员伤亡，由中标单位承担全部责任。服务方作业往返人员及车辆注意交通安全，任何事故由中标单位承担。</w:t>
      </w:r>
    </w:p>
    <w:p>
      <w:pPr>
        <w:pStyle w:val="7"/>
        <w:ind w:left="0" w:leftChars="0" w:right="126" w:rightChars="60" w:firstLine="560" w:firstLineChars="200"/>
        <w:rPr>
          <w:rFonts w:ascii="宋体" w:hAnsi="宋体"/>
          <w:sz w:val="28"/>
          <w:szCs w:val="28"/>
          <w:highlight w:val="none"/>
        </w:rPr>
      </w:pPr>
      <w:r>
        <w:rPr>
          <w:rFonts w:hint="eastAsia" w:ascii="宋体" w:hAnsi="宋体"/>
          <w:sz w:val="28"/>
          <w:szCs w:val="28"/>
          <w:highlight w:val="none"/>
        </w:rPr>
        <w:t>进行运输、搬运等操作，应严格执行安监、环保等部门有关规定，履行相关要求，做到合法合规。装车时应服从学校管理，遵循学校相关规章制度，确保安全清运。如因服务方过错引起安全或环保等事故，导致人身伤亡和财产损失，中标单位承担全部责任。</w:t>
      </w:r>
    </w:p>
    <w:p>
      <w:pPr>
        <w:pStyle w:val="7"/>
        <w:ind w:left="0" w:leftChars="0" w:right="126" w:rightChars="60" w:firstLine="560" w:firstLineChars="200"/>
        <w:rPr>
          <w:rFonts w:ascii="宋体" w:hAnsi="宋体"/>
          <w:sz w:val="28"/>
          <w:szCs w:val="28"/>
          <w:highlight w:val="none"/>
        </w:rPr>
      </w:pPr>
      <w:r>
        <w:rPr>
          <w:rFonts w:hint="eastAsia" w:ascii="宋体" w:hAnsi="宋体"/>
          <w:sz w:val="28"/>
          <w:szCs w:val="28"/>
          <w:highlight w:val="none"/>
        </w:rPr>
        <w:t>所有实验室废弃物需由有资质的实验室废弃物处置单位处理，如因服务方过错引起安全或环保等事故，导致损失，中标单位承担全部责任。</w:t>
      </w:r>
    </w:p>
    <w:p>
      <w:pPr>
        <w:pStyle w:val="7"/>
        <w:ind w:left="1470" w:right="1470"/>
        <w:rPr>
          <w:rFonts w:ascii="宋体" w:hAnsi="宋体" w:cs="仿宋"/>
          <w:b/>
          <w:bCs/>
          <w:sz w:val="28"/>
          <w:szCs w:val="28"/>
          <w:highlight w:val="none"/>
        </w:rPr>
      </w:pPr>
    </w:p>
    <w:p>
      <w:pPr>
        <w:pStyle w:val="7"/>
        <w:ind w:left="1470" w:right="1470"/>
        <w:rPr>
          <w:rFonts w:ascii="宋体" w:hAnsi="宋体" w:cs="仿宋"/>
          <w:b/>
          <w:bCs/>
          <w:sz w:val="28"/>
          <w:szCs w:val="28"/>
          <w:highlight w:val="none"/>
        </w:rPr>
      </w:pPr>
    </w:p>
    <w:p>
      <w:pPr>
        <w:pStyle w:val="7"/>
        <w:ind w:left="1470" w:right="1470"/>
        <w:rPr>
          <w:rFonts w:ascii="宋体" w:hAnsi="宋体" w:cs="仿宋"/>
          <w:b/>
          <w:bCs/>
          <w:sz w:val="28"/>
          <w:szCs w:val="28"/>
          <w:highlight w:val="none"/>
        </w:rPr>
      </w:pPr>
    </w:p>
    <w:p>
      <w:pPr>
        <w:pStyle w:val="7"/>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ind w:firstLine="560" w:firstLineChars="200"/>
        <w:rPr>
          <w:sz w:val="28"/>
          <w:szCs w:val="28"/>
          <w:highlight w:val="none"/>
        </w:rPr>
      </w:pPr>
      <w:r>
        <w:rPr>
          <w:rFonts w:hint="eastAsia" w:ascii="宋体" w:hAnsi="宋体"/>
          <w:sz w:val="28"/>
          <w:szCs w:val="28"/>
          <w:highlight w:val="none"/>
        </w:rPr>
        <w:t>本项目采用综合评分法，总分为：</w:t>
      </w:r>
      <w:r>
        <w:rPr>
          <w:rFonts w:ascii="宋体" w:hAnsi="宋体"/>
          <w:sz w:val="28"/>
          <w:szCs w:val="28"/>
          <w:highlight w:val="none"/>
        </w:rPr>
        <w:t>100</w:t>
      </w:r>
      <w:r>
        <w:rPr>
          <w:rFonts w:hint="eastAsia" w:ascii="宋体" w:hAnsi="宋体"/>
          <w:sz w:val="28"/>
          <w:szCs w:val="28"/>
          <w:highlight w:val="none"/>
        </w:rPr>
        <w:t>分。</w:t>
      </w:r>
    </w:p>
    <w:tbl>
      <w:tblPr>
        <w:tblStyle w:val="14"/>
        <w:tblpPr w:leftFromText="180" w:rightFromText="180" w:vertAnchor="text" w:horzAnchor="page" w:tblpX="1174" w:tblpY="1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0"/>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0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color w:val="000000"/>
                <w:sz w:val="24"/>
                <w:szCs w:val="32"/>
                <w:highlight w:val="none"/>
              </w:rPr>
            </w:pPr>
            <w:r>
              <w:rPr>
                <w:rFonts w:hint="eastAsia" w:ascii="宋体" w:hAnsi="宋体"/>
                <w:color w:val="000000"/>
                <w:sz w:val="24"/>
                <w:szCs w:val="32"/>
                <w:highlight w:val="none"/>
              </w:rPr>
              <w:t>项  目</w:t>
            </w:r>
          </w:p>
        </w:tc>
        <w:tc>
          <w:tcPr>
            <w:tcW w:w="409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color w:val="000000"/>
                <w:sz w:val="24"/>
                <w:szCs w:val="32"/>
                <w:highlight w:val="none"/>
              </w:rPr>
            </w:pPr>
            <w:r>
              <w:rPr>
                <w:rFonts w:hint="eastAsia" w:ascii="宋体" w:hAnsi="宋体"/>
                <w:color w:val="000000"/>
                <w:sz w:val="24"/>
                <w:szCs w:val="32"/>
                <w:highlight w:val="none"/>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07"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highlight w:val="none"/>
              </w:rPr>
            </w:pPr>
            <w:r>
              <w:rPr>
                <w:rFonts w:hint="eastAsia" w:ascii="宋体" w:hAnsi="宋体"/>
                <w:sz w:val="24"/>
                <w:highlight w:val="none"/>
              </w:rPr>
              <w:t>价格</w:t>
            </w:r>
          </w:p>
          <w:p>
            <w:pPr>
              <w:spacing w:line="500" w:lineRule="exact"/>
              <w:jc w:val="center"/>
              <w:rPr>
                <w:sz w:val="24"/>
                <w:highlight w:val="none"/>
              </w:rPr>
            </w:pPr>
            <w:r>
              <w:rPr>
                <w:rFonts w:hint="eastAsia" w:ascii="宋体" w:hAnsi="宋体"/>
                <w:sz w:val="24"/>
                <w:highlight w:val="none"/>
              </w:rPr>
              <w:t>（30分）</w:t>
            </w:r>
          </w:p>
        </w:tc>
        <w:tc>
          <w:tcPr>
            <w:tcW w:w="4092" w:type="pct"/>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jc w:val="left"/>
              <w:rPr>
                <w:sz w:val="24"/>
                <w:highlight w:val="none"/>
              </w:rPr>
            </w:pPr>
            <w:r>
              <w:rPr>
                <w:rFonts w:hint="eastAsia" w:ascii="宋体" w:hAnsi="宋体"/>
                <w:sz w:val="24"/>
                <w:highlight w:val="none"/>
              </w:rPr>
              <w:t>以有效投标文件的最低报价的作为评标基准价。投标报价得分=（评标基准价/投标报价）X分值（得分保留到小数点后一位）。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07" w:type="pct"/>
            <w:tcBorders>
              <w:left w:val="single" w:color="auto" w:sz="4" w:space="0"/>
              <w:right w:val="single" w:color="auto" w:sz="4" w:space="0"/>
            </w:tcBorders>
            <w:vAlign w:val="center"/>
          </w:tcPr>
          <w:p>
            <w:pPr>
              <w:spacing w:line="500" w:lineRule="exact"/>
              <w:jc w:val="center"/>
              <w:rPr>
                <w:rFonts w:ascii="宋体" w:hAnsi="宋体"/>
                <w:bCs/>
                <w:sz w:val="24"/>
                <w:highlight w:val="none"/>
              </w:rPr>
            </w:pPr>
            <w:r>
              <w:rPr>
                <w:rFonts w:hint="eastAsia" w:ascii="宋体" w:hAnsi="宋体"/>
                <w:bCs/>
                <w:sz w:val="24"/>
                <w:highlight w:val="none"/>
              </w:rPr>
              <w:t>项目人员实力</w:t>
            </w:r>
          </w:p>
          <w:p>
            <w:pPr>
              <w:spacing w:line="500" w:lineRule="exact"/>
              <w:jc w:val="center"/>
              <w:rPr>
                <w:rFonts w:ascii="宋体" w:hAnsi="宋体"/>
                <w:bCs/>
                <w:sz w:val="24"/>
                <w:highlight w:val="none"/>
              </w:rPr>
            </w:pPr>
            <w:r>
              <w:rPr>
                <w:rFonts w:hint="eastAsia" w:ascii="宋体" w:hAnsi="宋体"/>
                <w:bCs/>
                <w:sz w:val="24"/>
                <w:highlight w:val="none"/>
              </w:rPr>
              <w:t>（</w:t>
            </w:r>
            <w:r>
              <w:rPr>
                <w:rFonts w:ascii="宋体" w:hAnsi="宋体"/>
                <w:bCs/>
                <w:sz w:val="24"/>
                <w:highlight w:val="none"/>
              </w:rPr>
              <w:t>6</w:t>
            </w:r>
            <w:r>
              <w:rPr>
                <w:rFonts w:hint="eastAsia" w:ascii="宋体" w:hAnsi="宋体"/>
                <w:bCs/>
                <w:sz w:val="24"/>
                <w:highlight w:val="none"/>
              </w:rPr>
              <w:t>分）</w:t>
            </w:r>
          </w:p>
        </w:tc>
        <w:tc>
          <w:tcPr>
            <w:tcW w:w="4092" w:type="pct"/>
            <w:tcBorders>
              <w:top w:val="single" w:color="auto" w:sz="4" w:space="0"/>
              <w:left w:val="single" w:color="auto" w:sz="4" w:space="0"/>
              <w:right w:val="single" w:color="auto" w:sz="4" w:space="0"/>
            </w:tcBorders>
            <w:vAlign w:val="center"/>
          </w:tcPr>
          <w:p>
            <w:pPr>
              <w:spacing w:line="500" w:lineRule="exact"/>
              <w:ind w:firstLine="480" w:firstLineChars="200"/>
              <w:jc w:val="left"/>
              <w:rPr>
                <w:sz w:val="24"/>
                <w:highlight w:val="none"/>
              </w:rPr>
            </w:pPr>
            <w:r>
              <w:rPr>
                <w:rFonts w:hint="eastAsia" w:ascii="宋体" w:hAnsi="宋体"/>
                <w:bCs/>
                <w:sz w:val="24"/>
                <w:highlight w:val="none"/>
              </w:rPr>
              <w:t>1.服务本项目的项目成员（含项目负责人）具有环境工程相关专业</w:t>
            </w:r>
            <w:r>
              <w:rPr>
                <w:rFonts w:hint="eastAsia" w:ascii="宋体" w:hAnsi="宋体"/>
                <w:b/>
                <w:sz w:val="24"/>
                <w:highlight w:val="none"/>
              </w:rPr>
              <w:t>高级及以上技术职称</w:t>
            </w:r>
            <w:r>
              <w:rPr>
                <w:rFonts w:hint="eastAsia" w:ascii="宋体" w:hAnsi="宋体"/>
                <w:bCs/>
                <w:sz w:val="24"/>
                <w:highlight w:val="none"/>
              </w:rPr>
              <w:t>的。每提供一份得1分，最多得2分</w:t>
            </w:r>
            <w:r>
              <w:rPr>
                <w:rFonts w:hint="eastAsia"/>
                <w:sz w:val="24"/>
                <w:highlight w:val="none"/>
              </w:rPr>
              <w:t>（提供职称证书复印件及供应商为其缴纳社保的证明材料复印件加盖供应商公章，）</w:t>
            </w:r>
          </w:p>
          <w:p>
            <w:pPr>
              <w:spacing w:line="500" w:lineRule="exact"/>
              <w:ind w:firstLine="480" w:firstLineChars="200"/>
              <w:jc w:val="left"/>
              <w:rPr>
                <w:sz w:val="24"/>
                <w:highlight w:val="none"/>
              </w:rPr>
            </w:pPr>
            <w:r>
              <w:rPr>
                <w:rFonts w:hint="eastAsia" w:ascii="宋体" w:hAnsi="宋体"/>
                <w:bCs/>
                <w:sz w:val="24"/>
                <w:highlight w:val="none"/>
              </w:rPr>
              <w:t>2.服务本项目的项目成员（含项目负责人）具有行政主管部门颁发的资格证书</w:t>
            </w:r>
            <w:r>
              <w:rPr>
                <w:rFonts w:hint="eastAsia" w:ascii="宋体" w:hAnsi="宋体"/>
                <w:b/>
                <w:sz w:val="24"/>
                <w:highlight w:val="none"/>
              </w:rPr>
              <w:t>注册环评工程师</w:t>
            </w:r>
            <w:r>
              <w:rPr>
                <w:rFonts w:hint="eastAsia" w:ascii="宋体" w:hAnsi="宋体"/>
                <w:bCs/>
                <w:sz w:val="24"/>
                <w:highlight w:val="none"/>
              </w:rPr>
              <w:t>，得</w:t>
            </w:r>
            <w:r>
              <w:rPr>
                <w:rFonts w:ascii="宋体" w:hAnsi="宋体"/>
                <w:bCs/>
                <w:sz w:val="24"/>
                <w:highlight w:val="none"/>
              </w:rPr>
              <w:t>2</w:t>
            </w:r>
            <w:r>
              <w:rPr>
                <w:rFonts w:hint="eastAsia" w:ascii="宋体" w:hAnsi="宋体"/>
                <w:bCs/>
                <w:sz w:val="24"/>
                <w:highlight w:val="none"/>
              </w:rPr>
              <w:t>分</w:t>
            </w:r>
            <w:r>
              <w:rPr>
                <w:rFonts w:hint="eastAsia"/>
                <w:sz w:val="24"/>
                <w:highlight w:val="none"/>
              </w:rPr>
              <w:t>（提供证书复印件及供应商为其缴纳社保的证明材料复印件加盖供应商公章）</w:t>
            </w:r>
          </w:p>
          <w:p>
            <w:pPr>
              <w:spacing w:line="500" w:lineRule="exact"/>
              <w:ind w:firstLine="480" w:firstLineChars="200"/>
              <w:jc w:val="left"/>
              <w:rPr>
                <w:sz w:val="24"/>
                <w:highlight w:val="none"/>
              </w:rPr>
            </w:pPr>
            <w:r>
              <w:rPr>
                <w:rFonts w:hint="eastAsia" w:ascii="宋体" w:hAnsi="宋体"/>
                <w:bCs/>
                <w:sz w:val="24"/>
                <w:highlight w:val="none"/>
              </w:rPr>
              <w:t>3、服务本项目的项目成员（含项目负责人）具有行政主管部门颁发的资格证书</w:t>
            </w:r>
            <w:r>
              <w:rPr>
                <w:rFonts w:hint="eastAsia" w:ascii="宋体" w:hAnsi="宋体"/>
                <w:b/>
                <w:sz w:val="24"/>
                <w:highlight w:val="none"/>
              </w:rPr>
              <w:t>注册环保工程师</w:t>
            </w:r>
            <w:r>
              <w:rPr>
                <w:rFonts w:hint="eastAsia" w:ascii="宋体" w:hAnsi="宋体"/>
                <w:bCs/>
                <w:sz w:val="24"/>
                <w:highlight w:val="none"/>
              </w:rPr>
              <w:t>，得</w:t>
            </w:r>
            <w:r>
              <w:rPr>
                <w:rFonts w:ascii="宋体" w:hAnsi="宋体"/>
                <w:bCs/>
                <w:sz w:val="24"/>
                <w:highlight w:val="none"/>
              </w:rPr>
              <w:t>2</w:t>
            </w:r>
            <w:r>
              <w:rPr>
                <w:rFonts w:hint="eastAsia" w:ascii="宋体" w:hAnsi="宋体"/>
                <w:bCs/>
                <w:sz w:val="24"/>
                <w:highlight w:val="none"/>
              </w:rPr>
              <w:t>分</w:t>
            </w:r>
            <w:r>
              <w:rPr>
                <w:rFonts w:hint="eastAsia"/>
                <w:sz w:val="24"/>
                <w:highlight w:val="none"/>
              </w:rPr>
              <w:t>（提供证书复印件及供应商为其缴纳社保的证明材料复印件加盖供应商公章）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07" w:type="pct"/>
            <w:tcBorders>
              <w:left w:val="single" w:color="auto" w:sz="4" w:space="0"/>
              <w:right w:val="single" w:color="auto" w:sz="4" w:space="0"/>
            </w:tcBorders>
            <w:vAlign w:val="center"/>
          </w:tcPr>
          <w:p>
            <w:pPr>
              <w:spacing w:line="500" w:lineRule="exact"/>
              <w:jc w:val="center"/>
              <w:rPr>
                <w:rFonts w:ascii="宋体" w:hAnsi="宋体"/>
                <w:bCs/>
                <w:sz w:val="24"/>
                <w:highlight w:val="none"/>
              </w:rPr>
            </w:pPr>
            <w:r>
              <w:rPr>
                <w:rFonts w:hint="eastAsia" w:ascii="宋体" w:hAnsi="宋体"/>
                <w:bCs/>
                <w:sz w:val="24"/>
                <w:highlight w:val="none"/>
              </w:rPr>
              <w:t>企业实力（4分）</w:t>
            </w:r>
          </w:p>
        </w:tc>
        <w:tc>
          <w:tcPr>
            <w:tcW w:w="4092" w:type="pct"/>
            <w:tcBorders>
              <w:top w:val="single" w:color="auto" w:sz="4" w:space="0"/>
              <w:left w:val="single" w:color="auto" w:sz="4" w:space="0"/>
              <w:right w:val="single" w:color="auto" w:sz="4" w:space="0"/>
            </w:tcBorders>
            <w:vAlign w:val="center"/>
          </w:tcPr>
          <w:p>
            <w:pPr>
              <w:spacing w:line="500" w:lineRule="exact"/>
              <w:ind w:firstLine="480" w:firstLineChars="200"/>
              <w:jc w:val="left"/>
              <w:rPr>
                <w:rFonts w:ascii="宋体" w:hAnsi="宋体"/>
                <w:bCs/>
                <w:sz w:val="24"/>
                <w:highlight w:val="none"/>
              </w:rPr>
            </w:pPr>
            <w:r>
              <w:rPr>
                <w:rFonts w:hint="eastAsia" w:ascii="宋体" w:hAnsi="宋体"/>
                <w:bCs/>
                <w:sz w:val="24"/>
                <w:highlight w:val="none"/>
              </w:rPr>
              <w:t>1、供应商具有危险废物智能收集管理系统软件著作权登记证书，得</w:t>
            </w:r>
            <w:r>
              <w:rPr>
                <w:rFonts w:ascii="宋体" w:hAnsi="宋体"/>
                <w:bCs/>
                <w:sz w:val="24"/>
                <w:highlight w:val="none"/>
              </w:rPr>
              <w:t>1</w:t>
            </w:r>
            <w:r>
              <w:rPr>
                <w:rFonts w:hint="eastAsia" w:ascii="宋体" w:hAnsi="宋体"/>
                <w:bCs/>
                <w:sz w:val="24"/>
                <w:highlight w:val="none"/>
              </w:rPr>
              <w:t>分。（提供计算机软件著作权登记证书复印件加盖供应商公章）</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2、供应商具有危险废物智能贮存管理系统软件著作权登记证书，得</w:t>
            </w:r>
            <w:r>
              <w:rPr>
                <w:rFonts w:ascii="宋体" w:hAnsi="宋体"/>
                <w:bCs/>
                <w:sz w:val="24"/>
                <w:highlight w:val="none"/>
              </w:rPr>
              <w:t>1</w:t>
            </w:r>
            <w:r>
              <w:rPr>
                <w:rFonts w:hint="eastAsia" w:ascii="宋体" w:hAnsi="宋体"/>
                <w:bCs/>
                <w:sz w:val="24"/>
                <w:highlight w:val="none"/>
              </w:rPr>
              <w:t>分。（提供计算机软件著作权登记证书复印件加盖供应商公章）</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3、供应商具有危险废物智能运输管理系统软件著作权登记证书，得</w:t>
            </w:r>
            <w:r>
              <w:rPr>
                <w:rFonts w:ascii="宋体" w:hAnsi="宋体"/>
                <w:bCs/>
                <w:sz w:val="24"/>
                <w:highlight w:val="none"/>
              </w:rPr>
              <w:t>1</w:t>
            </w:r>
            <w:r>
              <w:rPr>
                <w:rFonts w:hint="eastAsia" w:ascii="宋体" w:hAnsi="宋体"/>
                <w:bCs/>
                <w:sz w:val="24"/>
                <w:highlight w:val="none"/>
              </w:rPr>
              <w:t>分。（提供计算机软件著作权登记证书复印件加盖供应商公章）</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4、供应商具有实验室废物收集处置相关发明专利，得1分。（提供发明专利申请受理通知书复印件加盖供应商公章）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07" w:type="pct"/>
            <w:tcBorders>
              <w:top w:val="single" w:color="auto" w:sz="4" w:space="0"/>
              <w:left w:val="single" w:color="auto" w:sz="4" w:space="0"/>
              <w:right w:val="single" w:color="auto" w:sz="4" w:space="0"/>
            </w:tcBorders>
            <w:vAlign w:val="center"/>
          </w:tcPr>
          <w:p>
            <w:pPr>
              <w:spacing w:line="500" w:lineRule="exact"/>
              <w:jc w:val="center"/>
              <w:rPr>
                <w:rFonts w:ascii="宋体" w:hAnsi="宋体"/>
                <w:bCs/>
                <w:sz w:val="24"/>
                <w:highlight w:val="none"/>
              </w:rPr>
            </w:pPr>
            <w:r>
              <w:rPr>
                <w:rFonts w:hint="eastAsia" w:ascii="宋体" w:hAnsi="宋体"/>
                <w:bCs/>
                <w:sz w:val="24"/>
                <w:highlight w:val="none"/>
              </w:rPr>
              <w:t>服务要求响应情况</w:t>
            </w:r>
          </w:p>
          <w:p>
            <w:pPr>
              <w:spacing w:line="500" w:lineRule="exact"/>
              <w:jc w:val="center"/>
              <w:rPr>
                <w:rFonts w:ascii="宋体" w:hAnsi="宋体"/>
                <w:bCs/>
                <w:sz w:val="24"/>
                <w:highlight w:val="none"/>
              </w:rPr>
            </w:pPr>
            <w:r>
              <w:rPr>
                <w:rFonts w:hint="eastAsia" w:ascii="宋体" w:hAnsi="宋体"/>
                <w:bCs/>
                <w:sz w:val="24"/>
                <w:highlight w:val="none"/>
              </w:rPr>
              <w:t>（2</w:t>
            </w:r>
            <w:r>
              <w:rPr>
                <w:rFonts w:ascii="宋体" w:hAnsi="宋体"/>
                <w:bCs/>
                <w:sz w:val="24"/>
                <w:highlight w:val="none"/>
              </w:rPr>
              <w:t>0</w:t>
            </w:r>
            <w:r>
              <w:rPr>
                <w:rFonts w:hint="eastAsia" w:ascii="宋体" w:hAnsi="宋体"/>
                <w:bCs/>
                <w:sz w:val="24"/>
                <w:highlight w:val="none"/>
              </w:rPr>
              <w:t>分）</w:t>
            </w:r>
          </w:p>
        </w:tc>
        <w:tc>
          <w:tcPr>
            <w:tcW w:w="4092" w:type="pct"/>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rPr>
                <w:highlight w:val="none"/>
              </w:rPr>
            </w:pPr>
            <w:r>
              <w:rPr>
                <w:rFonts w:hint="eastAsia" w:ascii="宋体" w:hAnsi="宋体"/>
                <w:bCs/>
                <w:sz w:val="24"/>
                <w:highlight w:val="none"/>
              </w:rPr>
              <w:t>全部满足招标要求的得满分；打★号指标为核心指标项，如有负偏离按无效投标处理；打▲项为重要指标项，有一项负偏离扣4分，扣完为止；其他指标，有一项负偏离扣2分，扣完为止。缺项漏项视为负偏离；正偏离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07" w:type="pct"/>
            <w:tcBorders>
              <w:top w:val="single" w:color="auto" w:sz="4" w:space="0"/>
              <w:left w:val="single" w:color="auto" w:sz="4" w:space="0"/>
              <w:right w:val="single" w:color="auto" w:sz="4" w:space="0"/>
            </w:tcBorders>
            <w:vAlign w:val="center"/>
          </w:tcPr>
          <w:p>
            <w:pPr>
              <w:spacing w:line="500" w:lineRule="exact"/>
              <w:jc w:val="center"/>
              <w:rPr>
                <w:rFonts w:ascii="宋体" w:hAnsi="宋体"/>
                <w:bCs/>
                <w:sz w:val="24"/>
                <w:highlight w:val="none"/>
              </w:rPr>
            </w:pPr>
            <w:r>
              <w:rPr>
                <w:rFonts w:hint="eastAsia" w:ascii="宋体" w:hAnsi="宋体"/>
                <w:bCs/>
                <w:sz w:val="24"/>
                <w:highlight w:val="none"/>
              </w:rPr>
              <w:t>技术方案</w:t>
            </w:r>
          </w:p>
          <w:p>
            <w:pPr>
              <w:spacing w:line="500" w:lineRule="exact"/>
              <w:jc w:val="center"/>
              <w:rPr>
                <w:sz w:val="24"/>
                <w:highlight w:val="none"/>
              </w:rPr>
            </w:pPr>
            <w:r>
              <w:rPr>
                <w:rFonts w:hint="eastAsia" w:ascii="宋体" w:hAnsi="宋体"/>
                <w:bCs/>
                <w:sz w:val="24"/>
                <w:highlight w:val="none"/>
              </w:rPr>
              <w:t>（</w:t>
            </w:r>
            <w:r>
              <w:rPr>
                <w:rFonts w:ascii="宋体" w:hAnsi="宋体"/>
                <w:bCs/>
                <w:sz w:val="24"/>
                <w:highlight w:val="none"/>
              </w:rPr>
              <w:t>27</w:t>
            </w:r>
            <w:r>
              <w:rPr>
                <w:rFonts w:hint="eastAsia" w:ascii="宋体" w:hAnsi="宋体"/>
                <w:bCs/>
                <w:sz w:val="24"/>
                <w:highlight w:val="none"/>
              </w:rPr>
              <w:t>分）</w:t>
            </w:r>
          </w:p>
        </w:tc>
        <w:tc>
          <w:tcPr>
            <w:tcW w:w="4092" w:type="pct"/>
            <w:tcBorders>
              <w:top w:val="single" w:color="auto" w:sz="4" w:space="0"/>
              <w:left w:val="single" w:color="auto" w:sz="4" w:space="0"/>
              <w:bottom w:val="single" w:color="auto" w:sz="4" w:space="0"/>
              <w:right w:val="single" w:color="auto" w:sz="4" w:space="0"/>
            </w:tcBorders>
          </w:tcPr>
          <w:p>
            <w:pPr>
              <w:spacing w:line="500" w:lineRule="exact"/>
              <w:ind w:firstLine="480" w:firstLineChars="200"/>
              <w:jc w:val="left"/>
              <w:rPr>
                <w:rFonts w:ascii="宋体" w:hAnsi="宋体"/>
                <w:bCs/>
                <w:sz w:val="24"/>
                <w:highlight w:val="none"/>
              </w:rPr>
            </w:pPr>
            <w:r>
              <w:rPr>
                <w:rFonts w:ascii="宋体" w:hAnsi="宋体"/>
                <w:bCs/>
                <w:sz w:val="24"/>
                <w:highlight w:val="none"/>
              </w:rPr>
              <w:t>1</w:t>
            </w:r>
            <w:r>
              <w:rPr>
                <w:rFonts w:hint="eastAsia" w:ascii="宋体" w:hAnsi="宋体"/>
                <w:bCs/>
                <w:sz w:val="24"/>
                <w:highlight w:val="none"/>
              </w:rPr>
              <w:t>、供应商为本项目制定的上门收集转运方案，包括</w:t>
            </w:r>
            <w:r>
              <w:rPr>
                <w:rFonts w:hint="eastAsia" w:ascii="宋体" w:hAnsi="宋体"/>
                <w:b/>
                <w:sz w:val="24"/>
                <w:highlight w:val="none"/>
              </w:rPr>
              <w:t>订单响应处理</w:t>
            </w:r>
            <w:r>
              <w:rPr>
                <w:rFonts w:hint="eastAsia" w:ascii="宋体" w:hAnsi="宋体"/>
                <w:bCs/>
                <w:sz w:val="24"/>
                <w:highlight w:val="none"/>
              </w:rPr>
              <w:t>、</w:t>
            </w:r>
            <w:r>
              <w:rPr>
                <w:rFonts w:hint="eastAsia" w:ascii="宋体" w:hAnsi="宋体"/>
                <w:b/>
                <w:sz w:val="24"/>
                <w:highlight w:val="none"/>
              </w:rPr>
              <w:t>打包装箱</w:t>
            </w:r>
            <w:r>
              <w:rPr>
                <w:rFonts w:hint="eastAsia" w:ascii="宋体" w:hAnsi="宋体"/>
                <w:bCs/>
                <w:sz w:val="24"/>
                <w:highlight w:val="none"/>
              </w:rPr>
              <w:t>、</w:t>
            </w:r>
            <w:r>
              <w:rPr>
                <w:rFonts w:hint="eastAsia" w:ascii="宋体" w:hAnsi="宋体"/>
                <w:b/>
                <w:sz w:val="24"/>
                <w:highlight w:val="none"/>
              </w:rPr>
              <w:t>张贴标签</w:t>
            </w:r>
            <w:r>
              <w:rPr>
                <w:rFonts w:hint="eastAsia" w:ascii="宋体" w:hAnsi="宋体"/>
                <w:bCs/>
                <w:sz w:val="24"/>
                <w:highlight w:val="none"/>
              </w:rPr>
              <w:t>、</w:t>
            </w:r>
            <w:r>
              <w:rPr>
                <w:rFonts w:hint="eastAsia" w:ascii="宋体" w:hAnsi="宋体"/>
                <w:b/>
                <w:sz w:val="24"/>
                <w:highlight w:val="none"/>
              </w:rPr>
              <w:t>楼道转运路线</w:t>
            </w:r>
            <w:r>
              <w:rPr>
                <w:rFonts w:hint="eastAsia" w:ascii="宋体" w:hAnsi="宋体"/>
                <w:bCs/>
                <w:sz w:val="24"/>
                <w:highlight w:val="none"/>
              </w:rPr>
              <w:t>、</w:t>
            </w:r>
            <w:r>
              <w:rPr>
                <w:rFonts w:hint="eastAsia" w:ascii="宋体" w:hAnsi="宋体"/>
                <w:b/>
                <w:sz w:val="24"/>
                <w:highlight w:val="none"/>
              </w:rPr>
              <w:t>校内转运计划路线</w:t>
            </w:r>
            <w:r>
              <w:rPr>
                <w:rFonts w:hint="eastAsia" w:ascii="宋体" w:hAnsi="宋体"/>
                <w:bCs/>
                <w:sz w:val="24"/>
                <w:highlight w:val="none"/>
              </w:rPr>
              <w:t>等工作安排。（满分</w:t>
            </w:r>
            <w:r>
              <w:rPr>
                <w:rFonts w:ascii="宋体" w:hAnsi="宋体"/>
                <w:bCs/>
                <w:sz w:val="24"/>
                <w:highlight w:val="none"/>
              </w:rPr>
              <w:t>5</w:t>
            </w:r>
            <w:r>
              <w:rPr>
                <w:rFonts w:hint="eastAsia" w:ascii="宋体" w:hAnsi="宋体"/>
                <w:bCs/>
                <w:sz w:val="24"/>
                <w:highlight w:val="none"/>
              </w:rPr>
              <w:t>分）</w:t>
            </w:r>
          </w:p>
          <w:p>
            <w:pPr>
              <w:spacing w:line="500" w:lineRule="exact"/>
              <w:jc w:val="left"/>
              <w:rPr>
                <w:rFonts w:ascii="宋体" w:hAnsi="宋体"/>
                <w:bCs/>
                <w:sz w:val="24"/>
                <w:highlight w:val="none"/>
              </w:rPr>
            </w:pPr>
            <w:r>
              <w:rPr>
                <w:rFonts w:hint="eastAsia" w:ascii="宋体" w:hAnsi="宋体"/>
                <w:bCs/>
                <w:sz w:val="24"/>
                <w:highlight w:val="none"/>
              </w:rPr>
              <w:t>全部满足得</w:t>
            </w:r>
            <w:r>
              <w:rPr>
                <w:rFonts w:ascii="宋体" w:hAnsi="宋体"/>
                <w:bCs/>
                <w:sz w:val="24"/>
                <w:highlight w:val="none"/>
              </w:rPr>
              <w:t>5</w:t>
            </w:r>
            <w:r>
              <w:rPr>
                <w:rFonts w:hint="eastAsia" w:ascii="宋体" w:hAnsi="宋体"/>
                <w:bCs/>
                <w:sz w:val="24"/>
                <w:highlight w:val="none"/>
              </w:rPr>
              <w:t>分，缺少一项或某项内容不符合要求扣</w:t>
            </w:r>
            <w:r>
              <w:rPr>
                <w:rFonts w:ascii="宋体" w:hAnsi="宋体"/>
                <w:bCs/>
                <w:sz w:val="24"/>
                <w:highlight w:val="none"/>
              </w:rPr>
              <w:t>2</w:t>
            </w:r>
            <w:r>
              <w:rPr>
                <w:rFonts w:hint="eastAsia" w:ascii="宋体" w:hAnsi="宋体"/>
                <w:bCs/>
                <w:sz w:val="24"/>
                <w:highlight w:val="none"/>
              </w:rPr>
              <w:t>分，不提供不得分。</w:t>
            </w:r>
          </w:p>
          <w:p>
            <w:pPr>
              <w:spacing w:line="500" w:lineRule="exact"/>
              <w:ind w:firstLine="480" w:firstLineChars="200"/>
              <w:jc w:val="left"/>
              <w:rPr>
                <w:rFonts w:ascii="宋体" w:hAnsi="宋体"/>
                <w:bCs/>
                <w:sz w:val="24"/>
                <w:highlight w:val="none"/>
              </w:rPr>
            </w:pPr>
            <w:r>
              <w:rPr>
                <w:rFonts w:ascii="宋体" w:hAnsi="宋体"/>
                <w:bCs/>
                <w:sz w:val="24"/>
                <w:highlight w:val="none"/>
              </w:rPr>
              <w:t>2</w:t>
            </w:r>
            <w:r>
              <w:rPr>
                <w:rFonts w:hint="eastAsia" w:ascii="宋体" w:hAnsi="宋体"/>
                <w:bCs/>
                <w:sz w:val="24"/>
                <w:highlight w:val="none"/>
              </w:rPr>
              <w:t>、供应商为本项目制定的危废安全检查方案，包括但不限于危废分类问题、包装问题等，要求能对省、市、学校危废规范管理要求中的不合规问题能够准确识别。（满分</w:t>
            </w:r>
            <w:r>
              <w:rPr>
                <w:rFonts w:ascii="宋体" w:hAnsi="宋体"/>
                <w:bCs/>
                <w:sz w:val="24"/>
                <w:highlight w:val="none"/>
              </w:rPr>
              <w:t>5</w:t>
            </w:r>
            <w:r>
              <w:rPr>
                <w:rFonts w:hint="eastAsia" w:ascii="宋体" w:hAnsi="宋体"/>
                <w:bCs/>
                <w:sz w:val="24"/>
                <w:highlight w:val="none"/>
              </w:rPr>
              <w:t>分）。</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安全检查方案内容全面得</w:t>
            </w:r>
            <w:r>
              <w:rPr>
                <w:rFonts w:ascii="宋体" w:hAnsi="宋体"/>
                <w:bCs/>
                <w:sz w:val="24"/>
                <w:highlight w:val="none"/>
              </w:rPr>
              <w:t>5</w:t>
            </w:r>
            <w:r>
              <w:rPr>
                <w:rFonts w:hint="eastAsia" w:ascii="宋体" w:hAnsi="宋体"/>
                <w:bCs/>
                <w:sz w:val="24"/>
                <w:highlight w:val="none"/>
              </w:rPr>
              <w:t>分，安全检查方案内容一般得</w:t>
            </w:r>
            <w:r>
              <w:rPr>
                <w:rFonts w:ascii="宋体" w:hAnsi="宋体"/>
                <w:bCs/>
                <w:sz w:val="24"/>
                <w:highlight w:val="none"/>
              </w:rPr>
              <w:t>2</w:t>
            </w:r>
            <w:r>
              <w:rPr>
                <w:rFonts w:hint="eastAsia" w:ascii="宋体" w:hAnsi="宋体"/>
                <w:bCs/>
                <w:sz w:val="24"/>
                <w:highlight w:val="none"/>
              </w:rPr>
              <w:t>分，安全检查方案差得1分，不提供不得分。</w:t>
            </w:r>
          </w:p>
          <w:p>
            <w:pPr>
              <w:spacing w:line="500" w:lineRule="exact"/>
              <w:ind w:firstLine="480" w:firstLineChars="200"/>
              <w:jc w:val="left"/>
              <w:rPr>
                <w:rFonts w:ascii="宋体" w:hAnsi="宋体"/>
                <w:bCs/>
                <w:sz w:val="24"/>
                <w:highlight w:val="none"/>
              </w:rPr>
            </w:pPr>
            <w:r>
              <w:rPr>
                <w:rFonts w:ascii="宋体" w:hAnsi="宋体"/>
                <w:bCs/>
                <w:sz w:val="24"/>
                <w:highlight w:val="none"/>
              </w:rPr>
              <w:t>3</w:t>
            </w:r>
            <w:r>
              <w:rPr>
                <w:rFonts w:hint="eastAsia" w:ascii="宋体" w:hAnsi="宋体"/>
                <w:bCs/>
                <w:sz w:val="24"/>
                <w:highlight w:val="none"/>
              </w:rPr>
              <w:t>、供应商为本项目制定的危废库管理方案，包括但不限于安全环保管理、危废存储、进出库台账、日常巡查等工作安排。（满分</w:t>
            </w:r>
            <w:r>
              <w:rPr>
                <w:rFonts w:ascii="宋体" w:hAnsi="宋体"/>
                <w:bCs/>
                <w:sz w:val="24"/>
                <w:highlight w:val="none"/>
              </w:rPr>
              <w:t>5</w:t>
            </w:r>
            <w:r>
              <w:rPr>
                <w:rFonts w:hint="eastAsia" w:ascii="宋体" w:hAnsi="宋体"/>
                <w:bCs/>
                <w:sz w:val="24"/>
                <w:highlight w:val="none"/>
              </w:rPr>
              <w:t>分）</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工作安排详细、可操作性强的得</w:t>
            </w:r>
            <w:r>
              <w:rPr>
                <w:rFonts w:ascii="宋体" w:hAnsi="宋体"/>
                <w:bCs/>
                <w:sz w:val="24"/>
                <w:highlight w:val="none"/>
              </w:rPr>
              <w:t>5</w:t>
            </w:r>
            <w:r>
              <w:rPr>
                <w:rFonts w:hint="eastAsia" w:ascii="宋体" w:hAnsi="宋体"/>
                <w:bCs/>
                <w:sz w:val="24"/>
                <w:highlight w:val="none"/>
              </w:rPr>
              <w:t>分，工作安排一般、可操作性一般的得2分，可操作性较差的，得1分，不提供不得分。</w:t>
            </w:r>
          </w:p>
          <w:p>
            <w:pPr>
              <w:spacing w:line="500" w:lineRule="exact"/>
              <w:ind w:firstLine="480" w:firstLineChars="200"/>
              <w:jc w:val="left"/>
              <w:rPr>
                <w:rFonts w:ascii="宋体" w:hAnsi="宋体"/>
                <w:bCs/>
                <w:sz w:val="24"/>
                <w:highlight w:val="none"/>
              </w:rPr>
            </w:pPr>
            <w:r>
              <w:rPr>
                <w:rFonts w:ascii="宋体" w:hAnsi="宋体"/>
                <w:bCs/>
                <w:sz w:val="24"/>
                <w:highlight w:val="none"/>
              </w:rPr>
              <w:t>4</w:t>
            </w:r>
            <w:r>
              <w:rPr>
                <w:rFonts w:hint="eastAsia" w:ascii="宋体" w:hAnsi="宋体"/>
                <w:bCs/>
                <w:sz w:val="24"/>
                <w:highlight w:val="none"/>
              </w:rPr>
              <w:t>、供应商针对本项目提供的应急预案（应急服务及保障解决措施）。（满分</w:t>
            </w:r>
            <w:r>
              <w:rPr>
                <w:rFonts w:ascii="宋体" w:hAnsi="宋体"/>
                <w:bCs/>
                <w:sz w:val="24"/>
                <w:highlight w:val="none"/>
              </w:rPr>
              <w:t>4</w:t>
            </w:r>
            <w:r>
              <w:rPr>
                <w:rFonts w:hint="eastAsia" w:ascii="宋体" w:hAnsi="宋体"/>
                <w:bCs/>
                <w:sz w:val="24"/>
                <w:highlight w:val="none"/>
              </w:rPr>
              <w:t>分）</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可实施性强、贴近用户需求、安全严密、具有前瞻性得</w:t>
            </w:r>
            <w:r>
              <w:rPr>
                <w:rFonts w:ascii="宋体" w:hAnsi="宋体"/>
                <w:bCs/>
                <w:sz w:val="24"/>
                <w:highlight w:val="none"/>
              </w:rPr>
              <w:t>4</w:t>
            </w:r>
            <w:r>
              <w:rPr>
                <w:rFonts w:hint="eastAsia" w:ascii="宋体" w:hAnsi="宋体"/>
                <w:bCs/>
                <w:sz w:val="24"/>
                <w:highlight w:val="none"/>
              </w:rPr>
              <w:t>分；可实施性一般、基本满足用户需求、安全严密一般得2分；可实施性差、不满足用户需求、安全严密较差得1分，不提供不得分。</w:t>
            </w:r>
          </w:p>
          <w:p>
            <w:pPr>
              <w:spacing w:line="500" w:lineRule="exact"/>
              <w:ind w:firstLine="480" w:firstLineChars="200"/>
              <w:jc w:val="left"/>
              <w:rPr>
                <w:rFonts w:ascii="宋体" w:hAnsi="宋体"/>
                <w:b/>
                <w:sz w:val="24"/>
                <w:highlight w:val="none"/>
              </w:rPr>
            </w:pPr>
            <w:r>
              <w:rPr>
                <w:rFonts w:ascii="宋体" w:hAnsi="宋体"/>
                <w:bCs/>
                <w:sz w:val="24"/>
                <w:highlight w:val="none"/>
              </w:rPr>
              <w:t>5</w:t>
            </w:r>
            <w:r>
              <w:rPr>
                <w:rFonts w:hint="eastAsia" w:ascii="宋体" w:hAnsi="宋体"/>
                <w:bCs/>
                <w:sz w:val="24"/>
                <w:highlight w:val="none"/>
              </w:rPr>
              <w:t>、供应商为本项目制定的校园安全环保知识推广培训方案。（满分</w:t>
            </w:r>
            <w:r>
              <w:rPr>
                <w:rFonts w:ascii="宋体" w:hAnsi="宋体"/>
                <w:bCs/>
                <w:sz w:val="24"/>
                <w:highlight w:val="none"/>
              </w:rPr>
              <w:t>4</w:t>
            </w:r>
            <w:r>
              <w:rPr>
                <w:rFonts w:hint="eastAsia" w:ascii="宋体" w:hAnsi="宋体"/>
                <w:bCs/>
                <w:sz w:val="24"/>
                <w:highlight w:val="none"/>
              </w:rPr>
              <w:t>分）</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方案内容专业性强、可推广性强，得</w:t>
            </w:r>
            <w:r>
              <w:rPr>
                <w:rFonts w:ascii="宋体" w:hAnsi="宋体"/>
                <w:bCs/>
                <w:sz w:val="24"/>
                <w:highlight w:val="none"/>
              </w:rPr>
              <w:t>4</w:t>
            </w:r>
            <w:r>
              <w:rPr>
                <w:rFonts w:hint="eastAsia" w:ascii="宋体" w:hAnsi="宋体"/>
                <w:bCs/>
                <w:sz w:val="24"/>
                <w:highlight w:val="none"/>
              </w:rPr>
              <w:t>分；方案内容专业性一般、可推广性一般，得2分；方案内容专业性不足、可推广性较差，得1分；不提供不得分。</w:t>
            </w:r>
          </w:p>
          <w:p>
            <w:pPr>
              <w:spacing w:line="500" w:lineRule="exact"/>
              <w:ind w:firstLine="480" w:firstLineChars="200"/>
              <w:jc w:val="left"/>
              <w:rPr>
                <w:rFonts w:ascii="宋体" w:hAnsi="宋体"/>
                <w:bCs/>
                <w:sz w:val="24"/>
                <w:highlight w:val="none"/>
              </w:rPr>
            </w:pPr>
            <w:r>
              <w:rPr>
                <w:rFonts w:ascii="宋体" w:hAnsi="宋体"/>
                <w:bCs/>
                <w:sz w:val="24"/>
                <w:highlight w:val="none"/>
              </w:rPr>
              <w:t>6</w:t>
            </w:r>
            <w:r>
              <w:rPr>
                <w:rFonts w:hint="eastAsia" w:ascii="宋体" w:hAnsi="宋体"/>
                <w:bCs/>
                <w:sz w:val="24"/>
                <w:highlight w:val="none"/>
              </w:rPr>
              <w:t>、列出投入本项目的校内危废收集转运车等工具，已采购的提供设备介绍、照片、采购发票等证明文件，未采购的提供拟采购设备介绍、照片、承诺函等证明文件。（满分</w:t>
            </w:r>
            <w:r>
              <w:rPr>
                <w:rFonts w:ascii="宋体" w:hAnsi="宋体"/>
                <w:bCs/>
                <w:sz w:val="24"/>
                <w:highlight w:val="none"/>
              </w:rPr>
              <w:t>4</w:t>
            </w:r>
            <w:r>
              <w:rPr>
                <w:rFonts w:hint="eastAsia" w:ascii="宋体" w:hAnsi="宋体"/>
                <w:bCs/>
                <w:sz w:val="24"/>
                <w:highlight w:val="none"/>
              </w:rPr>
              <w:t>分）</w:t>
            </w:r>
          </w:p>
          <w:p>
            <w:pPr>
              <w:spacing w:line="500" w:lineRule="exact"/>
              <w:ind w:firstLine="480" w:firstLineChars="200"/>
              <w:jc w:val="left"/>
              <w:rPr>
                <w:rFonts w:ascii="宋体" w:hAnsi="宋体" w:cs="宋体"/>
                <w:kern w:val="0"/>
                <w:sz w:val="24"/>
                <w:highlight w:val="none"/>
              </w:rPr>
            </w:pPr>
            <w:r>
              <w:rPr>
                <w:rFonts w:hint="eastAsia" w:ascii="宋体" w:hAnsi="宋体"/>
                <w:bCs/>
                <w:sz w:val="24"/>
                <w:highlight w:val="none"/>
              </w:rPr>
              <w:t>从设备的专业度、稳定性、先进性角度评价，专业度高、稳定且先进得</w:t>
            </w:r>
            <w:r>
              <w:rPr>
                <w:rFonts w:ascii="宋体" w:hAnsi="宋体"/>
                <w:bCs/>
                <w:sz w:val="24"/>
                <w:highlight w:val="none"/>
              </w:rPr>
              <w:t>4</w:t>
            </w:r>
            <w:r>
              <w:rPr>
                <w:rFonts w:hint="eastAsia" w:ascii="宋体" w:hAnsi="宋体"/>
                <w:bCs/>
                <w:sz w:val="24"/>
                <w:highlight w:val="none"/>
              </w:rPr>
              <w:t>分；基本满足用户需求得2分；可用性较差得1分；不提供不得分。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07" w:type="pct"/>
            <w:tcBorders>
              <w:top w:val="single" w:color="auto" w:sz="4" w:space="0"/>
              <w:left w:val="single" w:color="auto" w:sz="4" w:space="0"/>
              <w:right w:val="single" w:color="auto" w:sz="4" w:space="0"/>
            </w:tcBorders>
            <w:vAlign w:val="center"/>
          </w:tcPr>
          <w:p>
            <w:pPr>
              <w:pStyle w:val="5"/>
              <w:spacing w:line="500" w:lineRule="exact"/>
              <w:jc w:val="center"/>
              <w:rPr>
                <w:rFonts w:ascii="宋体" w:hAnsi="宋体"/>
                <w:bCs/>
                <w:sz w:val="24"/>
                <w:szCs w:val="24"/>
                <w:highlight w:val="none"/>
              </w:rPr>
            </w:pPr>
            <w:r>
              <w:rPr>
                <w:rFonts w:hint="eastAsia" w:ascii="宋体" w:hAnsi="宋体"/>
                <w:bCs/>
                <w:sz w:val="24"/>
                <w:szCs w:val="24"/>
                <w:highlight w:val="none"/>
              </w:rPr>
              <w:t>信息化智能服务管理平台</w:t>
            </w:r>
          </w:p>
          <w:p>
            <w:pPr>
              <w:pStyle w:val="5"/>
              <w:spacing w:line="500" w:lineRule="exact"/>
              <w:jc w:val="center"/>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6</w:t>
            </w:r>
            <w:r>
              <w:rPr>
                <w:rFonts w:hint="eastAsia" w:ascii="宋体" w:hAnsi="宋体"/>
                <w:bCs/>
                <w:sz w:val="24"/>
                <w:szCs w:val="24"/>
                <w:highlight w:val="none"/>
              </w:rPr>
              <w:t>分）</w:t>
            </w:r>
          </w:p>
        </w:tc>
        <w:tc>
          <w:tcPr>
            <w:tcW w:w="4092" w:type="pct"/>
            <w:tcBorders>
              <w:top w:val="single" w:color="auto" w:sz="4" w:space="0"/>
              <w:left w:val="single" w:color="auto" w:sz="4" w:space="0"/>
              <w:bottom w:val="single" w:color="auto" w:sz="4" w:space="0"/>
              <w:right w:val="single" w:color="auto" w:sz="4" w:space="0"/>
            </w:tcBorders>
            <w:vAlign w:val="center"/>
          </w:tcPr>
          <w:p>
            <w:pPr>
              <w:pStyle w:val="5"/>
              <w:spacing w:line="500" w:lineRule="exact"/>
              <w:ind w:firstLine="480" w:firstLineChars="200"/>
              <w:rPr>
                <w:rFonts w:ascii="宋体" w:hAnsi="宋体"/>
                <w:bCs/>
                <w:sz w:val="24"/>
                <w:szCs w:val="24"/>
                <w:highlight w:val="none"/>
              </w:rPr>
            </w:pPr>
            <w:r>
              <w:rPr>
                <w:rFonts w:hint="eastAsia" w:ascii="宋体" w:hAnsi="宋体"/>
                <w:bCs/>
                <w:sz w:val="24"/>
                <w:szCs w:val="24"/>
                <w:highlight w:val="none"/>
              </w:rPr>
              <w:t>服务方提供的信息化智能管理服务平台具有以下功能：</w:t>
            </w:r>
          </w:p>
          <w:p>
            <w:pPr>
              <w:pStyle w:val="5"/>
              <w:spacing w:line="500" w:lineRule="exact"/>
              <w:ind w:firstLine="480" w:firstLineChars="200"/>
              <w:rPr>
                <w:rFonts w:ascii="宋体" w:hAnsi="宋体"/>
                <w:bCs/>
                <w:sz w:val="24"/>
                <w:szCs w:val="24"/>
                <w:highlight w:val="none"/>
              </w:rPr>
            </w:pPr>
            <w:r>
              <w:rPr>
                <w:rFonts w:hint="eastAsia" w:ascii="宋体" w:hAnsi="宋体"/>
                <w:bCs/>
                <w:sz w:val="24"/>
                <w:szCs w:val="24"/>
                <w:highlight w:val="none"/>
              </w:rPr>
              <w:t>1、手机端具有预约功能，可在线选择收集地址、危废类别、危废属性等信息；</w:t>
            </w:r>
          </w:p>
          <w:p>
            <w:pPr>
              <w:pStyle w:val="5"/>
              <w:spacing w:line="500" w:lineRule="exact"/>
              <w:ind w:firstLine="480" w:firstLineChars="200"/>
              <w:rPr>
                <w:rFonts w:ascii="宋体" w:hAnsi="宋体"/>
                <w:bCs/>
                <w:sz w:val="24"/>
                <w:szCs w:val="24"/>
                <w:highlight w:val="none"/>
              </w:rPr>
            </w:pPr>
            <w:r>
              <w:rPr>
                <w:rFonts w:hint="eastAsia" w:ascii="宋体" w:hAnsi="宋体"/>
                <w:bCs/>
                <w:sz w:val="24"/>
                <w:szCs w:val="24"/>
                <w:highlight w:val="none"/>
              </w:rPr>
              <w:t>2、收到实验室下达的收集指令后，服务方携带相关信息化设备及时安排人员上门收集，信息化设备可自动打印含有二维码的危废标签；</w:t>
            </w:r>
          </w:p>
          <w:p>
            <w:pPr>
              <w:pStyle w:val="5"/>
              <w:spacing w:line="500" w:lineRule="exact"/>
              <w:ind w:firstLine="480" w:firstLineChars="200"/>
              <w:rPr>
                <w:rFonts w:ascii="宋体" w:hAnsi="宋体"/>
                <w:bCs/>
                <w:sz w:val="24"/>
                <w:szCs w:val="24"/>
                <w:highlight w:val="none"/>
              </w:rPr>
            </w:pPr>
            <w:r>
              <w:rPr>
                <w:rFonts w:hint="eastAsia" w:ascii="宋体" w:hAnsi="宋体"/>
                <w:bCs/>
                <w:sz w:val="24"/>
                <w:szCs w:val="24"/>
                <w:highlight w:val="none"/>
              </w:rPr>
              <w:t>3、信息化管理平台可导出高校的实验室废物订单信息，并能够按照学院、楼栋、实验室进行分别统计订单量。</w:t>
            </w:r>
          </w:p>
          <w:p>
            <w:pPr>
              <w:pStyle w:val="5"/>
              <w:spacing w:line="500" w:lineRule="exact"/>
              <w:ind w:firstLine="480" w:firstLineChars="200"/>
              <w:rPr>
                <w:rFonts w:ascii="宋体" w:hAnsi="宋体"/>
                <w:bCs/>
                <w:sz w:val="24"/>
                <w:szCs w:val="24"/>
                <w:highlight w:val="none"/>
              </w:rPr>
            </w:pPr>
            <w:r>
              <w:rPr>
                <w:rFonts w:hint="eastAsia" w:ascii="宋体" w:hAnsi="宋体"/>
                <w:bCs/>
                <w:sz w:val="24"/>
                <w:szCs w:val="24"/>
                <w:highlight w:val="none"/>
              </w:rPr>
              <w:t>以上功能每有一条得</w:t>
            </w:r>
            <w:r>
              <w:rPr>
                <w:rFonts w:ascii="宋体" w:hAnsi="宋体"/>
                <w:bCs/>
                <w:sz w:val="24"/>
                <w:szCs w:val="24"/>
                <w:highlight w:val="none"/>
              </w:rPr>
              <w:t>2</w:t>
            </w:r>
            <w:r>
              <w:rPr>
                <w:rFonts w:hint="eastAsia" w:ascii="宋体" w:hAnsi="宋体"/>
                <w:bCs/>
                <w:sz w:val="24"/>
                <w:szCs w:val="24"/>
                <w:highlight w:val="none"/>
              </w:rPr>
              <w:t>分，最多得</w:t>
            </w:r>
            <w:r>
              <w:rPr>
                <w:rFonts w:ascii="宋体" w:hAnsi="宋体"/>
                <w:bCs/>
                <w:sz w:val="24"/>
                <w:szCs w:val="24"/>
                <w:highlight w:val="none"/>
              </w:rPr>
              <w:t>6</w:t>
            </w:r>
            <w:r>
              <w:rPr>
                <w:rFonts w:hint="eastAsia" w:ascii="宋体" w:hAnsi="宋体"/>
                <w:bCs/>
                <w:sz w:val="24"/>
                <w:szCs w:val="24"/>
                <w:highlight w:val="none"/>
              </w:rPr>
              <w:t>分，需提供相关公众号二维码、信息化设备和管理界面截图或其他证明材料，不提供不得分。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07" w:type="pct"/>
            <w:tcBorders>
              <w:top w:val="single" w:color="auto" w:sz="4" w:space="0"/>
              <w:left w:val="single" w:color="auto" w:sz="4" w:space="0"/>
              <w:right w:val="single" w:color="auto" w:sz="4" w:space="0"/>
            </w:tcBorders>
            <w:vAlign w:val="center"/>
          </w:tcPr>
          <w:p>
            <w:pPr>
              <w:pStyle w:val="5"/>
              <w:spacing w:line="500" w:lineRule="exact"/>
              <w:jc w:val="center"/>
              <w:rPr>
                <w:rFonts w:ascii="宋体" w:hAnsi="宋体"/>
                <w:bCs/>
                <w:sz w:val="24"/>
                <w:szCs w:val="24"/>
                <w:highlight w:val="none"/>
              </w:rPr>
            </w:pPr>
            <w:r>
              <w:rPr>
                <w:rFonts w:hint="eastAsia" w:ascii="宋体" w:hAnsi="宋体"/>
                <w:bCs/>
                <w:sz w:val="24"/>
                <w:szCs w:val="24"/>
                <w:highlight w:val="none"/>
              </w:rPr>
              <w:t>业绩</w:t>
            </w:r>
          </w:p>
          <w:p>
            <w:pPr>
              <w:pStyle w:val="5"/>
              <w:spacing w:line="500" w:lineRule="exact"/>
              <w:jc w:val="center"/>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5</w:t>
            </w:r>
            <w:r>
              <w:rPr>
                <w:rFonts w:hint="eastAsia" w:ascii="宋体" w:hAnsi="宋体"/>
                <w:bCs/>
                <w:sz w:val="24"/>
                <w:szCs w:val="24"/>
                <w:highlight w:val="none"/>
              </w:rPr>
              <w:t>分）</w:t>
            </w:r>
          </w:p>
        </w:tc>
        <w:tc>
          <w:tcPr>
            <w:tcW w:w="4092" w:type="pct"/>
            <w:tcBorders>
              <w:top w:val="single" w:color="auto" w:sz="4" w:space="0"/>
              <w:left w:val="single" w:color="auto" w:sz="4" w:space="0"/>
              <w:bottom w:val="single" w:color="auto" w:sz="4" w:space="0"/>
              <w:right w:val="single" w:color="auto" w:sz="4" w:space="0"/>
            </w:tcBorders>
            <w:vAlign w:val="center"/>
          </w:tcPr>
          <w:p>
            <w:pPr>
              <w:pStyle w:val="5"/>
              <w:spacing w:line="500" w:lineRule="exact"/>
              <w:ind w:firstLine="480" w:firstLineChars="200"/>
              <w:rPr>
                <w:rFonts w:ascii="宋体" w:hAnsi="宋体"/>
                <w:bCs/>
                <w:sz w:val="24"/>
                <w:szCs w:val="24"/>
                <w:highlight w:val="none"/>
              </w:rPr>
            </w:pPr>
            <w:r>
              <w:rPr>
                <w:rFonts w:hint="eastAsia" w:ascii="宋体" w:hAnsi="宋体"/>
                <w:bCs/>
                <w:sz w:val="24"/>
                <w:szCs w:val="24"/>
                <w:highlight w:val="none"/>
              </w:rPr>
              <w:t>根据投标人提供的20</w:t>
            </w:r>
            <w:r>
              <w:rPr>
                <w:rFonts w:ascii="宋体" w:hAnsi="宋体"/>
                <w:bCs/>
                <w:sz w:val="24"/>
                <w:szCs w:val="24"/>
                <w:highlight w:val="none"/>
              </w:rPr>
              <w:t>19</w:t>
            </w:r>
            <w:r>
              <w:rPr>
                <w:rFonts w:hint="eastAsia" w:ascii="宋体" w:hAnsi="宋体"/>
                <w:bCs/>
                <w:sz w:val="24"/>
                <w:szCs w:val="24"/>
                <w:highlight w:val="none"/>
              </w:rPr>
              <w:t>年</w:t>
            </w:r>
            <w:r>
              <w:rPr>
                <w:rFonts w:ascii="宋体" w:hAnsi="宋体"/>
                <w:bCs/>
                <w:sz w:val="24"/>
                <w:szCs w:val="24"/>
                <w:highlight w:val="none"/>
              </w:rPr>
              <w:t>1</w:t>
            </w:r>
            <w:r>
              <w:rPr>
                <w:rFonts w:hint="eastAsia" w:ascii="宋体" w:hAnsi="宋体"/>
                <w:bCs/>
                <w:sz w:val="24"/>
                <w:szCs w:val="24"/>
                <w:highlight w:val="none"/>
              </w:rPr>
              <w:t>月1日以来（以合同签订时间为准）签订的类似项目业绩（含收集、运输、处置），有一份得</w:t>
            </w:r>
            <w:r>
              <w:rPr>
                <w:rFonts w:ascii="宋体" w:hAnsi="宋体"/>
                <w:bCs/>
                <w:sz w:val="24"/>
                <w:szCs w:val="24"/>
                <w:highlight w:val="none"/>
              </w:rPr>
              <w:t>1</w:t>
            </w:r>
            <w:r>
              <w:rPr>
                <w:rFonts w:hint="eastAsia" w:ascii="宋体" w:hAnsi="宋体"/>
                <w:bCs/>
                <w:sz w:val="24"/>
                <w:szCs w:val="24"/>
                <w:highlight w:val="none"/>
              </w:rPr>
              <w:t>分。满分</w:t>
            </w:r>
            <w:r>
              <w:rPr>
                <w:rFonts w:ascii="宋体" w:hAnsi="宋体"/>
                <w:bCs/>
                <w:sz w:val="24"/>
                <w:szCs w:val="24"/>
                <w:highlight w:val="none"/>
              </w:rPr>
              <w:t>5</w:t>
            </w:r>
            <w:r>
              <w:rPr>
                <w:rFonts w:hint="eastAsia" w:ascii="宋体" w:hAnsi="宋体"/>
                <w:bCs/>
                <w:sz w:val="24"/>
                <w:szCs w:val="24"/>
                <w:highlight w:val="none"/>
              </w:rPr>
              <w:t>分（提供合同复印件，中标通知书并加盖投标人公章）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07" w:type="pct"/>
            <w:tcBorders>
              <w:top w:val="single" w:color="auto" w:sz="4" w:space="0"/>
              <w:left w:val="single" w:color="auto" w:sz="4" w:space="0"/>
              <w:right w:val="single" w:color="auto" w:sz="4" w:space="0"/>
            </w:tcBorders>
            <w:vAlign w:val="center"/>
          </w:tcPr>
          <w:p>
            <w:pPr>
              <w:pStyle w:val="5"/>
              <w:spacing w:line="500" w:lineRule="exact"/>
              <w:jc w:val="center"/>
              <w:rPr>
                <w:rFonts w:ascii="宋体" w:hAnsi="宋体"/>
                <w:bCs/>
                <w:sz w:val="24"/>
                <w:szCs w:val="24"/>
                <w:highlight w:val="none"/>
              </w:rPr>
            </w:pPr>
            <w:r>
              <w:rPr>
                <w:rFonts w:hint="eastAsia"/>
                <w:sz w:val="24"/>
                <w:szCs w:val="24"/>
                <w:highlight w:val="none"/>
              </w:rPr>
              <w:t>投标文件编制情况</w:t>
            </w:r>
            <w:r>
              <w:rPr>
                <w:rFonts w:hint="eastAsia" w:ascii="宋体" w:hAnsi="宋体" w:cs="宋体"/>
                <w:sz w:val="24"/>
                <w:szCs w:val="24"/>
                <w:highlight w:val="none"/>
              </w:rPr>
              <w:t>（2分）</w:t>
            </w:r>
          </w:p>
        </w:tc>
        <w:tc>
          <w:tcPr>
            <w:tcW w:w="4092"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50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评委对</w:t>
            </w:r>
            <w:r>
              <w:rPr>
                <w:rFonts w:hint="eastAsia"/>
                <w:sz w:val="24"/>
                <w:highlight w:val="none"/>
              </w:rPr>
              <w:t>投标文件</w:t>
            </w:r>
            <w:r>
              <w:rPr>
                <w:rFonts w:hint="eastAsia" w:ascii="宋体" w:hAnsi="宋体" w:cs="宋体"/>
                <w:bCs/>
                <w:kern w:val="0"/>
                <w:sz w:val="24"/>
                <w:highlight w:val="none"/>
              </w:rPr>
              <w:t>的制作质量进行评价，包括且不限于双面打印，装订牢固(胶装)，目录清楚，逐页编码，页码准确，按采购文件要求提供了相关资料、表格、评分索引表等。</w:t>
            </w:r>
          </w:p>
          <w:p>
            <w:pPr>
              <w:pStyle w:val="5"/>
              <w:spacing w:line="500" w:lineRule="exact"/>
              <w:ind w:firstLine="480" w:firstLineChars="200"/>
              <w:rPr>
                <w:rFonts w:ascii="宋体" w:hAnsi="宋体"/>
                <w:bCs/>
                <w:sz w:val="24"/>
                <w:szCs w:val="24"/>
                <w:highlight w:val="none"/>
              </w:rPr>
            </w:pPr>
            <w:r>
              <w:rPr>
                <w:rFonts w:hint="eastAsia" w:ascii="宋体" w:hAnsi="宋体" w:cs="宋体"/>
                <w:bCs/>
                <w:kern w:val="0"/>
                <w:sz w:val="24"/>
                <w:szCs w:val="24"/>
                <w:highlight w:val="none"/>
              </w:rPr>
              <w:t>文件完整、目录清楚、页码准确清晰得2分;文件制作简单，页码较为不准确、不清晰的得1分；文件制作极为粗糙，内容缺失的得0分。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07" w:type="pct"/>
            <w:tcBorders>
              <w:top w:val="single" w:color="auto" w:sz="4" w:space="0"/>
              <w:left w:val="single" w:color="auto" w:sz="4" w:space="0"/>
              <w:right w:val="single" w:color="auto" w:sz="4" w:space="0"/>
            </w:tcBorders>
            <w:vAlign w:val="center"/>
          </w:tcPr>
          <w:p>
            <w:pPr>
              <w:jc w:val="center"/>
              <w:rPr>
                <w:sz w:val="22"/>
                <w:szCs w:val="28"/>
                <w:highlight w:val="none"/>
              </w:rPr>
            </w:pPr>
            <w:r>
              <w:rPr>
                <w:rFonts w:hint="eastAsia"/>
                <w:sz w:val="22"/>
                <w:szCs w:val="28"/>
                <w:highlight w:val="none"/>
              </w:rPr>
              <w:t>合计</w:t>
            </w:r>
          </w:p>
        </w:tc>
        <w:tc>
          <w:tcPr>
            <w:tcW w:w="4092" w:type="pct"/>
            <w:tcBorders>
              <w:top w:val="single" w:color="auto" w:sz="4" w:space="0"/>
              <w:left w:val="single" w:color="auto" w:sz="4" w:space="0"/>
              <w:right w:val="single" w:color="auto" w:sz="4" w:space="0"/>
            </w:tcBorders>
            <w:vAlign w:val="center"/>
          </w:tcPr>
          <w:p>
            <w:pPr>
              <w:jc w:val="center"/>
              <w:rPr>
                <w:sz w:val="22"/>
                <w:szCs w:val="28"/>
                <w:highlight w:val="none"/>
              </w:rPr>
            </w:pPr>
            <w:r>
              <w:rPr>
                <w:rFonts w:hint="eastAsia"/>
                <w:sz w:val="22"/>
                <w:szCs w:val="28"/>
                <w:highlight w:val="none"/>
              </w:rPr>
              <w:t>100分</w:t>
            </w:r>
          </w:p>
        </w:tc>
      </w:tr>
    </w:tbl>
    <w:p>
      <w:pPr>
        <w:rPr>
          <w:b/>
          <w:bCs/>
          <w:highlight w:val="none"/>
        </w:rPr>
      </w:pPr>
      <w:r>
        <w:rPr>
          <w:rFonts w:hint="eastAsia"/>
          <w:b/>
          <w:bCs/>
          <w:highlight w:val="none"/>
        </w:rPr>
        <w:t>注：1、评分细则中要求提供的证明文件及资料等在投标文件中提供复印件。</w:t>
      </w:r>
    </w:p>
    <w:p>
      <w:pPr>
        <w:ind w:left="420" w:leftChars="200"/>
        <w:rPr>
          <w:b/>
          <w:sz w:val="28"/>
          <w:szCs w:val="28"/>
          <w:highlight w:val="none"/>
        </w:rPr>
      </w:pPr>
      <w:r>
        <w:rPr>
          <w:rFonts w:hint="eastAsia"/>
          <w:b/>
          <w:bCs/>
          <w:highlight w:val="none"/>
        </w:rPr>
        <w:t>2、评标时，未能按以上要求提供相应证明的，不作为评标依据，不得分。</w:t>
      </w:r>
    </w:p>
    <w:p>
      <w:pPr>
        <w:pStyle w:val="2"/>
        <w:rPr>
          <w:highlight w:val="none"/>
          <w:lang w:val="zh-CN"/>
        </w:rPr>
      </w:pPr>
      <w:r>
        <w:rPr>
          <w:rFonts w:hint="eastAsia" w:ascii="宋体" w:eastAsia="宋体"/>
          <w:bCs/>
          <w:sz w:val="24"/>
          <w:szCs w:val="24"/>
          <w:highlight w:val="none"/>
        </w:rPr>
        <w:t>（本部分内容由南京信息工程大学实验室与设备管理处提供并负责）</w:t>
      </w: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widowControl/>
        <w:spacing w:before="75" w:after="75" w:line="555" w:lineRule="atLeast"/>
        <w:ind w:firstLine="555"/>
        <w:jc w:val="left"/>
        <w:rPr>
          <w:b/>
          <w:sz w:val="28"/>
          <w:szCs w:val="28"/>
          <w:highlight w:val="none"/>
        </w:rPr>
      </w:pPr>
    </w:p>
    <w:p>
      <w:pPr>
        <w:widowControl/>
        <w:spacing w:before="75" w:after="75" w:line="555" w:lineRule="atLeast"/>
        <w:ind w:firstLine="555"/>
        <w:jc w:val="left"/>
        <w:rPr>
          <w:b/>
          <w:sz w:val="28"/>
          <w:szCs w:val="28"/>
          <w:highlight w:val="none"/>
        </w:rPr>
      </w:pPr>
    </w:p>
    <w:p>
      <w:pPr>
        <w:pStyle w:val="2"/>
        <w:rPr>
          <w:highlight w:val="none"/>
        </w:rPr>
      </w:pPr>
    </w:p>
    <w:p>
      <w:pPr>
        <w:rPr>
          <w:highlight w:val="none"/>
        </w:rPr>
      </w:pPr>
    </w:p>
    <w:p>
      <w:pPr>
        <w:pStyle w:val="2"/>
        <w:rPr>
          <w:highlight w:val="none"/>
        </w:rPr>
      </w:pPr>
    </w:p>
    <w:p>
      <w:pPr>
        <w:widowControl/>
        <w:spacing w:before="75" w:after="75" w:line="555" w:lineRule="atLeast"/>
        <w:jc w:val="left"/>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jc w:val="center"/>
        <w:rPr>
          <w:b/>
          <w:bCs/>
          <w:sz w:val="32"/>
          <w:szCs w:val="32"/>
          <w:highlight w:val="none"/>
        </w:rPr>
      </w:pPr>
      <w:r>
        <w:rPr>
          <w:rFonts w:hint="eastAsia"/>
          <w:b/>
          <w:bCs/>
          <w:sz w:val="32"/>
          <w:szCs w:val="32"/>
          <w:highlight w:val="none"/>
        </w:rPr>
        <w:t>南京信息工程大学实验室废弃物收集、转运与处置服务</w:t>
      </w:r>
      <w:r>
        <w:rPr>
          <w:b/>
          <w:bCs/>
          <w:sz w:val="32"/>
          <w:szCs w:val="32"/>
          <w:highlight w:val="none"/>
        </w:rPr>
        <w:t>合同</w:t>
      </w:r>
    </w:p>
    <w:p>
      <w:pPr>
        <w:spacing w:line="440" w:lineRule="exact"/>
        <w:jc w:val="center"/>
        <w:rPr>
          <w:rFonts w:eastAsia="微软雅黑"/>
          <w:b/>
          <w:bCs/>
          <w:highlight w:val="none"/>
        </w:rPr>
      </w:pPr>
      <w:r>
        <w:rPr>
          <w:rFonts w:eastAsia="微软雅黑"/>
          <w:b/>
          <w:bCs/>
          <w:highlight w:val="none"/>
        </w:rPr>
        <w:t>（</w:t>
      </w:r>
      <w:r>
        <w:rPr>
          <w:rFonts w:hint="eastAsia"/>
          <w:b/>
          <w:highlight w:val="none"/>
        </w:rPr>
        <w:t>此合同仅作范本，以最终签订的合同为准</w:t>
      </w:r>
      <w:r>
        <w:rPr>
          <w:rFonts w:eastAsia="微软雅黑"/>
          <w:b/>
          <w:bCs/>
          <w:highlight w:val="none"/>
        </w:rPr>
        <w:t>）</w:t>
      </w:r>
    </w:p>
    <w:p>
      <w:pPr>
        <w:pStyle w:val="8"/>
        <w:ind w:left="0" w:leftChars="0"/>
        <w:rPr>
          <w:rFonts w:eastAsia="微软雅黑"/>
          <w:b/>
          <w:bCs/>
          <w:highlight w:val="none"/>
        </w:rPr>
      </w:pPr>
    </w:p>
    <w:p>
      <w:pPr>
        <w:rPr>
          <w:sz w:val="28"/>
          <w:szCs w:val="28"/>
          <w:highlight w:val="none"/>
        </w:rPr>
      </w:pPr>
      <w:r>
        <w:rPr>
          <w:sz w:val="28"/>
          <w:szCs w:val="28"/>
          <w:highlight w:val="none"/>
        </w:rPr>
        <w:t>甲方（采购人）：</w:t>
      </w:r>
      <w:r>
        <w:rPr>
          <w:sz w:val="28"/>
          <w:szCs w:val="28"/>
          <w:highlight w:val="none"/>
          <w:u w:val="single"/>
        </w:rPr>
        <w:t>南京</w:t>
      </w:r>
      <w:r>
        <w:rPr>
          <w:rFonts w:hint="eastAsia"/>
          <w:sz w:val="28"/>
          <w:szCs w:val="28"/>
          <w:highlight w:val="none"/>
          <w:u w:val="single"/>
        </w:rPr>
        <w:t>信息工程</w:t>
      </w:r>
      <w:r>
        <w:rPr>
          <w:sz w:val="28"/>
          <w:szCs w:val="28"/>
          <w:highlight w:val="none"/>
          <w:u w:val="single"/>
        </w:rPr>
        <w:t>大学</w:t>
      </w:r>
    </w:p>
    <w:p>
      <w:pPr>
        <w:rPr>
          <w:sz w:val="28"/>
          <w:szCs w:val="28"/>
          <w:highlight w:val="none"/>
        </w:rPr>
      </w:pPr>
      <w:r>
        <w:rPr>
          <w:sz w:val="28"/>
          <w:szCs w:val="28"/>
          <w:highlight w:val="none"/>
        </w:rPr>
        <w:t>乙方（供应商）：</w:t>
      </w:r>
      <w:r>
        <w:rPr>
          <w:rFonts w:hint="eastAsia"/>
          <w:sz w:val="28"/>
          <w:szCs w:val="28"/>
          <w:highlight w:val="none"/>
          <w:u w:val="single"/>
        </w:rPr>
        <w:t xml:space="preserve"> </w:t>
      </w:r>
      <w:r>
        <w:rPr>
          <w:sz w:val="28"/>
          <w:szCs w:val="28"/>
          <w:highlight w:val="none"/>
          <w:u w:val="single"/>
        </w:rPr>
        <w:t xml:space="preserve">           </w:t>
      </w:r>
    </w:p>
    <w:p>
      <w:pPr>
        <w:rPr>
          <w:sz w:val="28"/>
          <w:szCs w:val="28"/>
          <w:highlight w:val="none"/>
        </w:rPr>
      </w:pPr>
      <w:r>
        <w:rPr>
          <w:rFonts w:hint="eastAsia"/>
          <w:sz w:val="28"/>
          <w:szCs w:val="28"/>
          <w:highlight w:val="none"/>
        </w:rPr>
        <w:t>项目</w:t>
      </w:r>
      <w:r>
        <w:rPr>
          <w:sz w:val="28"/>
          <w:szCs w:val="28"/>
          <w:highlight w:val="none"/>
        </w:rPr>
        <w:t>编号：</w:t>
      </w:r>
      <w:r>
        <w:rPr>
          <w:sz w:val="28"/>
          <w:szCs w:val="28"/>
          <w:highlight w:val="none"/>
          <w:u w:val="single"/>
        </w:rPr>
        <w:t xml:space="preserve">                  </w:t>
      </w:r>
      <w:r>
        <w:rPr>
          <w:sz w:val="28"/>
          <w:szCs w:val="28"/>
          <w:highlight w:val="none"/>
        </w:rPr>
        <w:t xml:space="preserve">     </w:t>
      </w:r>
      <w:r>
        <w:rPr>
          <w:rFonts w:hint="eastAsia"/>
          <w:sz w:val="28"/>
          <w:szCs w:val="28"/>
          <w:highlight w:val="none"/>
        </w:rPr>
        <w:t xml:space="preserve">   </w:t>
      </w:r>
      <w:r>
        <w:rPr>
          <w:sz w:val="28"/>
          <w:szCs w:val="28"/>
          <w:highlight w:val="none"/>
        </w:rPr>
        <w:t>签订时间：</w:t>
      </w:r>
      <w:r>
        <w:rPr>
          <w:sz w:val="28"/>
          <w:szCs w:val="28"/>
          <w:highlight w:val="none"/>
          <w:u w:val="single"/>
        </w:rPr>
        <w:t xml:space="preserve">                  </w:t>
      </w:r>
    </w:p>
    <w:p>
      <w:pPr>
        <w:rPr>
          <w:sz w:val="28"/>
          <w:szCs w:val="28"/>
          <w:highlight w:val="none"/>
        </w:rPr>
      </w:pPr>
    </w:p>
    <w:p>
      <w:pPr>
        <w:ind w:firstLine="560" w:firstLineChars="200"/>
        <w:rPr>
          <w:sz w:val="28"/>
          <w:szCs w:val="28"/>
          <w:highlight w:val="none"/>
        </w:rPr>
      </w:pPr>
      <w:r>
        <w:rPr>
          <w:sz w:val="28"/>
          <w:szCs w:val="28"/>
          <w:highlight w:val="none"/>
        </w:rPr>
        <w:t>根据《中华人民共和国政府采购法》、《中华人民共和国合同法》等法律、法规规定，按照</w:t>
      </w:r>
      <w:r>
        <w:rPr>
          <w:rFonts w:hint="eastAsia"/>
          <w:sz w:val="28"/>
          <w:szCs w:val="28"/>
          <w:highlight w:val="none"/>
          <w:u w:val="single"/>
        </w:rPr>
        <w:t>南京信息工程大学</w:t>
      </w:r>
      <w:r>
        <w:rPr>
          <w:rFonts w:hint="eastAsia" w:ascii="宋体" w:hAnsi="宋体"/>
          <w:sz w:val="28"/>
          <w:szCs w:val="28"/>
          <w:highlight w:val="none"/>
          <w:u w:val="single"/>
        </w:rPr>
        <w:t>实验室废弃物收集、转运与处置服务采购项目</w:t>
      </w:r>
      <w:r>
        <w:rPr>
          <w:sz w:val="28"/>
          <w:szCs w:val="28"/>
          <w:highlight w:val="none"/>
        </w:rPr>
        <w:t>采购文件、投标文件规定条款和中标供应商承诺，甲方向乙方购置相关</w:t>
      </w:r>
      <w:r>
        <w:rPr>
          <w:rFonts w:hint="eastAsia"/>
          <w:sz w:val="28"/>
          <w:szCs w:val="28"/>
          <w:highlight w:val="none"/>
        </w:rPr>
        <w:t>服务</w:t>
      </w:r>
      <w:r>
        <w:rPr>
          <w:sz w:val="28"/>
          <w:szCs w:val="28"/>
          <w:highlight w:val="none"/>
        </w:rPr>
        <w:t>，双方同意以下内容。</w:t>
      </w:r>
    </w:p>
    <w:p>
      <w:pPr>
        <w:ind w:firstLine="562" w:firstLineChars="200"/>
        <w:rPr>
          <w:b/>
          <w:bCs/>
          <w:sz w:val="28"/>
          <w:szCs w:val="28"/>
          <w:highlight w:val="none"/>
        </w:rPr>
      </w:pPr>
      <w:r>
        <w:rPr>
          <w:b/>
          <w:bCs/>
          <w:sz w:val="28"/>
          <w:szCs w:val="28"/>
          <w:highlight w:val="none"/>
        </w:rPr>
        <w:t>第</w:t>
      </w:r>
      <w:r>
        <w:rPr>
          <w:rFonts w:hint="eastAsia"/>
          <w:b/>
          <w:bCs/>
          <w:sz w:val="28"/>
          <w:szCs w:val="28"/>
          <w:highlight w:val="none"/>
        </w:rPr>
        <w:t>一</w:t>
      </w:r>
      <w:r>
        <w:rPr>
          <w:b/>
          <w:bCs/>
          <w:sz w:val="28"/>
          <w:szCs w:val="28"/>
          <w:highlight w:val="none"/>
        </w:rPr>
        <w:t>条  服务内容</w:t>
      </w:r>
    </w:p>
    <w:p>
      <w:pPr>
        <w:ind w:firstLine="560" w:firstLineChars="200"/>
        <w:rPr>
          <w:sz w:val="28"/>
          <w:szCs w:val="28"/>
          <w:highlight w:val="none"/>
        </w:rPr>
      </w:pPr>
      <w:r>
        <w:rPr>
          <w:rFonts w:hint="eastAsia"/>
          <w:sz w:val="28"/>
          <w:szCs w:val="28"/>
          <w:highlight w:val="none"/>
        </w:rPr>
        <w:t>1、服务期限：</w:t>
      </w:r>
      <w:r>
        <w:rPr>
          <w:sz w:val="28"/>
          <w:szCs w:val="28"/>
          <w:highlight w:val="none"/>
        </w:rPr>
        <w:t>本</w:t>
      </w:r>
      <w:r>
        <w:rPr>
          <w:rFonts w:hint="eastAsia"/>
          <w:sz w:val="28"/>
          <w:szCs w:val="28"/>
          <w:highlight w:val="none"/>
        </w:rPr>
        <w:t>项目</w:t>
      </w:r>
      <w:r>
        <w:rPr>
          <w:sz w:val="28"/>
          <w:szCs w:val="28"/>
          <w:highlight w:val="none"/>
        </w:rPr>
        <w:t>服务期限</w:t>
      </w:r>
      <w:r>
        <w:rPr>
          <w:rFonts w:hint="eastAsia"/>
          <w:sz w:val="28"/>
          <w:szCs w:val="28"/>
          <w:highlight w:val="none"/>
        </w:rPr>
        <w:t>：</w:t>
      </w:r>
      <w:r>
        <w:rPr>
          <w:sz w:val="28"/>
          <w:szCs w:val="28"/>
          <w:highlight w:val="none"/>
        </w:rPr>
        <w:t>202</w:t>
      </w:r>
      <w:r>
        <w:rPr>
          <w:rFonts w:hint="eastAsia"/>
          <w:sz w:val="28"/>
          <w:szCs w:val="28"/>
          <w:highlight w:val="none"/>
        </w:rPr>
        <w:t>2</w:t>
      </w:r>
      <w:r>
        <w:rPr>
          <w:sz w:val="28"/>
          <w:szCs w:val="28"/>
          <w:highlight w:val="none"/>
        </w:rPr>
        <w:t>年  月   日</w:t>
      </w:r>
      <w:r>
        <w:rPr>
          <w:rFonts w:hint="eastAsia"/>
          <w:sz w:val="28"/>
          <w:szCs w:val="28"/>
          <w:highlight w:val="none"/>
        </w:rPr>
        <w:t>至2023</w:t>
      </w:r>
      <w:r>
        <w:rPr>
          <w:sz w:val="28"/>
          <w:szCs w:val="28"/>
          <w:highlight w:val="none"/>
        </w:rPr>
        <w:t>年  月  日，期限</w:t>
      </w:r>
      <w:r>
        <w:rPr>
          <w:rFonts w:hint="eastAsia"/>
          <w:sz w:val="28"/>
          <w:szCs w:val="28"/>
          <w:highlight w:val="none"/>
        </w:rPr>
        <w:t>两</w:t>
      </w:r>
      <w:r>
        <w:rPr>
          <w:sz w:val="28"/>
          <w:szCs w:val="28"/>
          <w:highlight w:val="none"/>
        </w:rPr>
        <w:t>年。</w:t>
      </w:r>
    </w:p>
    <w:p>
      <w:pPr>
        <w:pStyle w:val="7"/>
        <w:ind w:left="0" w:leftChars="0" w:right="126" w:rightChars="60" w:firstLine="560" w:firstLineChars="200"/>
        <w:rPr>
          <w:sz w:val="28"/>
          <w:szCs w:val="28"/>
          <w:highlight w:val="none"/>
        </w:rPr>
      </w:pPr>
      <w:r>
        <w:rPr>
          <w:sz w:val="28"/>
          <w:szCs w:val="28"/>
          <w:highlight w:val="none"/>
        </w:rPr>
        <w:t>2、乙方所提供的服务必须与采购文件和承诺相一致。</w:t>
      </w:r>
      <w:r>
        <w:rPr>
          <w:rFonts w:hint="eastAsia" w:ascii="宋体" w:hAnsi="宋体"/>
          <w:sz w:val="28"/>
          <w:szCs w:val="28"/>
          <w:highlight w:val="none"/>
        </w:rPr>
        <w:t>根据国家以及江苏省生态环境厅制定的有关实验室危险废弃物转移处置管理办法，</w:t>
      </w:r>
      <w:r>
        <w:rPr>
          <w:sz w:val="28"/>
          <w:szCs w:val="28"/>
          <w:highlight w:val="none"/>
        </w:rPr>
        <w:t>乙方</w:t>
      </w:r>
      <w:r>
        <w:rPr>
          <w:rFonts w:hint="eastAsia" w:ascii="宋体" w:hAnsi="宋体"/>
          <w:sz w:val="28"/>
          <w:szCs w:val="28"/>
          <w:highlight w:val="none"/>
        </w:rPr>
        <w:t>合法合规对甲方实验室危险废弃物进行上门收集、转移、运输并处置完毕的全过程服务。</w:t>
      </w:r>
    </w:p>
    <w:p>
      <w:pPr>
        <w:ind w:firstLine="560" w:firstLineChars="200"/>
        <w:rPr>
          <w:sz w:val="28"/>
          <w:szCs w:val="28"/>
          <w:highlight w:val="none"/>
        </w:rPr>
      </w:pPr>
      <w:r>
        <w:rPr>
          <w:sz w:val="28"/>
          <w:szCs w:val="28"/>
          <w:highlight w:val="none"/>
        </w:rPr>
        <w:t>3、如果乙方在工作中因自身过错而发生任何错误或遗漏，乙方应无条件更正，而不得向甲方另外收取服务费，并就因此而对甲方造成的损失承担赔偿责任。</w:t>
      </w:r>
    </w:p>
    <w:p>
      <w:pPr>
        <w:ind w:firstLine="560" w:firstLineChars="200"/>
        <w:rPr>
          <w:sz w:val="28"/>
          <w:szCs w:val="28"/>
          <w:highlight w:val="none"/>
        </w:rPr>
      </w:pPr>
      <w:r>
        <w:rPr>
          <w:sz w:val="28"/>
          <w:szCs w:val="28"/>
          <w:highlight w:val="none"/>
        </w:rPr>
        <w:t>4、乙方的服务承诺：</w:t>
      </w:r>
    </w:p>
    <w:p>
      <w:pPr>
        <w:ind w:firstLine="560" w:firstLineChars="200"/>
        <w:rPr>
          <w:sz w:val="28"/>
          <w:szCs w:val="28"/>
          <w:highlight w:val="none"/>
        </w:rPr>
      </w:pPr>
      <w:r>
        <w:rPr>
          <w:sz w:val="28"/>
          <w:szCs w:val="28"/>
          <w:highlight w:val="none"/>
        </w:rPr>
        <w:t>（1）乙方接到甲方通过电话、信函传真、电子邮件、网上提交等方式提出请求后，在</w:t>
      </w:r>
      <w:r>
        <w:rPr>
          <w:rFonts w:hint="eastAsia"/>
          <w:sz w:val="28"/>
          <w:szCs w:val="28"/>
          <w:highlight w:val="none"/>
        </w:rPr>
        <w:t>2</w:t>
      </w:r>
      <w:r>
        <w:rPr>
          <w:sz w:val="28"/>
          <w:szCs w:val="28"/>
          <w:highlight w:val="none"/>
        </w:rPr>
        <w:t>4</w:t>
      </w:r>
      <w:r>
        <w:rPr>
          <w:rFonts w:hint="eastAsia"/>
          <w:sz w:val="28"/>
          <w:szCs w:val="28"/>
          <w:highlight w:val="none"/>
        </w:rPr>
        <w:t>小时</w:t>
      </w:r>
      <w:r>
        <w:rPr>
          <w:sz w:val="28"/>
          <w:szCs w:val="28"/>
          <w:highlight w:val="none"/>
        </w:rPr>
        <w:t>内给予响应并提供服务。若乙方未予以响应，视为乙方认可甲方要求，乙方必须按照请求执行。</w:t>
      </w:r>
    </w:p>
    <w:p>
      <w:pPr>
        <w:ind w:firstLine="560" w:firstLineChars="200"/>
        <w:rPr>
          <w:sz w:val="28"/>
          <w:szCs w:val="28"/>
          <w:highlight w:val="none"/>
        </w:rPr>
      </w:pPr>
      <w:r>
        <w:rPr>
          <w:sz w:val="28"/>
          <w:szCs w:val="28"/>
          <w:highlight w:val="none"/>
        </w:rPr>
        <w:t>（2）乙方提供给甲方的服务，必须按照采购文件和承诺进行。</w:t>
      </w:r>
    </w:p>
    <w:p>
      <w:pPr>
        <w:ind w:firstLine="560" w:firstLineChars="2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3</w:t>
      </w:r>
      <w:r>
        <w:rPr>
          <w:rFonts w:hint="eastAsia" w:ascii="宋体" w:hAnsi="宋体"/>
          <w:sz w:val="28"/>
          <w:szCs w:val="28"/>
          <w:highlight w:val="none"/>
        </w:rPr>
        <w:t>）危险废物的转移必须严格按照网上转移申报相关要求执行。</w:t>
      </w:r>
    </w:p>
    <w:p>
      <w:pPr>
        <w:ind w:firstLine="560" w:firstLineChars="2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4</w:t>
      </w:r>
      <w:r>
        <w:rPr>
          <w:rFonts w:hint="eastAsia" w:ascii="宋体" w:hAnsi="宋体"/>
          <w:sz w:val="28"/>
          <w:szCs w:val="28"/>
          <w:highlight w:val="none"/>
        </w:rPr>
        <w:t>）乙方负责按危货运输要求装车。废物出校时，甲、乙双方对件数、重量、种类进行确认，以便跟踪管理与结算，如乙方不具备确认条件，则以处置单位确认为准。</w:t>
      </w:r>
    </w:p>
    <w:p>
      <w:pPr>
        <w:ind w:firstLine="560" w:firstLineChars="2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5</w:t>
      </w:r>
      <w:r>
        <w:rPr>
          <w:rFonts w:hint="eastAsia" w:ascii="宋体" w:hAnsi="宋体"/>
          <w:sz w:val="28"/>
          <w:szCs w:val="28"/>
          <w:highlight w:val="none"/>
        </w:rPr>
        <w:t>）乙方需将待处理的危险废物集中分类摆放，不可混入其他杂物或将危险废物混装，以保障处置单位处理方便及操作安全。</w:t>
      </w:r>
    </w:p>
    <w:p>
      <w:pPr>
        <w:ind w:firstLine="560" w:firstLineChars="2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6</w:t>
      </w:r>
      <w:r>
        <w:rPr>
          <w:rFonts w:hint="eastAsia" w:ascii="宋体" w:hAnsi="宋体"/>
          <w:sz w:val="28"/>
          <w:szCs w:val="28"/>
          <w:highlight w:val="none"/>
        </w:rPr>
        <w:t>）乙方危险废物的包装容器（袋）必须符合规范要求且不能有抛洒滴漏现象发生；为保证废弃物在运输途中不发生漏洒，乙方负责对废弃物进行合理、安全且可靠的包装，如因乙方提供包装物或容器质量问题等导致运输途中漏洒等，乙方应承担相应的责任。</w:t>
      </w:r>
    </w:p>
    <w:p>
      <w:pPr>
        <w:spacing w:line="360" w:lineRule="auto"/>
        <w:ind w:firstLine="562" w:firstLineChars="200"/>
        <w:rPr>
          <w:rFonts w:ascii="Calibri" w:hAnsi="Calibri"/>
          <w:b/>
          <w:sz w:val="28"/>
          <w:szCs w:val="28"/>
          <w:highlight w:val="none"/>
        </w:rPr>
      </w:pPr>
      <w:r>
        <w:rPr>
          <w:rFonts w:hint="eastAsia" w:ascii="Calibri" w:hAnsi="Calibri"/>
          <w:b/>
          <w:sz w:val="28"/>
          <w:szCs w:val="28"/>
          <w:highlight w:val="none"/>
        </w:rPr>
        <w:t>第二条</w:t>
      </w:r>
      <w:r>
        <w:rPr>
          <w:rFonts w:ascii="Calibri" w:hAnsi="Calibri"/>
          <w:b/>
          <w:sz w:val="28"/>
          <w:szCs w:val="28"/>
          <w:highlight w:val="none"/>
        </w:rPr>
        <w:t xml:space="preserve">  </w:t>
      </w:r>
      <w:r>
        <w:rPr>
          <w:rFonts w:hint="eastAsia" w:ascii="Calibri" w:hAnsi="Calibri"/>
          <w:b/>
          <w:sz w:val="28"/>
          <w:szCs w:val="28"/>
          <w:highlight w:val="none"/>
        </w:rPr>
        <w:t>甲方权利和义务</w:t>
      </w:r>
    </w:p>
    <w:p>
      <w:pPr>
        <w:ind w:firstLine="560" w:firstLineChars="200"/>
        <w:rPr>
          <w:sz w:val="28"/>
          <w:szCs w:val="28"/>
          <w:highlight w:val="none"/>
        </w:rPr>
      </w:pPr>
      <w:r>
        <w:rPr>
          <w:rFonts w:hint="eastAsia"/>
          <w:sz w:val="28"/>
          <w:szCs w:val="28"/>
          <w:highlight w:val="none"/>
        </w:rPr>
        <w:t>（1）甲方应及时向乙方书面申报需要转移的危险废物种类、数量等作为转移计划，</w:t>
      </w:r>
      <w:r>
        <w:rPr>
          <w:sz w:val="28"/>
          <w:szCs w:val="28"/>
          <w:highlight w:val="none"/>
        </w:rPr>
        <w:t>严格按照有关规定办理</w:t>
      </w:r>
      <w:r>
        <w:rPr>
          <w:rFonts w:hint="eastAsia"/>
          <w:sz w:val="28"/>
          <w:szCs w:val="28"/>
          <w:highlight w:val="none"/>
        </w:rPr>
        <w:t>危险废物</w:t>
      </w:r>
      <w:r>
        <w:rPr>
          <w:sz w:val="28"/>
          <w:szCs w:val="28"/>
          <w:highlight w:val="none"/>
        </w:rPr>
        <w:t>转移</w:t>
      </w:r>
      <w:r>
        <w:rPr>
          <w:rFonts w:hint="eastAsia"/>
          <w:sz w:val="28"/>
          <w:szCs w:val="28"/>
          <w:highlight w:val="none"/>
        </w:rPr>
        <w:t>确认</w:t>
      </w:r>
      <w:r>
        <w:rPr>
          <w:sz w:val="28"/>
          <w:szCs w:val="28"/>
          <w:highlight w:val="none"/>
        </w:rPr>
        <w:t>手续</w:t>
      </w:r>
      <w:r>
        <w:rPr>
          <w:rFonts w:hint="eastAsia"/>
          <w:sz w:val="28"/>
          <w:szCs w:val="28"/>
          <w:highlight w:val="none"/>
        </w:rPr>
        <w:t>。</w:t>
      </w:r>
    </w:p>
    <w:p>
      <w:pPr>
        <w:ind w:firstLine="560" w:firstLineChars="200"/>
        <w:rPr>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w:t>
      </w:r>
      <w:r>
        <w:rPr>
          <w:sz w:val="28"/>
          <w:szCs w:val="28"/>
          <w:highlight w:val="none"/>
        </w:rPr>
        <w:t>甲方应为乙方</w:t>
      </w:r>
      <w:r>
        <w:rPr>
          <w:rFonts w:hint="eastAsia"/>
          <w:sz w:val="28"/>
          <w:szCs w:val="28"/>
          <w:highlight w:val="none"/>
        </w:rPr>
        <w:t>收集、运输、</w:t>
      </w:r>
      <w:r>
        <w:rPr>
          <w:sz w:val="28"/>
          <w:szCs w:val="28"/>
          <w:highlight w:val="none"/>
        </w:rPr>
        <w:t>装卸</w:t>
      </w:r>
      <w:r>
        <w:rPr>
          <w:rFonts w:hint="eastAsia"/>
          <w:sz w:val="28"/>
          <w:szCs w:val="28"/>
          <w:highlight w:val="none"/>
        </w:rPr>
        <w:t>危险废物</w:t>
      </w:r>
      <w:r>
        <w:rPr>
          <w:sz w:val="28"/>
          <w:szCs w:val="28"/>
          <w:highlight w:val="none"/>
        </w:rPr>
        <w:t>提供尽可能的便利条件</w:t>
      </w:r>
      <w:r>
        <w:rPr>
          <w:rFonts w:hint="eastAsia"/>
          <w:sz w:val="28"/>
          <w:szCs w:val="28"/>
          <w:highlight w:val="none"/>
        </w:rPr>
        <w:t>，包括进场道路、作业场地等，</w:t>
      </w:r>
      <w:r>
        <w:rPr>
          <w:sz w:val="28"/>
          <w:szCs w:val="28"/>
          <w:highlight w:val="none"/>
        </w:rPr>
        <w:t>应有</w:t>
      </w:r>
      <w:r>
        <w:rPr>
          <w:rFonts w:hint="eastAsia"/>
          <w:sz w:val="28"/>
          <w:szCs w:val="28"/>
          <w:highlight w:val="none"/>
        </w:rPr>
        <w:t>专业对接</w:t>
      </w:r>
      <w:r>
        <w:rPr>
          <w:sz w:val="28"/>
          <w:szCs w:val="28"/>
          <w:highlight w:val="none"/>
        </w:rPr>
        <w:t>人员。</w:t>
      </w:r>
    </w:p>
    <w:p>
      <w:pPr>
        <w:ind w:firstLine="560" w:firstLineChars="200"/>
        <w:rPr>
          <w:sz w:val="28"/>
          <w:szCs w:val="28"/>
          <w:highlight w:val="none"/>
        </w:rPr>
      </w:pPr>
      <w:r>
        <w:rPr>
          <w:rFonts w:hint="eastAsia"/>
          <w:sz w:val="28"/>
          <w:szCs w:val="28"/>
          <w:highlight w:val="none"/>
        </w:rPr>
        <w:t>（3）</w:t>
      </w:r>
      <w:r>
        <w:rPr>
          <w:sz w:val="28"/>
          <w:szCs w:val="28"/>
          <w:highlight w:val="none"/>
        </w:rPr>
        <w:t>甲方须向乙方提供所委托</w:t>
      </w:r>
      <w:r>
        <w:rPr>
          <w:rFonts w:hint="eastAsia"/>
          <w:sz w:val="28"/>
          <w:szCs w:val="28"/>
          <w:highlight w:val="none"/>
        </w:rPr>
        <w:t>收集</w:t>
      </w:r>
      <w:r>
        <w:rPr>
          <w:sz w:val="28"/>
          <w:szCs w:val="28"/>
          <w:highlight w:val="none"/>
        </w:rPr>
        <w:t>处置危险废物的清单及特性，包括：废物名称、类别编号、废物代码、形态、包装物、年产生数量、主要化学成分及化学特性。根据乙方需要甲方有责任提供危险废物的采集样本，甲方须向乙方提供所有危险废物的MSDS（化学品安全技术说明书）</w:t>
      </w:r>
      <w:r>
        <w:rPr>
          <w:rFonts w:hint="eastAsia"/>
          <w:sz w:val="28"/>
          <w:szCs w:val="28"/>
          <w:highlight w:val="none"/>
        </w:rPr>
        <w:t>及相关的环评材料和排污许可证</w:t>
      </w:r>
      <w:r>
        <w:rPr>
          <w:sz w:val="28"/>
          <w:szCs w:val="28"/>
          <w:highlight w:val="none"/>
        </w:rPr>
        <w:t>。甲方对于无法描述清楚的废物，则须向乙方提供生产的原材料和工艺情况介绍，帮助乙方对危险废物的化学组份和特性进行判别。</w:t>
      </w:r>
    </w:p>
    <w:p>
      <w:pPr>
        <w:ind w:firstLine="560" w:firstLineChars="200"/>
        <w:rPr>
          <w:sz w:val="28"/>
          <w:szCs w:val="28"/>
          <w:highlight w:val="none"/>
        </w:rPr>
      </w:pPr>
      <w:r>
        <w:rPr>
          <w:rFonts w:hint="eastAsia"/>
          <w:sz w:val="28"/>
          <w:szCs w:val="28"/>
          <w:highlight w:val="none"/>
        </w:rPr>
        <w:t>（4）</w:t>
      </w:r>
      <w:r>
        <w:rPr>
          <w:sz w:val="28"/>
          <w:szCs w:val="28"/>
          <w:highlight w:val="none"/>
        </w:rPr>
        <w:t>甲方采用网上电子《危险废物转移联单》，必须按照</w:t>
      </w:r>
      <w:r>
        <w:rPr>
          <w:rFonts w:hint="eastAsia"/>
          <w:sz w:val="28"/>
          <w:szCs w:val="28"/>
          <w:highlight w:val="none"/>
        </w:rPr>
        <w:t>生态环境部门</w:t>
      </w:r>
      <w:r>
        <w:rPr>
          <w:sz w:val="28"/>
          <w:szCs w:val="28"/>
          <w:highlight w:val="none"/>
        </w:rPr>
        <w:t>要求完成填写。</w:t>
      </w:r>
    </w:p>
    <w:p>
      <w:pPr>
        <w:ind w:firstLine="560" w:firstLineChars="200"/>
        <w:rPr>
          <w:sz w:val="28"/>
          <w:szCs w:val="28"/>
          <w:highlight w:val="none"/>
        </w:rPr>
      </w:pPr>
      <w:r>
        <w:rPr>
          <w:rFonts w:hint="eastAsia"/>
          <w:sz w:val="28"/>
          <w:szCs w:val="28"/>
          <w:highlight w:val="none"/>
        </w:rPr>
        <w:t>（</w:t>
      </w:r>
      <w:r>
        <w:rPr>
          <w:sz w:val="28"/>
          <w:szCs w:val="28"/>
          <w:highlight w:val="none"/>
        </w:rPr>
        <w:t>5</w:t>
      </w:r>
      <w:r>
        <w:rPr>
          <w:rFonts w:hint="eastAsia"/>
          <w:sz w:val="28"/>
          <w:szCs w:val="28"/>
          <w:highlight w:val="none"/>
        </w:rPr>
        <w:t>）</w:t>
      </w:r>
      <w:r>
        <w:rPr>
          <w:sz w:val="28"/>
          <w:szCs w:val="28"/>
          <w:highlight w:val="none"/>
        </w:rPr>
        <w:t>甲方负责在其内部建立固定</w:t>
      </w:r>
      <w:r>
        <w:rPr>
          <w:rFonts w:hint="eastAsia"/>
          <w:sz w:val="28"/>
          <w:szCs w:val="28"/>
          <w:highlight w:val="none"/>
        </w:rPr>
        <w:t>符合标准</w:t>
      </w:r>
      <w:r>
        <w:rPr>
          <w:sz w:val="28"/>
          <w:szCs w:val="28"/>
          <w:highlight w:val="none"/>
        </w:rPr>
        <w:t>的危险废物</w:t>
      </w:r>
      <w:r>
        <w:rPr>
          <w:rFonts w:hint="eastAsia"/>
          <w:sz w:val="28"/>
          <w:szCs w:val="28"/>
          <w:highlight w:val="none"/>
        </w:rPr>
        <w:t>贮</w:t>
      </w:r>
      <w:r>
        <w:rPr>
          <w:sz w:val="28"/>
          <w:szCs w:val="28"/>
          <w:highlight w:val="none"/>
        </w:rPr>
        <w:t>存点（参照《危险废物贮存污染控制标准》GB 18597），并将待处置的危险废物全部集中到</w:t>
      </w:r>
      <w:r>
        <w:rPr>
          <w:rFonts w:hint="eastAsia"/>
          <w:sz w:val="28"/>
          <w:szCs w:val="28"/>
          <w:highlight w:val="none"/>
        </w:rPr>
        <w:t>贮</w:t>
      </w:r>
      <w:r>
        <w:rPr>
          <w:sz w:val="28"/>
          <w:szCs w:val="28"/>
          <w:highlight w:val="none"/>
        </w:rPr>
        <w:t>存点，分类包装，以便装卸，运输。</w:t>
      </w:r>
    </w:p>
    <w:p>
      <w:pPr>
        <w:ind w:firstLine="560" w:firstLineChars="200"/>
        <w:rPr>
          <w:sz w:val="28"/>
          <w:szCs w:val="28"/>
          <w:highlight w:val="none"/>
        </w:rPr>
      </w:pPr>
      <w:r>
        <w:rPr>
          <w:rFonts w:hint="eastAsia"/>
          <w:sz w:val="28"/>
          <w:szCs w:val="28"/>
          <w:highlight w:val="none"/>
        </w:rPr>
        <w:t>（</w:t>
      </w:r>
      <w:r>
        <w:rPr>
          <w:sz w:val="28"/>
          <w:szCs w:val="28"/>
          <w:highlight w:val="none"/>
        </w:rPr>
        <w:t>6</w:t>
      </w:r>
      <w:r>
        <w:rPr>
          <w:rFonts w:hint="eastAsia"/>
          <w:sz w:val="28"/>
          <w:szCs w:val="28"/>
          <w:highlight w:val="none"/>
        </w:rPr>
        <w:t>）</w:t>
      </w:r>
      <w:r>
        <w:rPr>
          <w:sz w:val="28"/>
          <w:szCs w:val="28"/>
          <w:highlight w:val="none"/>
        </w:rPr>
        <w:t>甲方应提供符合《危险废物收集、</w:t>
      </w:r>
      <w:r>
        <w:rPr>
          <w:rFonts w:hint="eastAsia"/>
          <w:sz w:val="28"/>
          <w:szCs w:val="28"/>
          <w:highlight w:val="none"/>
        </w:rPr>
        <w:t>贮</w:t>
      </w:r>
      <w:r>
        <w:rPr>
          <w:sz w:val="28"/>
          <w:szCs w:val="28"/>
          <w:highlight w:val="none"/>
        </w:rPr>
        <w:t>存、运输技术规范》</w:t>
      </w:r>
      <w:r>
        <w:rPr>
          <w:rFonts w:hint="eastAsia"/>
          <w:sz w:val="28"/>
          <w:szCs w:val="28"/>
          <w:highlight w:val="none"/>
        </w:rPr>
        <w:t>（</w:t>
      </w:r>
      <w:r>
        <w:rPr>
          <w:sz w:val="28"/>
          <w:szCs w:val="28"/>
          <w:highlight w:val="none"/>
        </w:rPr>
        <w:t>HJ 2025</w:t>
      </w:r>
      <w:r>
        <w:rPr>
          <w:rFonts w:hint="eastAsia"/>
          <w:sz w:val="28"/>
          <w:szCs w:val="28"/>
          <w:highlight w:val="none"/>
        </w:rPr>
        <w:t>）</w:t>
      </w:r>
      <w:r>
        <w:rPr>
          <w:sz w:val="28"/>
          <w:szCs w:val="28"/>
          <w:highlight w:val="none"/>
        </w:rPr>
        <w:t>的容器，对包装容器的安全和环保负责，杜绝散装，以防止跑、冒、滴、漏</w:t>
      </w:r>
      <w:r>
        <w:rPr>
          <w:rFonts w:hint="eastAsia"/>
          <w:sz w:val="28"/>
          <w:szCs w:val="28"/>
          <w:highlight w:val="none"/>
        </w:rPr>
        <w:t>。</w:t>
      </w:r>
      <w:r>
        <w:rPr>
          <w:sz w:val="28"/>
          <w:szCs w:val="28"/>
          <w:highlight w:val="none"/>
        </w:rPr>
        <w:t xml:space="preserve"> </w:t>
      </w:r>
    </w:p>
    <w:p>
      <w:pPr>
        <w:ind w:firstLine="560" w:firstLineChars="200"/>
        <w:rPr>
          <w:sz w:val="28"/>
          <w:szCs w:val="28"/>
          <w:highlight w:val="none"/>
        </w:rPr>
      </w:pPr>
      <w:r>
        <w:rPr>
          <w:rFonts w:hint="eastAsia"/>
          <w:sz w:val="28"/>
          <w:szCs w:val="28"/>
          <w:highlight w:val="none"/>
        </w:rPr>
        <w:t>（</w:t>
      </w:r>
      <w:r>
        <w:rPr>
          <w:sz w:val="28"/>
          <w:szCs w:val="28"/>
          <w:highlight w:val="none"/>
        </w:rPr>
        <w:t>7</w:t>
      </w:r>
      <w:r>
        <w:rPr>
          <w:rFonts w:hint="eastAsia"/>
          <w:sz w:val="28"/>
          <w:szCs w:val="28"/>
          <w:highlight w:val="none"/>
        </w:rPr>
        <w:t>）</w:t>
      </w:r>
      <w:r>
        <w:rPr>
          <w:sz w:val="28"/>
          <w:szCs w:val="28"/>
          <w:highlight w:val="none"/>
        </w:rPr>
        <w:t>甲方须保证转移危废与合同签订性质、包装一致。甲方盛装危险废物的容器和包装物应按照《危险废物贮存污染控制标准》</w:t>
      </w:r>
      <w:r>
        <w:rPr>
          <w:rFonts w:hint="eastAsia"/>
          <w:sz w:val="28"/>
          <w:szCs w:val="28"/>
          <w:highlight w:val="none"/>
        </w:rPr>
        <w:t>（</w:t>
      </w:r>
      <w:r>
        <w:rPr>
          <w:sz w:val="28"/>
          <w:szCs w:val="28"/>
          <w:highlight w:val="none"/>
        </w:rPr>
        <w:t>GB 18597</w:t>
      </w:r>
      <w:r>
        <w:rPr>
          <w:rFonts w:hint="eastAsia"/>
          <w:sz w:val="28"/>
          <w:szCs w:val="28"/>
          <w:highlight w:val="none"/>
        </w:rPr>
        <w:t>）</w:t>
      </w:r>
      <w:r>
        <w:rPr>
          <w:sz w:val="28"/>
          <w:szCs w:val="28"/>
          <w:highlight w:val="none"/>
        </w:rPr>
        <w:t>的规定设置危险废物标识标志，同时标识标志的危废名称、编码须与本</w:t>
      </w:r>
      <w:r>
        <w:rPr>
          <w:rFonts w:hint="eastAsia"/>
          <w:sz w:val="28"/>
          <w:szCs w:val="28"/>
          <w:highlight w:val="none"/>
        </w:rPr>
        <w:t>协议附件报价单</w:t>
      </w:r>
      <w:r>
        <w:rPr>
          <w:sz w:val="28"/>
          <w:szCs w:val="28"/>
          <w:highlight w:val="none"/>
        </w:rPr>
        <w:t>的内容一致，否则乙方有权利拒收，乙方由此产生的</w:t>
      </w:r>
      <w:r>
        <w:rPr>
          <w:rFonts w:hint="eastAsia"/>
          <w:sz w:val="28"/>
          <w:szCs w:val="28"/>
          <w:highlight w:val="none"/>
        </w:rPr>
        <w:t>车辆来回</w:t>
      </w:r>
      <w:r>
        <w:rPr>
          <w:sz w:val="28"/>
          <w:szCs w:val="28"/>
          <w:highlight w:val="none"/>
        </w:rPr>
        <w:t>返空费、</w:t>
      </w:r>
      <w:r>
        <w:rPr>
          <w:rFonts w:hint="eastAsia"/>
          <w:sz w:val="28"/>
          <w:szCs w:val="28"/>
          <w:highlight w:val="none"/>
        </w:rPr>
        <w:t>相关人员</w:t>
      </w:r>
      <w:r>
        <w:rPr>
          <w:sz w:val="28"/>
          <w:szCs w:val="28"/>
          <w:highlight w:val="none"/>
        </w:rPr>
        <w:t>误工费等由甲方承担</w:t>
      </w:r>
      <w:r>
        <w:rPr>
          <w:rFonts w:hint="eastAsia"/>
          <w:sz w:val="28"/>
          <w:szCs w:val="28"/>
          <w:highlight w:val="none"/>
        </w:rPr>
        <w:t>；若危废转移后，甲方实际转移废物在处置单位分析检测结果不符合处置单位要求，乙方有权退回危险废物，检测费、往返运输费及其他损失</w:t>
      </w:r>
      <w:r>
        <w:rPr>
          <w:sz w:val="28"/>
          <w:szCs w:val="28"/>
          <w:highlight w:val="none"/>
        </w:rPr>
        <w:t>由甲方承担</w:t>
      </w:r>
      <w:r>
        <w:rPr>
          <w:rFonts w:hint="eastAsia"/>
          <w:sz w:val="28"/>
          <w:szCs w:val="28"/>
          <w:highlight w:val="none"/>
        </w:rPr>
        <w:t>。上述费用乙方有权从甲方预缴费用中扣除（如甲方未预缴费用则应另行支付上述费用）</w:t>
      </w:r>
      <w:r>
        <w:rPr>
          <w:sz w:val="28"/>
          <w:szCs w:val="28"/>
          <w:highlight w:val="none"/>
        </w:rPr>
        <w:t>。</w:t>
      </w:r>
    </w:p>
    <w:p>
      <w:pPr>
        <w:ind w:firstLine="560" w:firstLineChars="200"/>
        <w:rPr>
          <w:sz w:val="28"/>
          <w:szCs w:val="28"/>
          <w:highlight w:val="none"/>
        </w:rPr>
      </w:pPr>
      <w:r>
        <w:rPr>
          <w:rFonts w:hint="eastAsia"/>
          <w:sz w:val="28"/>
          <w:szCs w:val="28"/>
          <w:highlight w:val="none"/>
        </w:rPr>
        <w:t>（</w:t>
      </w:r>
      <w:r>
        <w:rPr>
          <w:sz w:val="28"/>
          <w:szCs w:val="28"/>
          <w:highlight w:val="none"/>
        </w:rPr>
        <w:t>8</w:t>
      </w:r>
      <w:r>
        <w:rPr>
          <w:rFonts w:hint="eastAsia"/>
          <w:sz w:val="28"/>
          <w:szCs w:val="28"/>
          <w:highlight w:val="none"/>
        </w:rPr>
        <w:t>）</w:t>
      </w:r>
      <w:r>
        <w:rPr>
          <w:sz w:val="28"/>
          <w:szCs w:val="28"/>
          <w:highlight w:val="none"/>
        </w:rPr>
        <w:t>甲方有责任将其内部有关交通、安全及环境管理的规定告知乙方，</w:t>
      </w:r>
      <w:r>
        <w:rPr>
          <w:rFonts w:hint="eastAsia"/>
          <w:sz w:val="28"/>
          <w:szCs w:val="28"/>
          <w:highlight w:val="none"/>
        </w:rPr>
        <w:t>及时</w:t>
      </w:r>
      <w:r>
        <w:rPr>
          <w:sz w:val="28"/>
          <w:szCs w:val="28"/>
          <w:highlight w:val="none"/>
        </w:rPr>
        <w:t>办完环保手续，否则乙方不能及时转运废物，造成审批手续逾期的，乙方无责任。</w:t>
      </w:r>
    </w:p>
    <w:p>
      <w:pPr>
        <w:ind w:firstLine="560" w:firstLineChars="200"/>
        <w:rPr>
          <w:sz w:val="28"/>
          <w:szCs w:val="28"/>
          <w:highlight w:val="none"/>
        </w:rPr>
      </w:pPr>
      <w:r>
        <w:rPr>
          <w:rFonts w:hint="eastAsia"/>
          <w:sz w:val="28"/>
          <w:szCs w:val="28"/>
          <w:highlight w:val="none"/>
        </w:rPr>
        <w:t>（</w:t>
      </w:r>
      <w:r>
        <w:rPr>
          <w:sz w:val="28"/>
          <w:szCs w:val="28"/>
          <w:highlight w:val="none"/>
        </w:rPr>
        <w:t>9</w:t>
      </w:r>
      <w:r>
        <w:rPr>
          <w:rFonts w:hint="eastAsia"/>
          <w:sz w:val="28"/>
          <w:szCs w:val="28"/>
          <w:highlight w:val="none"/>
        </w:rPr>
        <w:t>）</w:t>
      </w:r>
      <w:r>
        <w:rPr>
          <w:sz w:val="28"/>
          <w:szCs w:val="28"/>
          <w:highlight w:val="none"/>
        </w:rPr>
        <w:t>甲方需派代表到危险废物转移现场，负责危废转移网上申报工作并核准转移危险废物的有效数量</w:t>
      </w:r>
      <w:r>
        <w:rPr>
          <w:rFonts w:hint="eastAsia"/>
          <w:sz w:val="28"/>
          <w:szCs w:val="28"/>
          <w:highlight w:val="none"/>
        </w:rPr>
        <w:t>、类别</w:t>
      </w:r>
      <w:r>
        <w:rPr>
          <w:sz w:val="28"/>
          <w:szCs w:val="28"/>
          <w:highlight w:val="none"/>
        </w:rPr>
        <w:t>，在乙方提供的《废物转移单》上签字确认，其转移数量不得超过</w:t>
      </w:r>
      <w:r>
        <w:rPr>
          <w:rFonts w:hint="eastAsia"/>
          <w:sz w:val="28"/>
          <w:szCs w:val="28"/>
          <w:highlight w:val="none"/>
        </w:rPr>
        <w:t>生态环境主管</w:t>
      </w:r>
      <w:r>
        <w:rPr>
          <w:sz w:val="28"/>
          <w:szCs w:val="28"/>
          <w:highlight w:val="none"/>
        </w:rPr>
        <w:t>部门审批数量。</w:t>
      </w:r>
    </w:p>
    <w:p>
      <w:pPr>
        <w:ind w:firstLine="560" w:firstLineChars="200"/>
        <w:rPr>
          <w:sz w:val="28"/>
          <w:szCs w:val="28"/>
          <w:highlight w:val="none"/>
        </w:rPr>
      </w:pPr>
      <w:r>
        <w:rPr>
          <w:rFonts w:hint="eastAsia"/>
          <w:sz w:val="28"/>
          <w:szCs w:val="28"/>
          <w:highlight w:val="none"/>
        </w:rPr>
        <w:t>（</w:t>
      </w:r>
      <w:r>
        <w:rPr>
          <w:sz w:val="28"/>
          <w:szCs w:val="28"/>
          <w:highlight w:val="none"/>
        </w:rPr>
        <w:t>10</w:t>
      </w:r>
      <w:r>
        <w:rPr>
          <w:rFonts w:hint="eastAsia"/>
          <w:sz w:val="28"/>
          <w:szCs w:val="28"/>
          <w:highlight w:val="none"/>
        </w:rPr>
        <w:t>）甲方应如实告知乙方危险废物的种类、成分。</w:t>
      </w:r>
      <w:r>
        <w:rPr>
          <w:sz w:val="28"/>
          <w:szCs w:val="28"/>
          <w:highlight w:val="none"/>
        </w:rPr>
        <w:t>甲方</w:t>
      </w:r>
      <w:r>
        <w:rPr>
          <w:rFonts w:hint="eastAsia"/>
          <w:sz w:val="28"/>
          <w:szCs w:val="28"/>
          <w:highlight w:val="none"/>
        </w:rPr>
        <w:t>危险废物</w:t>
      </w:r>
      <w:r>
        <w:rPr>
          <w:sz w:val="28"/>
          <w:szCs w:val="28"/>
          <w:highlight w:val="none"/>
        </w:rPr>
        <w:t>中不能有活泼金属、多氯联苯</w:t>
      </w:r>
      <w:r>
        <w:rPr>
          <w:rFonts w:hint="eastAsia"/>
          <w:sz w:val="28"/>
          <w:szCs w:val="28"/>
          <w:highlight w:val="none"/>
        </w:rPr>
        <w:t>、</w:t>
      </w:r>
      <w:r>
        <w:rPr>
          <w:sz w:val="28"/>
          <w:szCs w:val="28"/>
          <w:highlight w:val="none"/>
        </w:rPr>
        <w:t>剧毒、放射性、反应性、感染性废弃物</w:t>
      </w:r>
      <w:r>
        <w:rPr>
          <w:rFonts w:hint="eastAsia"/>
          <w:sz w:val="28"/>
          <w:szCs w:val="28"/>
          <w:highlight w:val="none"/>
        </w:rPr>
        <w:t>；</w:t>
      </w:r>
      <w:r>
        <w:rPr>
          <w:sz w:val="28"/>
          <w:szCs w:val="28"/>
          <w:highlight w:val="none"/>
        </w:rPr>
        <w:t>重金属、易燃、易爆、有毒、强腐蚀性的</w:t>
      </w:r>
      <w:r>
        <w:rPr>
          <w:rFonts w:hint="eastAsia"/>
          <w:sz w:val="28"/>
          <w:szCs w:val="28"/>
          <w:highlight w:val="none"/>
        </w:rPr>
        <w:t>危险废物</w:t>
      </w:r>
      <w:r>
        <w:rPr>
          <w:sz w:val="28"/>
          <w:szCs w:val="28"/>
          <w:highlight w:val="none"/>
        </w:rPr>
        <w:t>必须由</w:t>
      </w:r>
      <w:r>
        <w:rPr>
          <w:rFonts w:hint="eastAsia"/>
          <w:sz w:val="28"/>
          <w:szCs w:val="28"/>
          <w:highlight w:val="none"/>
        </w:rPr>
        <w:t>甲方</w:t>
      </w:r>
      <w:r>
        <w:rPr>
          <w:sz w:val="28"/>
          <w:szCs w:val="28"/>
          <w:highlight w:val="none"/>
        </w:rPr>
        <w:t>进行</w:t>
      </w:r>
      <w:r>
        <w:rPr>
          <w:rFonts w:hint="eastAsia"/>
          <w:sz w:val="28"/>
          <w:szCs w:val="28"/>
          <w:highlight w:val="none"/>
        </w:rPr>
        <w:t>合规的</w:t>
      </w:r>
      <w:r>
        <w:rPr>
          <w:sz w:val="28"/>
          <w:szCs w:val="28"/>
          <w:highlight w:val="none"/>
        </w:rPr>
        <w:t>预处理后才能</w:t>
      </w:r>
      <w:r>
        <w:rPr>
          <w:rFonts w:hint="eastAsia"/>
          <w:sz w:val="28"/>
          <w:szCs w:val="28"/>
          <w:highlight w:val="none"/>
        </w:rPr>
        <w:t>纳入服务范围；</w:t>
      </w:r>
      <w:r>
        <w:rPr>
          <w:sz w:val="28"/>
          <w:szCs w:val="28"/>
          <w:highlight w:val="none"/>
        </w:rPr>
        <w:t>对强酸、</w:t>
      </w:r>
      <w:r>
        <w:rPr>
          <w:rFonts w:hint="eastAsia"/>
          <w:sz w:val="28"/>
          <w:szCs w:val="28"/>
          <w:highlight w:val="none"/>
        </w:rPr>
        <w:t>强碱</w:t>
      </w:r>
      <w:r>
        <w:rPr>
          <w:sz w:val="28"/>
          <w:szCs w:val="28"/>
          <w:highlight w:val="none"/>
        </w:rPr>
        <w:t>、剧毒</w:t>
      </w:r>
      <w:r>
        <w:rPr>
          <w:rFonts w:hint="eastAsia"/>
          <w:sz w:val="28"/>
          <w:szCs w:val="28"/>
          <w:highlight w:val="none"/>
        </w:rPr>
        <w:t>危险废物甲方需</w:t>
      </w:r>
      <w:r>
        <w:rPr>
          <w:sz w:val="28"/>
          <w:szCs w:val="28"/>
          <w:highlight w:val="none"/>
        </w:rPr>
        <w:t>明确</w:t>
      </w:r>
      <w:r>
        <w:rPr>
          <w:rFonts w:hint="eastAsia"/>
          <w:sz w:val="28"/>
          <w:szCs w:val="28"/>
          <w:highlight w:val="none"/>
        </w:rPr>
        <w:t>提示</w:t>
      </w:r>
      <w:r>
        <w:rPr>
          <w:sz w:val="28"/>
          <w:szCs w:val="28"/>
          <w:highlight w:val="none"/>
        </w:rPr>
        <w:t>乙方。</w:t>
      </w:r>
      <w:r>
        <w:rPr>
          <w:rFonts w:hint="eastAsia"/>
          <w:sz w:val="28"/>
          <w:szCs w:val="28"/>
          <w:highlight w:val="none"/>
        </w:rPr>
        <w:t>如涉及废弃危化品、废弃剧毒品等需报备相关部门的危废，甲方负责办理应急部门、公安部门的申报手续。</w:t>
      </w:r>
    </w:p>
    <w:p>
      <w:pPr>
        <w:ind w:firstLine="560" w:firstLineChars="200"/>
        <w:rPr>
          <w:sz w:val="28"/>
          <w:szCs w:val="28"/>
          <w:highlight w:val="none"/>
        </w:rPr>
      </w:pPr>
      <w:r>
        <w:rPr>
          <w:rFonts w:hint="eastAsia"/>
          <w:sz w:val="28"/>
          <w:szCs w:val="28"/>
          <w:highlight w:val="none"/>
        </w:rPr>
        <w:t>（</w:t>
      </w:r>
      <w:r>
        <w:rPr>
          <w:sz w:val="28"/>
          <w:szCs w:val="28"/>
          <w:highlight w:val="none"/>
        </w:rPr>
        <w:t>11</w:t>
      </w:r>
      <w:r>
        <w:rPr>
          <w:rFonts w:hint="eastAsia"/>
          <w:sz w:val="28"/>
          <w:szCs w:val="28"/>
          <w:highlight w:val="none"/>
        </w:rPr>
        <w:t>）危险废物前端分类与标签应满足乙方的具体要求。甲方应将各类废物分开存放、做好标记标识，分类规范包装，不可混入其他杂物，以保障运输和处置的操作规范及安全。甲方危险废物的包装、标识及贮存需按照国家和地方相关规定执行，满足乙方提出的技术要求。</w:t>
      </w:r>
    </w:p>
    <w:p>
      <w:pPr>
        <w:ind w:firstLine="560" w:firstLineChars="200"/>
        <w:rPr>
          <w:sz w:val="28"/>
          <w:szCs w:val="28"/>
          <w:highlight w:val="none"/>
        </w:rPr>
      </w:pPr>
      <w:r>
        <w:rPr>
          <w:rFonts w:hint="eastAsia"/>
          <w:sz w:val="28"/>
          <w:szCs w:val="28"/>
          <w:highlight w:val="none"/>
        </w:rPr>
        <w:t>（</w:t>
      </w:r>
      <w:r>
        <w:rPr>
          <w:sz w:val="28"/>
          <w:szCs w:val="28"/>
          <w:highlight w:val="none"/>
        </w:rPr>
        <w:t>12</w:t>
      </w:r>
      <w:r>
        <w:rPr>
          <w:rFonts w:hint="eastAsia"/>
          <w:sz w:val="28"/>
          <w:szCs w:val="28"/>
          <w:highlight w:val="none"/>
        </w:rPr>
        <w:t>）如甲方违反本合同约定导致对乙方或第三人及环境造成损失或事故的，甲方需承担全部责任。</w:t>
      </w:r>
    </w:p>
    <w:p>
      <w:pPr>
        <w:spacing w:line="360" w:lineRule="auto"/>
        <w:ind w:firstLine="480" w:firstLineChars="200"/>
        <w:rPr>
          <w:rFonts w:ascii="Calibri" w:hAnsi="Calibri"/>
          <w:sz w:val="24"/>
          <w:highlight w:val="none"/>
        </w:rPr>
      </w:pPr>
    </w:p>
    <w:p>
      <w:pPr>
        <w:spacing w:line="360" w:lineRule="auto"/>
        <w:ind w:firstLine="562" w:firstLineChars="200"/>
        <w:rPr>
          <w:rFonts w:ascii="Calibri" w:hAnsi="Calibri"/>
          <w:sz w:val="28"/>
          <w:szCs w:val="28"/>
          <w:highlight w:val="none"/>
        </w:rPr>
      </w:pPr>
      <w:r>
        <w:rPr>
          <w:rFonts w:hint="eastAsia" w:ascii="Calibri" w:hAnsi="Calibri"/>
          <w:b/>
          <w:sz w:val="28"/>
          <w:szCs w:val="28"/>
          <w:highlight w:val="none"/>
        </w:rPr>
        <w:t>第三条</w:t>
      </w:r>
      <w:r>
        <w:rPr>
          <w:rFonts w:ascii="Calibri" w:hAnsi="Calibri"/>
          <w:b/>
          <w:sz w:val="28"/>
          <w:szCs w:val="28"/>
          <w:highlight w:val="none"/>
        </w:rPr>
        <w:t xml:space="preserve">  </w:t>
      </w:r>
      <w:r>
        <w:rPr>
          <w:rFonts w:hint="eastAsia" w:ascii="Calibri" w:hAnsi="Calibri"/>
          <w:b/>
          <w:sz w:val="28"/>
          <w:szCs w:val="28"/>
          <w:highlight w:val="none"/>
        </w:rPr>
        <w:t>乙方权利和义务</w:t>
      </w:r>
    </w:p>
    <w:p>
      <w:pPr>
        <w:spacing w:line="240" w:lineRule="auto"/>
        <w:ind w:firstLine="560" w:firstLineChars="200"/>
        <w:rPr>
          <w:rFonts w:ascii="Times New Roman" w:hAnsi="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w:t>
      </w:r>
      <w:r>
        <w:rPr>
          <w:rFonts w:ascii="Times New Roman" w:hAnsi="Times New Roman"/>
          <w:sz w:val="28"/>
          <w:szCs w:val="28"/>
          <w:highlight w:val="none"/>
        </w:rPr>
        <w:t xml:space="preserve"> </w:t>
      </w:r>
      <w:r>
        <w:rPr>
          <w:rFonts w:hint="eastAsia" w:ascii="Times New Roman" w:hAnsi="Times New Roman"/>
          <w:sz w:val="28"/>
          <w:szCs w:val="28"/>
          <w:highlight w:val="none"/>
        </w:rPr>
        <w:t>乙方应严格按照有关规定办理危险废物转移确认手续。</w:t>
      </w:r>
    </w:p>
    <w:p>
      <w:pPr>
        <w:spacing w:line="240" w:lineRule="auto"/>
        <w:ind w:firstLine="560" w:firstLineChars="200"/>
        <w:rPr>
          <w:rFonts w:ascii="Times New Roman" w:hAnsi="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w:t>
      </w:r>
      <w:r>
        <w:rPr>
          <w:rFonts w:hint="eastAsia" w:ascii="Times New Roman" w:hAnsi="Times New Roman"/>
          <w:sz w:val="28"/>
          <w:szCs w:val="28"/>
          <w:highlight w:val="none"/>
        </w:rPr>
        <w:t>乙方及其委托的</w:t>
      </w:r>
      <w:bookmarkStart w:id="12" w:name="_Hlk56674654"/>
      <w:r>
        <w:rPr>
          <w:rFonts w:hint="eastAsia" w:ascii="Times New Roman" w:hAnsi="Times New Roman"/>
          <w:sz w:val="28"/>
          <w:szCs w:val="28"/>
          <w:highlight w:val="none"/>
        </w:rPr>
        <w:t>处置单位</w:t>
      </w:r>
      <w:bookmarkEnd w:id="12"/>
      <w:r>
        <w:rPr>
          <w:rFonts w:hint="eastAsia" w:ascii="Times New Roman" w:hAnsi="Times New Roman"/>
          <w:sz w:val="28"/>
          <w:szCs w:val="28"/>
          <w:highlight w:val="none"/>
        </w:rPr>
        <w:t>应保证其所持有危险废物经营许可证合法有效，在业务允许范围内开展工作，严格遵守国家相关规章制度。</w:t>
      </w:r>
    </w:p>
    <w:p>
      <w:pPr>
        <w:spacing w:line="240" w:lineRule="auto"/>
        <w:ind w:firstLine="560" w:firstLineChars="200"/>
        <w:rPr>
          <w:rFonts w:ascii="Times New Roman" w:hAnsi="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w:t>
      </w:r>
      <w:r>
        <w:rPr>
          <w:rFonts w:hint="eastAsia" w:ascii="Times New Roman" w:hAnsi="Times New Roman"/>
          <w:sz w:val="28"/>
          <w:szCs w:val="28"/>
          <w:highlight w:val="none"/>
        </w:rPr>
        <w:t>乙方及其委托单位在危险废物收集、转运过程中必须严格遵守安全操作规程，采取相关安全措施。乙方及委托单位现场操作时需穿戴合适劳动保护用品，打包好的危险废物清理装车时，应有专人现场安全管理，监督检查。</w:t>
      </w:r>
    </w:p>
    <w:p>
      <w:pPr>
        <w:spacing w:line="240" w:lineRule="auto"/>
        <w:ind w:firstLine="560" w:firstLineChars="200"/>
        <w:rPr>
          <w:rFonts w:ascii="Times New Roman" w:hAnsi="Times New Roman"/>
          <w:sz w:val="28"/>
          <w:szCs w:val="28"/>
          <w:highlight w:val="none"/>
        </w:rPr>
      </w:pPr>
      <w:r>
        <w:rPr>
          <w:rFonts w:hint="eastAsia"/>
          <w:sz w:val="28"/>
          <w:szCs w:val="28"/>
          <w:highlight w:val="none"/>
        </w:rPr>
        <w:t>（</w:t>
      </w:r>
      <w:r>
        <w:rPr>
          <w:sz w:val="28"/>
          <w:szCs w:val="28"/>
          <w:highlight w:val="none"/>
        </w:rPr>
        <w:t>4</w:t>
      </w:r>
      <w:r>
        <w:rPr>
          <w:rFonts w:hint="eastAsia"/>
          <w:sz w:val="28"/>
          <w:szCs w:val="28"/>
          <w:highlight w:val="none"/>
        </w:rPr>
        <w:t>）</w:t>
      </w:r>
      <w:r>
        <w:rPr>
          <w:rFonts w:hint="eastAsia" w:ascii="Times New Roman" w:hAnsi="Times New Roman"/>
          <w:sz w:val="28"/>
          <w:szCs w:val="28"/>
          <w:highlight w:val="none"/>
        </w:rPr>
        <w:t>乙方有权拒绝甲方未在生态环境主管部门办理转移手续的废物（指《江苏省危险废物交换、转移申请表》、《危险废物转移联单》或网上申报）。</w:t>
      </w:r>
    </w:p>
    <w:p>
      <w:pPr>
        <w:spacing w:line="240" w:lineRule="auto"/>
        <w:ind w:firstLine="560" w:firstLineChars="200"/>
        <w:rPr>
          <w:rFonts w:ascii="Times New Roman" w:hAnsi="Times New Roman"/>
          <w:sz w:val="28"/>
          <w:szCs w:val="28"/>
          <w:highlight w:val="none"/>
        </w:rPr>
      </w:pPr>
      <w:r>
        <w:rPr>
          <w:rFonts w:hint="eastAsia"/>
          <w:sz w:val="28"/>
          <w:szCs w:val="28"/>
          <w:highlight w:val="none"/>
        </w:rPr>
        <w:t>（</w:t>
      </w:r>
      <w:r>
        <w:rPr>
          <w:sz w:val="28"/>
          <w:szCs w:val="28"/>
          <w:highlight w:val="none"/>
        </w:rPr>
        <w:t>5</w:t>
      </w:r>
      <w:r>
        <w:rPr>
          <w:rFonts w:hint="eastAsia"/>
          <w:sz w:val="28"/>
          <w:szCs w:val="28"/>
          <w:highlight w:val="none"/>
        </w:rPr>
        <w:t>）</w:t>
      </w:r>
      <w:r>
        <w:rPr>
          <w:rFonts w:hint="eastAsia" w:ascii="Times New Roman" w:hAnsi="Times New Roman"/>
          <w:sz w:val="28"/>
          <w:szCs w:val="28"/>
          <w:highlight w:val="none"/>
        </w:rPr>
        <w:t>乙方保证遵守国家有关交通、安全及环境管理的规定，配合甲方装车。</w:t>
      </w:r>
    </w:p>
    <w:p>
      <w:pPr>
        <w:spacing w:line="240" w:lineRule="auto"/>
        <w:ind w:firstLine="560" w:firstLineChars="200"/>
        <w:rPr>
          <w:rFonts w:ascii="Times New Roman" w:hAnsi="Times New Roman"/>
          <w:sz w:val="28"/>
          <w:szCs w:val="28"/>
          <w:highlight w:val="none"/>
        </w:rPr>
      </w:pPr>
      <w:r>
        <w:rPr>
          <w:rFonts w:hint="eastAsia"/>
          <w:sz w:val="28"/>
          <w:szCs w:val="28"/>
          <w:highlight w:val="none"/>
        </w:rPr>
        <w:t>（</w:t>
      </w:r>
      <w:r>
        <w:rPr>
          <w:sz w:val="28"/>
          <w:szCs w:val="28"/>
          <w:highlight w:val="none"/>
        </w:rPr>
        <w:t>6</w:t>
      </w:r>
      <w:r>
        <w:rPr>
          <w:rFonts w:hint="eastAsia"/>
          <w:sz w:val="28"/>
          <w:szCs w:val="28"/>
          <w:highlight w:val="none"/>
        </w:rPr>
        <w:t>）</w:t>
      </w:r>
      <w:r>
        <w:rPr>
          <w:rFonts w:hint="eastAsia" w:ascii="Times New Roman" w:hAnsi="Times New Roman"/>
          <w:sz w:val="28"/>
          <w:szCs w:val="28"/>
          <w:highlight w:val="none"/>
        </w:rPr>
        <w:t>乙方负责将《危险废物转移联单》中乙方填写部分内容填写完整，或按生态环境部门要求完成网上转移联单。</w:t>
      </w:r>
    </w:p>
    <w:p>
      <w:pPr>
        <w:spacing w:line="240" w:lineRule="auto"/>
        <w:ind w:firstLine="560" w:firstLineChars="200"/>
        <w:rPr>
          <w:rFonts w:ascii="Times New Roman" w:hAnsi="Times New Roman"/>
          <w:sz w:val="28"/>
          <w:szCs w:val="28"/>
          <w:highlight w:val="none"/>
        </w:rPr>
      </w:pPr>
      <w:r>
        <w:rPr>
          <w:rFonts w:hint="eastAsia"/>
          <w:sz w:val="28"/>
          <w:szCs w:val="28"/>
          <w:highlight w:val="none"/>
        </w:rPr>
        <w:t>（</w:t>
      </w:r>
      <w:r>
        <w:rPr>
          <w:sz w:val="28"/>
          <w:szCs w:val="28"/>
          <w:highlight w:val="none"/>
        </w:rPr>
        <w:t>7</w:t>
      </w:r>
      <w:r>
        <w:rPr>
          <w:rFonts w:hint="eastAsia"/>
          <w:sz w:val="28"/>
          <w:szCs w:val="28"/>
          <w:highlight w:val="none"/>
        </w:rPr>
        <w:t>）</w:t>
      </w:r>
      <w:r>
        <w:rPr>
          <w:rFonts w:hint="eastAsia" w:ascii="Times New Roman" w:hAnsi="Times New Roman"/>
          <w:sz w:val="28"/>
          <w:szCs w:val="28"/>
          <w:highlight w:val="none"/>
        </w:rPr>
        <w:t>乙方有义务接受甲方对其委托的过程监督，如乙方对废物的收集或委托处置不符合国家及生态环境部门的相关规定，甲方有权向生态环境主管部门举报。</w:t>
      </w:r>
    </w:p>
    <w:p>
      <w:pPr>
        <w:spacing w:line="240" w:lineRule="auto"/>
        <w:ind w:firstLine="560" w:firstLineChars="200"/>
        <w:rPr>
          <w:rFonts w:ascii="Times New Roman" w:hAnsi="Times New Roman"/>
          <w:sz w:val="28"/>
          <w:szCs w:val="28"/>
          <w:highlight w:val="none"/>
        </w:rPr>
      </w:pPr>
      <w:r>
        <w:rPr>
          <w:rFonts w:hint="eastAsia"/>
          <w:sz w:val="28"/>
          <w:szCs w:val="28"/>
          <w:highlight w:val="none"/>
        </w:rPr>
        <w:t>（</w:t>
      </w:r>
      <w:r>
        <w:rPr>
          <w:sz w:val="28"/>
          <w:szCs w:val="28"/>
          <w:highlight w:val="none"/>
        </w:rPr>
        <w:t>8</w:t>
      </w:r>
      <w:r>
        <w:rPr>
          <w:rFonts w:hint="eastAsia"/>
          <w:sz w:val="28"/>
          <w:szCs w:val="28"/>
          <w:highlight w:val="none"/>
        </w:rPr>
        <w:t>）</w:t>
      </w:r>
      <w:r>
        <w:rPr>
          <w:rFonts w:hint="eastAsia" w:ascii="Times New Roman" w:hAnsi="Times New Roman"/>
          <w:sz w:val="28"/>
          <w:szCs w:val="28"/>
          <w:highlight w:val="none"/>
        </w:rPr>
        <w:t>乙方有权利检查甲方转移危废情况，如果甲方转移危废与合同不一致，乙方有权拒收。</w:t>
      </w:r>
    </w:p>
    <w:p>
      <w:pPr>
        <w:spacing w:line="240" w:lineRule="auto"/>
        <w:ind w:firstLine="560" w:firstLineChars="200"/>
        <w:rPr>
          <w:rFonts w:ascii="Times New Roman" w:hAnsi="Times New Roman"/>
          <w:sz w:val="28"/>
          <w:szCs w:val="28"/>
          <w:highlight w:val="none"/>
        </w:rPr>
      </w:pPr>
      <w:r>
        <w:rPr>
          <w:rFonts w:hint="eastAsia"/>
          <w:sz w:val="28"/>
          <w:szCs w:val="28"/>
          <w:highlight w:val="none"/>
        </w:rPr>
        <w:t>（</w:t>
      </w:r>
      <w:r>
        <w:rPr>
          <w:sz w:val="28"/>
          <w:szCs w:val="28"/>
          <w:highlight w:val="none"/>
        </w:rPr>
        <w:t>9</w:t>
      </w:r>
      <w:r>
        <w:rPr>
          <w:rFonts w:hint="eastAsia"/>
          <w:sz w:val="28"/>
          <w:szCs w:val="28"/>
          <w:highlight w:val="none"/>
        </w:rPr>
        <w:t>）</w:t>
      </w:r>
      <w:r>
        <w:rPr>
          <w:rFonts w:hint="eastAsia" w:ascii="Times New Roman" w:hAnsi="Times New Roman"/>
          <w:sz w:val="28"/>
          <w:szCs w:val="28"/>
          <w:highlight w:val="none"/>
        </w:rPr>
        <w:t>如乙方违反本合同约定导致对甲方或第三人及环境造成损失或事故的，乙方需承担全部责任。</w:t>
      </w:r>
    </w:p>
    <w:p>
      <w:pPr>
        <w:ind w:firstLine="562" w:firstLineChars="200"/>
        <w:rPr>
          <w:b/>
          <w:bCs/>
          <w:sz w:val="28"/>
          <w:szCs w:val="28"/>
          <w:highlight w:val="none"/>
        </w:rPr>
      </w:pPr>
      <w:r>
        <w:rPr>
          <w:b/>
          <w:bCs/>
          <w:sz w:val="28"/>
          <w:szCs w:val="28"/>
          <w:highlight w:val="none"/>
        </w:rPr>
        <w:t>第</w:t>
      </w:r>
      <w:r>
        <w:rPr>
          <w:rFonts w:hint="eastAsia"/>
          <w:b/>
          <w:bCs/>
          <w:sz w:val="28"/>
          <w:szCs w:val="28"/>
          <w:highlight w:val="none"/>
        </w:rPr>
        <w:t>四</w:t>
      </w:r>
      <w:r>
        <w:rPr>
          <w:b/>
          <w:bCs/>
          <w:sz w:val="28"/>
          <w:szCs w:val="28"/>
          <w:highlight w:val="none"/>
        </w:rPr>
        <w:t>条  服务费及支付方式</w:t>
      </w:r>
    </w:p>
    <w:p>
      <w:pPr>
        <w:pStyle w:val="20"/>
        <w:ind w:left="420" w:firstLine="0" w:firstLineChars="0"/>
        <w:rPr>
          <w:sz w:val="28"/>
          <w:szCs w:val="28"/>
          <w:highlight w:val="none"/>
        </w:rPr>
      </w:pPr>
      <w:r>
        <w:rPr>
          <w:rFonts w:hint="eastAsia"/>
          <w:sz w:val="28"/>
          <w:szCs w:val="28"/>
          <w:highlight w:val="none"/>
        </w:rPr>
        <w:t>1、履约</w:t>
      </w:r>
      <w:r>
        <w:rPr>
          <w:sz w:val="28"/>
          <w:szCs w:val="28"/>
          <w:highlight w:val="none"/>
        </w:rPr>
        <w:t>保证金</w:t>
      </w:r>
      <w:r>
        <w:rPr>
          <w:rFonts w:hint="eastAsia"/>
          <w:sz w:val="28"/>
          <w:szCs w:val="28"/>
          <w:highlight w:val="none"/>
        </w:rPr>
        <w:t>：</w:t>
      </w:r>
      <w:bookmarkStart w:id="13" w:name="_Hlk57985297"/>
      <w:r>
        <w:rPr>
          <w:rFonts w:hint="eastAsia"/>
          <w:sz w:val="28"/>
          <w:szCs w:val="28"/>
          <w:highlight w:val="none"/>
        </w:rPr>
        <w:t>乙方在签订合同之前，按年度预算金额的10</w:t>
      </w:r>
      <w:r>
        <w:rPr>
          <w:sz w:val="28"/>
          <w:szCs w:val="28"/>
          <w:highlight w:val="none"/>
        </w:rPr>
        <w:t>%比例</w:t>
      </w:r>
      <w:r>
        <w:rPr>
          <w:rFonts w:hint="eastAsia"/>
          <w:sz w:val="28"/>
          <w:szCs w:val="28"/>
          <w:highlight w:val="none"/>
        </w:rPr>
        <w:t>向甲方缴纳</w:t>
      </w:r>
      <w:r>
        <w:rPr>
          <w:sz w:val="28"/>
          <w:szCs w:val="28"/>
          <w:highlight w:val="none"/>
        </w:rPr>
        <w:t>履约保证金，待</w:t>
      </w:r>
      <w:r>
        <w:rPr>
          <w:rFonts w:hint="eastAsia"/>
          <w:sz w:val="28"/>
          <w:szCs w:val="28"/>
          <w:highlight w:val="none"/>
        </w:rPr>
        <w:t>合同期满</w:t>
      </w:r>
      <w:r>
        <w:rPr>
          <w:sz w:val="28"/>
          <w:szCs w:val="28"/>
          <w:highlight w:val="none"/>
        </w:rPr>
        <w:t>不计利息退还。</w:t>
      </w:r>
      <w:bookmarkEnd w:id="13"/>
    </w:p>
    <w:p>
      <w:pPr>
        <w:pStyle w:val="20"/>
        <w:ind w:left="420" w:firstLine="0" w:firstLineChars="0"/>
        <w:rPr>
          <w:sz w:val="28"/>
          <w:szCs w:val="28"/>
          <w:highlight w:val="none"/>
        </w:rPr>
      </w:pPr>
      <w:r>
        <w:rPr>
          <w:rFonts w:hint="eastAsia"/>
          <w:sz w:val="28"/>
          <w:szCs w:val="28"/>
          <w:highlight w:val="none"/>
        </w:rPr>
        <w:t>2、甲乙双方一致同意项目服务费按阶段以人民币形式支付。</w:t>
      </w:r>
      <w:r>
        <w:rPr>
          <w:sz w:val="28"/>
          <w:szCs w:val="28"/>
          <w:highlight w:val="none"/>
        </w:rPr>
        <w:t>服务费</w:t>
      </w:r>
      <w:r>
        <w:rPr>
          <w:rFonts w:hint="eastAsia"/>
          <w:sz w:val="28"/>
          <w:szCs w:val="28"/>
          <w:highlight w:val="none"/>
        </w:rPr>
        <w:t>按实际结算（重量以危废转移联单及过磅单为准），固定单价如下：</w:t>
      </w:r>
    </w:p>
    <w:tbl>
      <w:tblPr>
        <w:tblStyle w:val="14"/>
        <w:tblW w:w="100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69"/>
        <w:gridCol w:w="2805"/>
        <w:gridCol w:w="992"/>
        <w:gridCol w:w="1099"/>
        <w:gridCol w:w="1940"/>
        <w:gridCol w:w="19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1269" w:type="dxa"/>
            <w:shd w:val="clear" w:color="auto" w:fill="auto"/>
            <w:noWrap/>
            <w:vAlign w:val="center"/>
          </w:tcPr>
          <w:p>
            <w:pPr>
              <w:jc w:val="center"/>
              <w:rPr>
                <w:sz w:val="28"/>
                <w:szCs w:val="28"/>
                <w:highlight w:val="none"/>
              </w:rPr>
            </w:pPr>
            <w:bookmarkStart w:id="14" w:name="_Hlk58514583"/>
            <w:r>
              <w:rPr>
                <w:sz w:val="28"/>
                <w:szCs w:val="28"/>
                <w:highlight w:val="none"/>
              </w:rPr>
              <w:t>序号</w:t>
            </w:r>
          </w:p>
        </w:tc>
        <w:tc>
          <w:tcPr>
            <w:tcW w:w="2805" w:type="dxa"/>
            <w:shd w:val="clear" w:color="auto" w:fill="auto"/>
            <w:noWrap/>
            <w:vAlign w:val="center"/>
          </w:tcPr>
          <w:p>
            <w:pPr>
              <w:jc w:val="center"/>
              <w:rPr>
                <w:sz w:val="28"/>
                <w:szCs w:val="28"/>
                <w:highlight w:val="none"/>
              </w:rPr>
            </w:pPr>
            <w:r>
              <w:rPr>
                <w:sz w:val="28"/>
                <w:szCs w:val="28"/>
                <w:highlight w:val="none"/>
              </w:rPr>
              <w:t>项目</w:t>
            </w:r>
          </w:p>
        </w:tc>
        <w:tc>
          <w:tcPr>
            <w:tcW w:w="992" w:type="dxa"/>
            <w:shd w:val="clear" w:color="auto" w:fill="auto"/>
            <w:noWrap/>
            <w:vAlign w:val="center"/>
          </w:tcPr>
          <w:p>
            <w:pPr>
              <w:jc w:val="center"/>
              <w:rPr>
                <w:sz w:val="28"/>
                <w:szCs w:val="28"/>
                <w:highlight w:val="none"/>
              </w:rPr>
            </w:pPr>
            <w:r>
              <w:rPr>
                <w:rFonts w:hint="eastAsia"/>
                <w:sz w:val="28"/>
                <w:szCs w:val="28"/>
                <w:highlight w:val="none"/>
              </w:rPr>
              <w:t>单位</w:t>
            </w:r>
          </w:p>
        </w:tc>
        <w:tc>
          <w:tcPr>
            <w:tcW w:w="1099" w:type="dxa"/>
            <w:shd w:val="clear" w:color="auto" w:fill="auto"/>
            <w:noWrap/>
            <w:vAlign w:val="center"/>
          </w:tcPr>
          <w:p>
            <w:pPr>
              <w:widowControl/>
              <w:jc w:val="center"/>
              <w:rPr>
                <w:rFonts w:eastAsiaTheme="majorEastAsia"/>
                <w:color w:val="000000"/>
                <w:kern w:val="0"/>
                <w:sz w:val="24"/>
                <w:highlight w:val="none"/>
              </w:rPr>
            </w:pPr>
            <w:r>
              <w:rPr>
                <w:rFonts w:eastAsiaTheme="majorEastAsia"/>
                <w:color w:val="000000"/>
                <w:kern w:val="0"/>
                <w:sz w:val="28"/>
                <w:szCs w:val="28"/>
                <w:highlight w:val="none"/>
              </w:rPr>
              <w:t>预估量</w:t>
            </w:r>
          </w:p>
        </w:tc>
        <w:tc>
          <w:tcPr>
            <w:tcW w:w="1940" w:type="dxa"/>
            <w:shd w:val="clear" w:color="auto" w:fill="auto"/>
            <w:noWrap/>
            <w:vAlign w:val="center"/>
          </w:tcPr>
          <w:p>
            <w:pPr>
              <w:jc w:val="center"/>
              <w:rPr>
                <w:sz w:val="28"/>
                <w:szCs w:val="28"/>
                <w:highlight w:val="none"/>
              </w:rPr>
            </w:pPr>
            <w:r>
              <w:rPr>
                <w:rFonts w:hint="eastAsia"/>
                <w:sz w:val="28"/>
                <w:szCs w:val="28"/>
                <w:highlight w:val="none"/>
              </w:rPr>
              <w:t>处置单价（元）</w:t>
            </w:r>
          </w:p>
        </w:tc>
        <w:tc>
          <w:tcPr>
            <w:tcW w:w="1922" w:type="dxa"/>
            <w:shd w:val="clear" w:color="auto" w:fill="auto"/>
            <w:noWrap/>
            <w:vAlign w:val="center"/>
          </w:tcPr>
          <w:p>
            <w:pPr>
              <w:jc w:val="center"/>
              <w:rPr>
                <w:sz w:val="28"/>
                <w:szCs w:val="28"/>
                <w:highlight w:val="none"/>
              </w:rPr>
            </w:pPr>
            <w:r>
              <w:rPr>
                <w:rFonts w:hint="eastAsia"/>
                <w:sz w:val="28"/>
                <w:szCs w:val="28"/>
                <w:highlight w:val="none"/>
              </w:rPr>
              <w:t>处置费（元）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1269"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1</w:t>
            </w:r>
          </w:p>
        </w:tc>
        <w:tc>
          <w:tcPr>
            <w:tcW w:w="2805"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实验室废液（900-047-49）</w:t>
            </w:r>
          </w:p>
        </w:tc>
        <w:tc>
          <w:tcPr>
            <w:tcW w:w="992"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吨</w:t>
            </w:r>
          </w:p>
        </w:tc>
        <w:tc>
          <w:tcPr>
            <w:tcW w:w="1099" w:type="dxa"/>
            <w:shd w:val="clear" w:color="auto" w:fill="auto"/>
            <w:noWrap/>
            <w:vAlign w:val="center"/>
          </w:tcPr>
          <w:p>
            <w:pPr>
              <w:widowControl/>
              <w:spacing w:line="500" w:lineRule="exact"/>
              <w:jc w:val="center"/>
              <w:rPr>
                <w:rFonts w:eastAsiaTheme="majorEastAsia"/>
                <w:color w:val="000000"/>
                <w:kern w:val="0"/>
                <w:sz w:val="28"/>
                <w:szCs w:val="28"/>
                <w:highlight w:val="none"/>
              </w:rPr>
            </w:pPr>
            <w:r>
              <w:rPr>
                <w:rFonts w:eastAsiaTheme="majorEastAsia"/>
                <w:color w:val="000000"/>
                <w:kern w:val="0"/>
                <w:sz w:val="28"/>
                <w:szCs w:val="28"/>
                <w:highlight w:val="none"/>
              </w:rPr>
              <w:t>16</w:t>
            </w:r>
          </w:p>
        </w:tc>
        <w:tc>
          <w:tcPr>
            <w:tcW w:w="1940" w:type="dxa"/>
            <w:shd w:val="clear" w:color="auto" w:fill="auto"/>
            <w:noWrap/>
            <w:vAlign w:val="center"/>
          </w:tcPr>
          <w:p>
            <w:pPr>
              <w:jc w:val="center"/>
              <w:rPr>
                <w:sz w:val="28"/>
                <w:szCs w:val="28"/>
                <w:highlight w:val="none"/>
              </w:rPr>
            </w:pPr>
          </w:p>
        </w:tc>
        <w:tc>
          <w:tcPr>
            <w:tcW w:w="1922" w:type="dxa"/>
            <w:shd w:val="clear" w:color="auto" w:fill="auto"/>
            <w:noWrap/>
            <w:vAlign w:val="center"/>
          </w:tcPr>
          <w:p>
            <w:pPr>
              <w:jc w:val="center"/>
              <w:rPr>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1269"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2</w:t>
            </w:r>
          </w:p>
        </w:tc>
        <w:tc>
          <w:tcPr>
            <w:tcW w:w="2805"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实验室空瓶（900-047-49）</w:t>
            </w:r>
          </w:p>
        </w:tc>
        <w:tc>
          <w:tcPr>
            <w:tcW w:w="992"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吨</w:t>
            </w:r>
          </w:p>
        </w:tc>
        <w:tc>
          <w:tcPr>
            <w:tcW w:w="1099" w:type="dxa"/>
            <w:shd w:val="clear" w:color="auto" w:fill="auto"/>
            <w:noWrap/>
            <w:vAlign w:val="center"/>
          </w:tcPr>
          <w:p>
            <w:pPr>
              <w:widowControl/>
              <w:spacing w:line="500" w:lineRule="exact"/>
              <w:jc w:val="center"/>
              <w:rPr>
                <w:rFonts w:eastAsiaTheme="majorEastAsia"/>
                <w:color w:val="000000"/>
                <w:kern w:val="0"/>
                <w:sz w:val="28"/>
                <w:szCs w:val="28"/>
                <w:highlight w:val="none"/>
              </w:rPr>
            </w:pPr>
            <w:r>
              <w:rPr>
                <w:rFonts w:eastAsiaTheme="majorEastAsia"/>
                <w:color w:val="000000"/>
                <w:kern w:val="0"/>
                <w:sz w:val="28"/>
                <w:szCs w:val="28"/>
                <w:highlight w:val="none"/>
              </w:rPr>
              <w:t>8</w:t>
            </w:r>
          </w:p>
        </w:tc>
        <w:tc>
          <w:tcPr>
            <w:tcW w:w="1940" w:type="dxa"/>
            <w:shd w:val="clear" w:color="auto" w:fill="auto"/>
            <w:noWrap/>
            <w:vAlign w:val="center"/>
          </w:tcPr>
          <w:p>
            <w:pPr>
              <w:jc w:val="center"/>
              <w:rPr>
                <w:sz w:val="28"/>
                <w:szCs w:val="28"/>
                <w:highlight w:val="none"/>
              </w:rPr>
            </w:pPr>
          </w:p>
        </w:tc>
        <w:tc>
          <w:tcPr>
            <w:tcW w:w="1922" w:type="dxa"/>
            <w:shd w:val="clear" w:color="auto" w:fill="auto"/>
            <w:noWrap/>
            <w:vAlign w:val="center"/>
          </w:tcPr>
          <w:p>
            <w:pPr>
              <w:jc w:val="center"/>
              <w:rPr>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1269"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3</w:t>
            </w:r>
          </w:p>
        </w:tc>
        <w:tc>
          <w:tcPr>
            <w:tcW w:w="2805"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固体废弃物（900-047-49）</w:t>
            </w:r>
          </w:p>
        </w:tc>
        <w:tc>
          <w:tcPr>
            <w:tcW w:w="992"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吨</w:t>
            </w:r>
          </w:p>
        </w:tc>
        <w:tc>
          <w:tcPr>
            <w:tcW w:w="1099" w:type="dxa"/>
            <w:shd w:val="clear" w:color="auto" w:fill="auto"/>
            <w:noWrap/>
            <w:vAlign w:val="center"/>
          </w:tcPr>
          <w:p>
            <w:pPr>
              <w:widowControl/>
              <w:spacing w:line="500" w:lineRule="exact"/>
              <w:jc w:val="center"/>
              <w:rPr>
                <w:rFonts w:eastAsiaTheme="majorEastAsia"/>
                <w:color w:val="000000"/>
                <w:kern w:val="0"/>
                <w:sz w:val="28"/>
                <w:szCs w:val="28"/>
                <w:highlight w:val="none"/>
              </w:rPr>
            </w:pPr>
            <w:r>
              <w:rPr>
                <w:rFonts w:eastAsiaTheme="majorEastAsia"/>
                <w:color w:val="000000"/>
                <w:kern w:val="0"/>
                <w:sz w:val="28"/>
                <w:szCs w:val="28"/>
                <w:highlight w:val="none"/>
              </w:rPr>
              <w:t>10</w:t>
            </w:r>
          </w:p>
        </w:tc>
        <w:tc>
          <w:tcPr>
            <w:tcW w:w="1940" w:type="dxa"/>
            <w:shd w:val="clear" w:color="auto" w:fill="auto"/>
            <w:noWrap/>
            <w:vAlign w:val="center"/>
          </w:tcPr>
          <w:p>
            <w:pPr>
              <w:jc w:val="center"/>
              <w:rPr>
                <w:sz w:val="28"/>
                <w:szCs w:val="28"/>
                <w:highlight w:val="none"/>
              </w:rPr>
            </w:pPr>
          </w:p>
        </w:tc>
        <w:tc>
          <w:tcPr>
            <w:tcW w:w="1922" w:type="dxa"/>
            <w:shd w:val="clear" w:color="auto" w:fill="auto"/>
            <w:noWrap/>
            <w:vAlign w:val="center"/>
          </w:tcPr>
          <w:p>
            <w:pPr>
              <w:jc w:val="center"/>
              <w:rPr>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1269"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4</w:t>
            </w:r>
          </w:p>
        </w:tc>
        <w:tc>
          <w:tcPr>
            <w:tcW w:w="2805"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实验室废胶（900-047-49）</w:t>
            </w:r>
          </w:p>
        </w:tc>
        <w:tc>
          <w:tcPr>
            <w:tcW w:w="992"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吨</w:t>
            </w:r>
          </w:p>
        </w:tc>
        <w:tc>
          <w:tcPr>
            <w:tcW w:w="1099" w:type="dxa"/>
            <w:shd w:val="clear" w:color="auto" w:fill="auto"/>
            <w:noWrap/>
            <w:vAlign w:val="center"/>
          </w:tcPr>
          <w:p>
            <w:pPr>
              <w:widowControl/>
              <w:spacing w:line="500" w:lineRule="exact"/>
              <w:jc w:val="center"/>
              <w:rPr>
                <w:rFonts w:eastAsiaTheme="majorEastAsia"/>
                <w:color w:val="000000"/>
                <w:kern w:val="0"/>
                <w:sz w:val="28"/>
                <w:szCs w:val="28"/>
                <w:highlight w:val="none"/>
              </w:rPr>
            </w:pPr>
            <w:r>
              <w:rPr>
                <w:rFonts w:eastAsiaTheme="majorEastAsia"/>
                <w:color w:val="000000"/>
                <w:kern w:val="0"/>
                <w:sz w:val="28"/>
                <w:szCs w:val="28"/>
                <w:highlight w:val="none"/>
              </w:rPr>
              <w:t>2</w:t>
            </w:r>
          </w:p>
        </w:tc>
        <w:tc>
          <w:tcPr>
            <w:tcW w:w="1940" w:type="dxa"/>
            <w:shd w:val="clear" w:color="auto" w:fill="auto"/>
            <w:noWrap/>
            <w:vAlign w:val="center"/>
          </w:tcPr>
          <w:p>
            <w:pPr>
              <w:jc w:val="center"/>
              <w:rPr>
                <w:sz w:val="28"/>
                <w:szCs w:val="28"/>
                <w:highlight w:val="none"/>
              </w:rPr>
            </w:pPr>
          </w:p>
        </w:tc>
        <w:tc>
          <w:tcPr>
            <w:tcW w:w="1922" w:type="dxa"/>
            <w:shd w:val="clear" w:color="auto" w:fill="auto"/>
            <w:noWrap/>
            <w:vAlign w:val="center"/>
          </w:tcPr>
          <w:p>
            <w:pPr>
              <w:jc w:val="center"/>
              <w:rPr>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1269"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5</w:t>
            </w:r>
          </w:p>
        </w:tc>
        <w:tc>
          <w:tcPr>
            <w:tcW w:w="2805"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实验室废土（900-047-49）</w:t>
            </w:r>
          </w:p>
        </w:tc>
        <w:tc>
          <w:tcPr>
            <w:tcW w:w="992"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吨</w:t>
            </w:r>
          </w:p>
        </w:tc>
        <w:tc>
          <w:tcPr>
            <w:tcW w:w="1099" w:type="dxa"/>
            <w:shd w:val="clear" w:color="auto" w:fill="auto"/>
            <w:noWrap/>
            <w:vAlign w:val="center"/>
          </w:tcPr>
          <w:p>
            <w:pPr>
              <w:widowControl/>
              <w:spacing w:line="500" w:lineRule="exact"/>
              <w:jc w:val="center"/>
              <w:rPr>
                <w:rFonts w:eastAsiaTheme="majorEastAsia"/>
                <w:color w:val="000000"/>
                <w:kern w:val="0"/>
                <w:sz w:val="28"/>
                <w:szCs w:val="28"/>
                <w:highlight w:val="none"/>
              </w:rPr>
            </w:pPr>
            <w:r>
              <w:rPr>
                <w:rFonts w:eastAsiaTheme="majorEastAsia"/>
                <w:color w:val="000000"/>
                <w:kern w:val="0"/>
                <w:sz w:val="28"/>
                <w:szCs w:val="28"/>
                <w:highlight w:val="none"/>
              </w:rPr>
              <w:t>2</w:t>
            </w:r>
          </w:p>
        </w:tc>
        <w:tc>
          <w:tcPr>
            <w:tcW w:w="1940" w:type="dxa"/>
            <w:shd w:val="clear" w:color="auto" w:fill="auto"/>
            <w:noWrap/>
            <w:vAlign w:val="center"/>
          </w:tcPr>
          <w:p>
            <w:pPr>
              <w:jc w:val="center"/>
              <w:rPr>
                <w:sz w:val="28"/>
                <w:szCs w:val="28"/>
                <w:highlight w:val="none"/>
              </w:rPr>
            </w:pPr>
          </w:p>
        </w:tc>
        <w:tc>
          <w:tcPr>
            <w:tcW w:w="1922" w:type="dxa"/>
            <w:shd w:val="clear" w:color="auto" w:fill="auto"/>
            <w:noWrap/>
            <w:vAlign w:val="center"/>
          </w:tcPr>
          <w:p>
            <w:pPr>
              <w:jc w:val="center"/>
              <w:rPr>
                <w:b/>
                <w:bCs/>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1269"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6</w:t>
            </w:r>
          </w:p>
        </w:tc>
        <w:tc>
          <w:tcPr>
            <w:tcW w:w="2805"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实验室活性炭（900-039-49）</w:t>
            </w:r>
          </w:p>
        </w:tc>
        <w:tc>
          <w:tcPr>
            <w:tcW w:w="992"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吨</w:t>
            </w:r>
          </w:p>
        </w:tc>
        <w:tc>
          <w:tcPr>
            <w:tcW w:w="1099" w:type="dxa"/>
            <w:shd w:val="clear" w:color="auto" w:fill="auto"/>
            <w:noWrap/>
            <w:vAlign w:val="center"/>
          </w:tcPr>
          <w:p>
            <w:pPr>
              <w:widowControl/>
              <w:spacing w:line="500" w:lineRule="exact"/>
              <w:jc w:val="center"/>
              <w:rPr>
                <w:rFonts w:eastAsiaTheme="majorEastAsia"/>
                <w:color w:val="000000"/>
                <w:kern w:val="0"/>
                <w:sz w:val="28"/>
                <w:szCs w:val="28"/>
                <w:highlight w:val="none"/>
              </w:rPr>
            </w:pPr>
            <w:r>
              <w:rPr>
                <w:rFonts w:eastAsiaTheme="majorEastAsia"/>
                <w:color w:val="000000"/>
                <w:kern w:val="0"/>
                <w:sz w:val="28"/>
                <w:szCs w:val="28"/>
                <w:highlight w:val="none"/>
              </w:rPr>
              <w:t>2</w:t>
            </w:r>
          </w:p>
        </w:tc>
        <w:tc>
          <w:tcPr>
            <w:tcW w:w="1940" w:type="dxa"/>
            <w:shd w:val="clear" w:color="auto" w:fill="auto"/>
            <w:noWrap/>
            <w:vAlign w:val="center"/>
          </w:tcPr>
          <w:p>
            <w:pPr>
              <w:jc w:val="center"/>
              <w:rPr>
                <w:sz w:val="28"/>
                <w:szCs w:val="28"/>
                <w:highlight w:val="none"/>
              </w:rPr>
            </w:pPr>
          </w:p>
        </w:tc>
        <w:tc>
          <w:tcPr>
            <w:tcW w:w="1922" w:type="dxa"/>
            <w:shd w:val="clear" w:color="auto" w:fill="auto"/>
            <w:noWrap/>
            <w:vAlign w:val="center"/>
          </w:tcPr>
          <w:p>
            <w:pPr>
              <w:jc w:val="center"/>
              <w:rPr>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1269"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7</w:t>
            </w:r>
          </w:p>
        </w:tc>
        <w:tc>
          <w:tcPr>
            <w:tcW w:w="2805"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过期试剂(不含剧毒类、含汞类、爆炸类、民爆类)（900-999-49）</w:t>
            </w:r>
          </w:p>
        </w:tc>
        <w:tc>
          <w:tcPr>
            <w:tcW w:w="992"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吨</w:t>
            </w:r>
          </w:p>
        </w:tc>
        <w:tc>
          <w:tcPr>
            <w:tcW w:w="1099" w:type="dxa"/>
            <w:shd w:val="clear" w:color="auto" w:fill="auto"/>
            <w:noWrap/>
            <w:vAlign w:val="center"/>
          </w:tcPr>
          <w:p>
            <w:pPr>
              <w:widowControl/>
              <w:spacing w:line="500" w:lineRule="exact"/>
              <w:jc w:val="center"/>
              <w:rPr>
                <w:rFonts w:eastAsiaTheme="majorEastAsia"/>
                <w:color w:val="000000"/>
                <w:kern w:val="0"/>
                <w:sz w:val="28"/>
                <w:szCs w:val="28"/>
                <w:highlight w:val="none"/>
              </w:rPr>
            </w:pPr>
            <w:r>
              <w:rPr>
                <w:rFonts w:eastAsiaTheme="majorEastAsia"/>
                <w:color w:val="000000"/>
                <w:kern w:val="0"/>
                <w:sz w:val="28"/>
                <w:szCs w:val="28"/>
                <w:highlight w:val="none"/>
              </w:rPr>
              <w:t>2</w:t>
            </w:r>
          </w:p>
        </w:tc>
        <w:tc>
          <w:tcPr>
            <w:tcW w:w="1940" w:type="dxa"/>
            <w:shd w:val="clear" w:color="auto" w:fill="auto"/>
            <w:noWrap/>
            <w:vAlign w:val="center"/>
          </w:tcPr>
          <w:p>
            <w:pPr>
              <w:jc w:val="center"/>
              <w:rPr>
                <w:sz w:val="28"/>
                <w:szCs w:val="28"/>
                <w:highlight w:val="none"/>
              </w:rPr>
            </w:pPr>
          </w:p>
        </w:tc>
        <w:tc>
          <w:tcPr>
            <w:tcW w:w="1922" w:type="dxa"/>
            <w:shd w:val="clear" w:color="auto" w:fill="auto"/>
            <w:noWrap/>
            <w:vAlign w:val="center"/>
          </w:tcPr>
          <w:p>
            <w:pPr>
              <w:jc w:val="center"/>
              <w:rPr>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1269"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8</w:t>
            </w:r>
          </w:p>
        </w:tc>
        <w:tc>
          <w:tcPr>
            <w:tcW w:w="2805"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含汞类过期试剂（900-999-49）</w:t>
            </w:r>
          </w:p>
        </w:tc>
        <w:tc>
          <w:tcPr>
            <w:tcW w:w="992" w:type="dxa"/>
            <w:shd w:val="clear" w:color="auto" w:fill="auto"/>
            <w:noWrap/>
            <w:vAlign w:val="center"/>
          </w:tcPr>
          <w:p>
            <w:pPr>
              <w:widowControl/>
              <w:spacing w:line="500" w:lineRule="exact"/>
              <w:jc w:val="center"/>
              <w:rPr>
                <w:sz w:val="28"/>
                <w:szCs w:val="28"/>
                <w:highlight w:val="none"/>
              </w:rPr>
            </w:pPr>
            <w:r>
              <w:rPr>
                <w:rFonts w:eastAsiaTheme="majorEastAsia"/>
                <w:color w:val="000000"/>
                <w:kern w:val="0"/>
                <w:sz w:val="28"/>
                <w:szCs w:val="28"/>
                <w:highlight w:val="none"/>
              </w:rPr>
              <w:t>公斤</w:t>
            </w:r>
          </w:p>
        </w:tc>
        <w:tc>
          <w:tcPr>
            <w:tcW w:w="1099" w:type="dxa"/>
            <w:shd w:val="clear" w:color="auto" w:fill="auto"/>
            <w:noWrap/>
            <w:vAlign w:val="center"/>
          </w:tcPr>
          <w:p>
            <w:pPr>
              <w:widowControl/>
              <w:spacing w:line="500" w:lineRule="exact"/>
              <w:jc w:val="center"/>
              <w:rPr>
                <w:rFonts w:eastAsiaTheme="majorEastAsia"/>
                <w:color w:val="000000"/>
                <w:kern w:val="0"/>
                <w:sz w:val="28"/>
                <w:szCs w:val="28"/>
                <w:highlight w:val="none"/>
              </w:rPr>
            </w:pPr>
            <w:r>
              <w:rPr>
                <w:rFonts w:eastAsiaTheme="majorEastAsia"/>
                <w:color w:val="000000"/>
                <w:kern w:val="0"/>
                <w:sz w:val="28"/>
                <w:szCs w:val="28"/>
                <w:highlight w:val="none"/>
              </w:rPr>
              <w:t>5</w:t>
            </w:r>
          </w:p>
        </w:tc>
        <w:tc>
          <w:tcPr>
            <w:tcW w:w="1940" w:type="dxa"/>
            <w:shd w:val="clear" w:color="auto" w:fill="auto"/>
            <w:noWrap/>
            <w:vAlign w:val="center"/>
          </w:tcPr>
          <w:p>
            <w:pPr>
              <w:jc w:val="center"/>
              <w:rPr>
                <w:sz w:val="28"/>
                <w:szCs w:val="28"/>
                <w:highlight w:val="none"/>
              </w:rPr>
            </w:pPr>
          </w:p>
        </w:tc>
        <w:tc>
          <w:tcPr>
            <w:tcW w:w="1922" w:type="dxa"/>
            <w:shd w:val="clear" w:color="auto" w:fill="auto"/>
            <w:noWrap/>
            <w:vAlign w:val="center"/>
          </w:tcPr>
          <w:p>
            <w:pPr>
              <w:jc w:val="center"/>
              <w:rPr>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4074" w:type="dxa"/>
            <w:gridSpan w:val="2"/>
            <w:shd w:val="clear" w:color="auto" w:fill="auto"/>
            <w:noWrap/>
            <w:vAlign w:val="center"/>
          </w:tcPr>
          <w:p>
            <w:pPr>
              <w:widowControl/>
              <w:spacing w:line="500" w:lineRule="exact"/>
              <w:jc w:val="center"/>
              <w:rPr>
                <w:rFonts w:eastAsiaTheme="majorEastAsia"/>
                <w:color w:val="000000"/>
                <w:kern w:val="0"/>
                <w:sz w:val="24"/>
                <w:highlight w:val="none"/>
              </w:rPr>
            </w:pPr>
            <w:r>
              <w:rPr>
                <w:rFonts w:hint="eastAsia" w:eastAsiaTheme="majorEastAsia"/>
                <w:color w:val="000000"/>
                <w:kern w:val="0"/>
                <w:sz w:val="28"/>
                <w:szCs w:val="28"/>
                <w:highlight w:val="none"/>
              </w:rPr>
              <w:t>合计：</w:t>
            </w:r>
          </w:p>
        </w:tc>
        <w:tc>
          <w:tcPr>
            <w:tcW w:w="5953" w:type="dxa"/>
            <w:gridSpan w:val="4"/>
            <w:shd w:val="clear" w:color="auto" w:fill="auto"/>
            <w:noWrap/>
            <w:vAlign w:val="center"/>
          </w:tcPr>
          <w:p>
            <w:pPr>
              <w:rPr>
                <w:sz w:val="28"/>
                <w:szCs w:val="28"/>
                <w:highlight w:val="none"/>
              </w:rPr>
            </w:pPr>
            <w:r>
              <w:rPr>
                <w:rFonts w:hint="eastAsia"/>
                <w:sz w:val="28"/>
                <w:szCs w:val="28"/>
                <w:highlight w:val="none"/>
              </w:rPr>
              <w:t>大写：             小写：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10027" w:type="dxa"/>
            <w:gridSpan w:val="6"/>
            <w:shd w:val="clear" w:color="auto" w:fill="auto"/>
            <w:noWrap/>
            <w:vAlign w:val="center"/>
          </w:tcPr>
          <w:p>
            <w:pPr>
              <w:rPr>
                <w:b/>
                <w:sz w:val="28"/>
                <w:szCs w:val="28"/>
                <w:highlight w:val="none"/>
              </w:rPr>
            </w:pPr>
            <w:r>
              <w:rPr>
                <w:rFonts w:hint="eastAsia"/>
                <w:sz w:val="28"/>
                <w:szCs w:val="28"/>
                <w:highlight w:val="none"/>
              </w:rPr>
              <w:t>注：乙方已将设备费、耗材费（按需配备的实验室废液桶、纸箱、托盘、防渗漏编织袋、防渗漏吨袋、实验室废弃物标贴、废弃物专用垃圾袋、危废库规范化展板、实验室危废标识、工作服、劳保鞋、手套等）、服务费、代理费、运输费、上下力费、人工费、检测费、安装费、运输费、调试费、安装辅材、相关调换费用、质保后续服务、管理费、合理利润、国家相关税费（含关税）及其他所有费用包含在内。在乙方服务过程中所发生的一切费用，无论乙方是否在报价中列出相关明细报价，甲方均认为其价格已含在报价中，乙方不得以任何理由向甲方提出增加费用的要求，且不能影响服务质量。</w:t>
            </w:r>
          </w:p>
        </w:tc>
      </w:tr>
      <w:bookmarkEnd w:id="14"/>
    </w:tbl>
    <w:p>
      <w:pPr>
        <w:ind w:firstLine="560" w:firstLineChars="200"/>
        <w:rPr>
          <w:highlight w:val="none"/>
        </w:rPr>
      </w:pPr>
      <w:r>
        <w:rPr>
          <w:rFonts w:hint="eastAsia"/>
          <w:sz w:val="28"/>
          <w:szCs w:val="28"/>
          <w:highlight w:val="none"/>
        </w:rPr>
        <w:t>3</w:t>
      </w:r>
      <w:r>
        <w:rPr>
          <w:sz w:val="28"/>
          <w:szCs w:val="28"/>
          <w:highlight w:val="none"/>
        </w:rPr>
        <w:t>、</w:t>
      </w:r>
      <w:r>
        <w:rPr>
          <w:rFonts w:hint="eastAsia"/>
          <w:sz w:val="28"/>
          <w:szCs w:val="28"/>
          <w:highlight w:val="none"/>
        </w:rPr>
        <w:t>实际费用以《危险废物转移联单》确定的危废种类、数量和单价为依据，每月根据实际转移情况结算，乙方根据结算情况开具增值税发票，甲方自收到发票后 20 个工作日内付清。</w:t>
      </w:r>
    </w:p>
    <w:p>
      <w:pPr>
        <w:ind w:firstLine="562" w:firstLineChars="200"/>
        <w:rPr>
          <w:b/>
          <w:bCs/>
          <w:sz w:val="28"/>
          <w:szCs w:val="28"/>
          <w:highlight w:val="none"/>
        </w:rPr>
      </w:pPr>
      <w:r>
        <w:rPr>
          <w:b/>
          <w:bCs/>
          <w:sz w:val="28"/>
          <w:szCs w:val="28"/>
          <w:highlight w:val="none"/>
        </w:rPr>
        <w:t>第</w:t>
      </w:r>
      <w:r>
        <w:rPr>
          <w:rFonts w:hint="eastAsia"/>
          <w:b/>
          <w:bCs/>
          <w:sz w:val="28"/>
          <w:szCs w:val="28"/>
          <w:highlight w:val="none"/>
        </w:rPr>
        <w:t>五</w:t>
      </w:r>
      <w:r>
        <w:rPr>
          <w:b/>
          <w:bCs/>
          <w:sz w:val="28"/>
          <w:szCs w:val="28"/>
          <w:highlight w:val="none"/>
        </w:rPr>
        <w:t>条  合同的变更、终止与转让</w:t>
      </w:r>
    </w:p>
    <w:p>
      <w:pPr>
        <w:ind w:firstLine="560" w:firstLineChars="200"/>
        <w:rPr>
          <w:sz w:val="28"/>
          <w:szCs w:val="28"/>
          <w:highlight w:val="none"/>
        </w:rPr>
      </w:pPr>
      <w:r>
        <w:rPr>
          <w:sz w:val="28"/>
          <w:szCs w:val="28"/>
          <w:highlight w:val="none"/>
        </w:rPr>
        <w:t>1、本合同一经签订，甲乙双方不得擅自变更、中止或终止。</w:t>
      </w:r>
    </w:p>
    <w:p>
      <w:pPr>
        <w:ind w:firstLine="560" w:firstLineChars="200"/>
        <w:rPr>
          <w:sz w:val="28"/>
          <w:szCs w:val="28"/>
          <w:highlight w:val="none"/>
        </w:rPr>
      </w:pPr>
      <w:r>
        <w:rPr>
          <w:sz w:val="28"/>
          <w:szCs w:val="28"/>
          <w:highlight w:val="none"/>
        </w:rPr>
        <w:t>2、乙方不得擅自转让其应履行的合同义务。</w:t>
      </w:r>
    </w:p>
    <w:p>
      <w:pPr>
        <w:ind w:firstLine="560" w:firstLineChars="200"/>
        <w:rPr>
          <w:sz w:val="28"/>
          <w:szCs w:val="28"/>
          <w:highlight w:val="none"/>
        </w:rPr>
      </w:pPr>
      <w:r>
        <w:rPr>
          <w:sz w:val="28"/>
          <w:szCs w:val="28"/>
          <w:highlight w:val="none"/>
        </w:rPr>
        <w:t>3、双方除非事先得到对方的书面同意或本合同另有约定，任何一方不得将本合同项下的任何权利、义务、责任转让给任何第三方。</w:t>
      </w:r>
    </w:p>
    <w:p>
      <w:pPr>
        <w:ind w:firstLine="560" w:firstLineChars="200"/>
        <w:rPr>
          <w:sz w:val="28"/>
          <w:szCs w:val="28"/>
          <w:highlight w:val="none"/>
        </w:rPr>
      </w:pPr>
      <w:r>
        <w:rPr>
          <w:sz w:val="28"/>
          <w:szCs w:val="28"/>
          <w:highlight w:val="none"/>
        </w:rPr>
        <w:t>4、乙方逾期未完成约定义务超过</w:t>
      </w:r>
      <w:r>
        <w:rPr>
          <w:rFonts w:hint="eastAsia"/>
          <w:sz w:val="28"/>
          <w:szCs w:val="28"/>
          <w:highlight w:val="none"/>
        </w:rPr>
        <w:t>七</w:t>
      </w:r>
      <w:r>
        <w:rPr>
          <w:sz w:val="28"/>
          <w:szCs w:val="28"/>
          <w:highlight w:val="none"/>
        </w:rPr>
        <w:t>日，甲方有权单方解除本合同。</w:t>
      </w:r>
    </w:p>
    <w:p>
      <w:pPr>
        <w:ind w:firstLine="560" w:firstLineChars="200"/>
        <w:rPr>
          <w:sz w:val="28"/>
          <w:szCs w:val="28"/>
          <w:highlight w:val="none"/>
        </w:rPr>
      </w:pPr>
      <w:r>
        <w:rPr>
          <w:sz w:val="28"/>
          <w:szCs w:val="28"/>
          <w:highlight w:val="none"/>
        </w:rPr>
        <w:t>5、乙方履行本合同约定义务时，未达到甲方要求，修改或整改超过</w:t>
      </w:r>
      <w:r>
        <w:rPr>
          <w:sz w:val="28"/>
          <w:szCs w:val="28"/>
          <w:highlight w:val="none"/>
        </w:rPr>
        <w:softHyphen/>
      </w:r>
      <w:r>
        <w:rPr>
          <w:sz w:val="28"/>
          <w:szCs w:val="28"/>
          <w:highlight w:val="none"/>
        </w:rPr>
        <w:softHyphen/>
      </w:r>
      <w:r>
        <w:rPr>
          <w:sz w:val="28"/>
          <w:szCs w:val="28"/>
          <w:highlight w:val="none"/>
        </w:rPr>
        <w:t>2次，仍然无法达到甲方要求，甲方有权单方解除本合同。</w:t>
      </w:r>
    </w:p>
    <w:p>
      <w:pPr>
        <w:ind w:firstLine="562" w:firstLineChars="200"/>
        <w:rPr>
          <w:b/>
          <w:bCs/>
          <w:sz w:val="28"/>
          <w:szCs w:val="28"/>
          <w:highlight w:val="none"/>
        </w:rPr>
      </w:pPr>
      <w:r>
        <w:rPr>
          <w:b/>
          <w:bCs/>
          <w:sz w:val="28"/>
          <w:szCs w:val="28"/>
          <w:highlight w:val="none"/>
        </w:rPr>
        <w:t>第</w:t>
      </w:r>
      <w:r>
        <w:rPr>
          <w:rFonts w:hint="eastAsia"/>
          <w:b/>
          <w:bCs/>
          <w:sz w:val="28"/>
          <w:szCs w:val="28"/>
          <w:highlight w:val="none"/>
        </w:rPr>
        <w:t>六</w:t>
      </w:r>
      <w:r>
        <w:rPr>
          <w:b/>
          <w:bCs/>
          <w:sz w:val="28"/>
          <w:szCs w:val="28"/>
          <w:highlight w:val="none"/>
        </w:rPr>
        <w:t>条  违约责任</w:t>
      </w:r>
    </w:p>
    <w:p>
      <w:pPr>
        <w:ind w:firstLine="560" w:firstLineChars="200"/>
        <w:rPr>
          <w:sz w:val="28"/>
          <w:szCs w:val="28"/>
          <w:highlight w:val="none"/>
        </w:rPr>
      </w:pPr>
      <w:r>
        <w:rPr>
          <w:sz w:val="28"/>
          <w:szCs w:val="28"/>
          <w:highlight w:val="none"/>
        </w:rPr>
        <w:t>1、乙方应提供符合本合同约定和行业规范及惯例的专业化服务，如果达不到甲方的要求，乙方应立即更换人员或改进方法，以达到甲方要求。乙方如因服务错误、失误等原因导致甲方解除合同，乙方应承担全部责任外，还应退甲方还全部服务费。</w:t>
      </w:r>
    </w:p>
    <w:p>
      <w:pPr>
        <w:ind w:firstLine="560" w:firstLineChars="200"/>
        <w:rPr>
          <w:sz w:val="28"/>
          <w:szCs w:val="28"/>
          <w:highlight w:val="none"/>
        </w:rPr>
      </w:pPr>
      <w:r>
        <w:rPr>
          <w:sz w:val="28"/>
          <w:szCs w:val="28"/>
          <w:highlight w:val="none"/>
        </w:rPr>
        <w:t>2、乙方如果未按本合同约定的服务内容和方式履行合同项下义务，则甲方可以采取必要的补救措施，由此产生的风险和费用将由乙方承担。同时，甲方有权决定是否继续履行合同。如果甲方解除合同，则乙方应退还全部服务费并</w:t>
      </w:r>
      <w:r>
        <w:rPr>
          <w:rFonts w:hint="eastAsia"/>
          <w:sz w:val="28"/>
          <w:szCs w:val="28"/>
          <w:highlight w:val="none"/>
        </w:rPr>
        <w:t>按本条第</w:t>
      </w:r>
      <w:r>
        <w:rPr>
          <w:sz w:val="28"/>
          <w:szCs w:val="28"/>
          <w:highlight w:val="none"/>
        </w:rPr>
        <w:t>5</w:t>
      </w:r>
      <w:r>
        <w:rPr>
          <w:rFonts w:hint="eastAsia"/>
          <w:sz w:val="28"/>
          <w:szCs w:val="28"/>
          <w:highlight w:val="none"/>
        </w:rPr>
        <w:t>款的约定承担违约责任</w:t>
      </w:r>
      <w:r>
        <w:rPr>
          <w:sz w:val="28"/>
          <w:szCs w:val="28"/>
          <w:highlight w:val="none"/>
        </w:rPr>
        <w:t>。</w:t>
      </w:r>
    </w:p>
    <w:p>
      <w:pPr>
        <w:ind w:firstLine="560" w:firstLineChars="200"/>
        <w:rPr>
          <w:sz w:val="28"/>
          <w:szCs w:val="28"/>
          <w:highlight w:val="none"/>
        </w:rPr>
      </w:pPr>
      <w:r>
        <w:rPr>
          <w:sz w:val="28"/>
          <w:szCs w:val="28"/>
          <w:highlight w:val="none"/>
        </w:rPr>
        <w:t>3、乙方逾期完成服务的，乙方应按本合同约定服务费总金额每日1‰比例向甲方支付违约金，由甲方从待付款中扣除；逾期超过约定日期</w:t>
      </w:r>
      <w:r>
        <w:rPr>
          <w:rFonts w:hint="eastAsia"/>
          <w:sz w:val="28"/>
          <w:szCs w:val="28"/>
          <w:highlight w:val="none"/>
        </w:rPr>
        <w:t>七</w:t>
      </w:r>
      <w:r>
        <w:rPr>
          <w:sz w:val="28"/>
          <w:szCs w:val="28"/>
          <w:highlight w:val="none"/>
        </w:rPr>
        <w:t>日不能完成服务的，甲方可解除本合同。</w:t>
      </w:r>
    </w:p>
    <w:p>
      <w:pPr>
        <w:ind w:firstLine="560" w:firstLineChars="200"/>
        <w:rPr>
          <w:sz w:val="28"/>
          <w:szCs w:val="28"/>
          <w:highlight w:val="none"/>
        </w:rPr>
      </w:pPr>
      <w:r>
        <w:rPr>
          <w:rFonts w:hint="eastAsia"/>
          <w:sz w:val="28"/>
          <w:szCs w:val="28"/>
          <w:highlight w:val="none"/>
        </w:rPr>
        <w:t>4、乙方</w:t>
      </w:r>
      <w:r>
        <w:rPr>
          <w:sz w:val="28"/>
          <w:szCs w:val="28"/>
          <w:highlight w:val="none"/>
        </w:rPr>
        <w:t>应当按照甲方要求及合同约定</w:t>
      </w:r>
      <w:r>
        <w:rPr>
          <w:rFonts w:hint="eastAsia"/>
          <w:sz w:val="28"/>
          <w:szCs w:val="28"/>
          <w:highlight w:val="none"/>
        </w:rPr>
        <w:t>的</w:t>
      </w:r>
      <w:r>
        <w:rPr>
          <w:sz w:val="28"/>
          <w:szCs w:val="28"/>
          <w:highlight w:val="none"/>
        </w:rPr>
        <w:t>质量标准提供服务，如因乙方逾期或提供服务不</w:t>
      </w:r>
      <w:r>
        <w:rPr>
          <w:rFonts w:hint="eastAsia"/>
          <w:sz w:val="28"/>
          <w:szCs w:val="28"/>
          <w:highlight w:val="none"/>
        </w:rPr>
        <w:t>符合</w:t>
      </w:r>
      <w:r>
        <w:rPr>
          <w:sz w:val="28"/>
          <w:szCs w:val="28"/>
          <w:highlight w:val="none"/>
        </w:rPr>
        <w:t>甲方要求</w:t>
      </w:r>
      <w:r>
        <w:rPr>
          <w:rFonts w:hint="eastAsia"/>
          <w:sz w:val="28"/>
          <w:szCs w:val="28"/>
          <w:highlight w:val="none"/>
        </w:rPr>
        <w:t>及</w:t>
      </w:r>
      <w:r>
        <w:rPr>
          <w:sz w:val="28"/>
          <w:szCs w:val="28"/>
          <w:highlight w:val="none"/>
        </w:rPr>
        <w:t>合同约定导致甲方</w:t>
      </w:r>
      <w:r>
        <w:rPr>
          <w:rFonts w:hint="eastAsia"/>
          <w:sz w:val="28"/>
          <w:szCs w:val="28"/>
          <w:highlight w:val="none"/>
        </w:rPr>
        <w:t>或</w:t>
      </w:r>
      <w:r>
        <w:rPr>
          <w:sz w:val="28"/>
          <w:szCs w:val="28"/>
          <w:highlight w:val="none"/>
        </w:rPr>
        <w:t>第三方</w:t>
      </w:r>
      <w:r>
        <w:rPr>
          <w:rFonts w:hint="eastAsia"/>
          <w:sz w:val="28"/>
          <w:szCs w:val="28"/>
          <w:highlight w:val="none"/>
        </w:rPr>
        <w:t>经济</w:t>
      </w:r>
      <w:r>
        <w:rPr>
          <w:sz w:val="28"/>
          <w:szCs w:val="28"/>
          <w:highlight w:val="none"/>
        </w:rPr>
        <w:t>损失</w:t>
      </w:r>
      <w:r>
        <w:rPr>
          <w:rFonts w:hint="eastAsia"/>
          <w:sz w:val="28"/>
          <w:szCs w:val="28"/>
          <w:highlight w:val="none"/>
        </w:rPr>
        <w:t>，</w:t>
      </w:r>
      <w:r>
        <w:rPr>
          <w:sz w:val="28"/>
          <w:szCs w:val="28"/>
          <w:highlight w:val="none"/>
        </w:rPr>
        <w:t>或导致甲方</w:t>
      </w:r>
      <w:r>
        <w:rPr>
          <w:rFonts w:hint="eastAsia"/>
          <w:sz w:val="28"/>
          <w:szCs w:val="28"/>
          <w:highlight w:val="none"/>
        </w:rPr>
        <w:t>被有关</w:t>
      </w:r>
      <w:r>
        <w:rPr>
          <w:sz w:val="28"/>
          <w:szCs w:val="28"/>
          <w:highlight w:val="none"/>
        </w:rPr>
        <w:t>部门行政处罚造成经济损失，由乙方全部承担</w:t>
      </w:r>
      <w:r>
        <w:rPr>
          <w:rFonts w:hint="eastAsia"/>
          <w:sz w:val="28"/>
          <w:szCs w:val="28"/>
          <w:highlight w:val="none"/>
        </w:rPr>
        <w:t>。</w:t>
      </w:r>
      <w:r>
        <w:rPr>
          <w:sz w:val="28"/>
          <w:szCs w:val="28"/>
          <w:highlight w:val="none"/>
        </w:rPr>
        <w:t>甲方</w:t>
      </w:r>
      <w:r>
        <w:rPr>
          <w:rFonts w:hint="eastAsia"/>
          <w:sz w:val="28"/>
          <w:szCs w:val="28"/>
          <w:highlight w:val="none"/>
        </w:rPr>
        <w:t>因此</w:t>
      </w:r>
      <w:r>
        <w:rPr>
          <w:sz w:val="28"/>
          <w:szCs w:val="28"/>
          <w:highlight w:val="none"/>
        </w:rPr>
        <w:t>被裁决</w:t>
      </w:r>
      <w:r>
        <w:rPr>
          <w:rFonts w:hint="eastAsia"/>
          <w:sz w:val="28"/>
          <w:szCs w:val="28"/>
          <w:highlight w:val="none"/>
        </w:rPr>
        <w:t>先行垫付</w:t>
      </w:r>
      <w:r>
        <w:rPr>
          <w:sz w:val="28"/>
          <w:szCs w:val="28"/>
          <w:highlight w:val="none"/>
        </w:rPr>
        <w:t>的，甲方有权向乙方追</w:t>
      </w:r>
      <w:r>
        <w:rPr>
          <w:rFonts w:hint="eastAsia"/>
          <w:sz w:val="28"/>
          <w:szCs w:val="28"/>
          <w:highlight w:val="none"/>
        </w:rPr>
        <w:t>偿</w:t>
      </w:r>
      <w:r>
        <w:rPr>
          <w:sz w:val="28"/>
          <w:szCs w:val="28"/>
          <w:highlight w:val="none"/>
        </w:rPr>
        <w:t>并</w:t>
      </w:r>
      <w:r>
        <w:rPr>
          <w:rFonts w:hint="eastAsia"/>
          <w:sz w:val="28"/>
          <w:szCs w:val="28"/>
          <w:highlight w:val="none"/>
        </w:rPr>
        <w:t>追究</w:t>
      </w:r>
      <w:r>
        <w:rPr>
          <w:sz w:val="28"/>
          <w:szCs w:val="28"/>
          <w:highlight w:val="none"/>
        </w:rPr>
        <w:t>乙方的违约责任。</w:t>
      </w:r>
    </w:p>
    <w:p>
      <w:pPr>
        <w:ind w:firstLine="560" w:firstLineChars="200"/>
        <w:rPr>
          <w:sz w:val="28"/>
          <w:szCs w:val="28"/>
          <w:highlight w:val="none"/>
        </w:rPr>
      </w:pPr>
      <w:r>
        <w:rPr>
          <w:sz w:val="28"/>
          <w:szCs w:val="28"/>
          <w:highlight w:val="none"/>
        </w:rPr>
        <w:t>5、乙方因逾期完成服务或因其他违约行为导致甲方解除合同的，</w:t>
      </w:r>
      <w:r>
        <w:rPr>
          <w:rFonts w:hint="eastAsia"/>
          <w:sz w:val="28"/>
          <w:szCs w:val="28"/>
          <w:highlight w:val="none"/>
        </w:rPr>
        <w:t>乙方应返还甲方已支付的全部服务费，</w:t>
      </w:r>
      <w:r>
        <w:rPr>
          <w:sz w:val="28"/>
          <w:szCs w:val="28"/>
          <w:highlight w:val="none"/>
        </w:rPr>
        <w:t>向甲方支付本合同约定服务费总金额10%比例的违约金，如造成甲方损失超过违约金的，超出部分由乙方继续承担赔偿责任。</w:t>
      </w:r>
    </w:p>
    <w:p>
      <w:pPr>
        <w:pStyle w:val="9"/>
        <w:adjustRightInd w:val="0"/>
        <w:snapToGrid w:val="0"/>
        <w:spacing w:before="120" w:after="120" w:line="360" w:lineRule="auto"/>
        <w:ind w:firstLine="660"/>
        <w:rPr>
          <w:rFonts w:hAnsi="宋体"/>
          <w:b/>
          <w:sz w:val="28"/>
          <w:szCs w:val="28"/>
          <w:highlight w:val="none"/>
        </w:rPr>
      </w:pPr>
      <w:r>
        <w:rPr>
          <w:rFonts w:hint="eastAsia" w:hAnsi="宋体"/>
          <w:b/>
          <w:sz w:val="28"/>
          <w:szCs w:val="28"/>
          <w:highlight w:val="none"/>
        </w:rPr>
        <w:t>第七条  廉政条款</w:t>
      </w:r>
    </w:p>
    <w:p>
      <w:pPr>
        <w:pStyle w:val="9"/>
        <w:adjustRightInd w:val="0"/>
        <w:snapToGrid w:val="0"/>
        <w:spacing w:before="120" w:after="120" w:line="360" w:lineRule="auto"/>
        <w:ind w:left="1" w:firstLine="658"/>
        <w:rPr>
          <w:rFonts w:hAnsi="宋体"/>
          <w:sz w:val="28"/>
          <w:szCs w:val="28"/>
          <w:highlight w:val="none"/>
        </w:rPr>
      </w:pPr>
      <w:r>
        <w:rPr>
          <w:rFonts w:hint="eastAsia" w:hAnsi="宋体"/>
          <w:sz w:val="28"/>
          <w:szCs w:val="28"/>
          <w:highlight w:val="none"/>
        </w:rPr>
        <w:t>1、乙方必须支持甲方的廉政建设，不得向甲方相关人员提供金钱和物质上的好处，一经发现处以合同金额</w:t>
      </w:r>
      <w:r>
        <w:rPr>
          <w:rFonts w:hAnsi="宋体"/>
          <w:sz w:val="28"/>
          <w:szCs w:val="28"/>
          <w:highlight w:val="none"/>
        </w:rPr>
        <w:t>20%</w:t>
      </w:r>
      <w:r>
        <w:rPr>
          <w:rFonts w:hint="eastAsia" w:hAnsi="宋体"/>
          <w:sz w:val="28"/>
          <w:szCs w:val="28"/>
          <w:highlight w:val="none"/>
        </w:rPr>
        <w:t>的罚款。</w:t>
      </w:r>
    </w:p>
    <w:p>
      <w:pPr>
        <w:pStyle w:val="9"/>
        <w:adjustRightInd w:val="0"/>
        <w:snapToGrid w:val="0"/>
        <w:spacing w:before="120" w:after="120" w:line="360" w:lineRule="auto"/>
        <w:ind w:firstLine="660"/>
        <w:rPr>
          <w:rFonts w:hAnsi="宋体"/>
          <w:b/>
          <w:sz w:val="28"/>
          <w:szCs w:val="28"/>
          <w:highlight w:val="none"/>
        </w:rPr>
      </w:pPr>
      <w:r>
        <w:rPr>
          <w:rFonts w:hint="eastAsia" w:hAnsi="宋体"/>
          <w:b/>
          <w:sz w:val="28"/>
          <w:szCs w:val="28"/>
          <w:highlight w:val="none"/>
        </w:rPr>
        <w:t>第八条 不可抗力事件处理</w:t>
      </w:r>
    </w:p>
    <w:p>
      <w:pPr>
        <w:pStyle w:val="9"/>
        <w:adjustRightInd w:val="0"/>
        <w:snapToGrid w:val="0"/>
        <w:spacing w:before="120" w:after="120" w:line="360" w:lineRule="auto"/>
        <w:ind w:left="1" w:firstLine="658"/>
        <w:rPr>
          <w:rFonts w:hAnsi="宋体"/>
          <w:sz w:val="28"/>
          <w:szCs w:val="28"/>
          <w:highlight w:val="none"/>
        </w:rPr>
      </w:pPr>
      <w:r>
        <w:rPr>
          <w:rFonts w:hint="eastAsia" w:hAnsi="宋体"/>
          <w:sz w:val="28"/>
          <w:szCs w:val="28"/>
          <w:highlight w:val="none"/>
        </w:rPr>
        <w:t>1、在合同有效期内，任何一方因不可抗力事件导致不能履行合同，则合同履行期可延长，其延长期与不可抗力影响期相同。</w:t>
      </w:r>
    </w:p>
    <w:p>
      <w:pPr>
        <w:pStyle w:val="9"/>
        <w:adjustRightInd w:val="0"/>
        <w:snapToGrid w:val="0"/>
        <w:spacing w:before="120" w:after="120" w:line="360" w:lineRule="auto"/>
        <w:ind w:firstLine="658"/>
        <w:rPr>
          <w:rFonts w:hAnsi="宋体"/>
          <w:sz w:val="28"/>
          <w:szCs w:val="28"/>
          <w:highlight w:val="none"/>
        </w:rPr>
      </w:pPr>
      <w:r>
        <w:rPr>
          <w:rFonts w:hAnsi="宋体"/>
          <w:sz w:val="28"/>
          <w:szCs w:val="28"/>
          <w:highlight w:val="none"/>
        </w:rPr>
        <w:t>2</w:t>
      </w:r>
      <w:r>
        <w:rPr>
          <w:rFonts w:hint="eastAsia" w:hAnsi="宋体"/>
          <w:sz w:val="28"/>
          <w:szCs w:val="28"/>
          <w:highlight w:val="none"/>
        </w:rPr>
        <w:t>、不可抗力事件发生后，应立即通知对方，并寄送有关权威机构出具的证明。</w:t>
      </w:r>
    </w:p>
    <w:p>
      <w:pPr>
        <w:pStyle w:val="9"/>
        <w:adjustRightInd w:val="0"/>
        <w:snapToGrid w:val="0"/>
        <w:spacing w:before="120" w:after="120" w:line="360" w:lineRule="auto"/>
        <w:ind w:firstLine="658"/>
        <w:rPr>
          <w:rFonts w:hAnsi="宋体"/>
          <w:sz w:val="28"/>
          <w:szCs w:val="28"/>
          <w:highlight w:val="none"/>
        </w:rPr>
      </w:pPr>
      <w:r>
        <w:rPr>
          <w:rFonts w:hAnsi="宋体"/>
          <w:sz w:val="28"/>
          <w:szCs w:val="28"/>
          <w:highlight w:val="none"/>
        </w:rPr>
        <w:t>3</w:t>
      </w:r>
      <w:r>
        <w:rPr>
          <w:rFonts w:hint="eastAsia" w:hAnsi="宋体"/>
          <w:sz w:val="28"/>
          <w:szCs w:val="28"/>
          <w:highlight w:val="none"/>
        </w:rPr>
        <w:t>、不可抗力事件延续</w:t>
      </w:r>
      <w:r>
        <w:rPr>
          <w:rFonts w:hAnsi="宋体"/>
          <w:sz w:val="28"/>
          <w:szCs w:val="28"/>
          <w:highlight w:val="none"/>
        </w:rPr>
        <w:t>30</w:t>
      </w:r>
      <w:r>
        <w:rPr>
          <w:rFonts w:hint="eastAsia" w:hAnsi="宋体"/>
          <w:sz w:val="28"/>
          <w:szCs w:val="28"/>
          <w:highlight w:val="none"/>
        </w:rPr>
        <w:t>天以上，双方应通过友好协商，确定是否继续履行合同。</w:t>
      </w:r>
    </w:p>
    <w:p>
      <w:pPr>
        <w:pStyle w:val="9"/>
        <w:adjustRightInd w:val="0"/>
        <w:snapToGrid w:val="0"/>
        <w:spacing w:before="120" w:after="120" w:line="360" w:lineRule="auto"/>
        <w:ind w:firstLine="660"/>
        <w:rPr>
          <w:rFonts w:hAnsi="宋体"/>
          <w:b/>
          <w:sz w:val="28"/>
          <w:szCs w:val="28"/>
          <w:highlight w:val="none"/>
        </w:rPr>
      </w:pPr>
      <w:r>
        <w:rPr>
          <w:rFonts w:hint="eastAsia" w:hAnsi="宋体"/>
          <w:b/>
          <w:sz w:val="28"/>
          <w:szCs w:val="28"/>
          <w:highlight w:val="none"/>
        </w:rPr>
        <w:t>第九条 诉讼</w:t>
      </w:r>
    </w:p>
    <w:p>
      <w:pPr>
        <w:pStyle w:val="9"/>
        <w:adjustRightInd w:val="0"/>
        <w:snapToGrid w:val="0"/>
        <w:spacing w:before="120" w:after="120" w:line="360" w:lineRule="auto"/>
        <w:ind w:left="1" w:firstLine="658"/>
        <w:rPr>
          <w:rFonts w:hAnsi="宋体"/>
          <w:sz w:val="28"/>
          <w:szCs w:val="28"/>
          <w:highlight w:val="none"/>
        </w:rPr>
      </w:pPr>
      <w:r>
        <w:rPr>
          <w:rFonts w:hint="eastAsia" w:hAnsi="宋体"/>
          <w:sz w:val="28"/>
          <w:szCs w:val="28"/>
          <w:highlight w:val="none"/>
        </w:rPr>
        <w:t>1、双方在执行合同中所发生的一切争议，应通过协商解决。如协商不成，可向合同签订地法院起诉，合同签订地在此约定为南京市。</w:t>
      </w:r>
    </w:p>
    <w:p>
      <w:pPr>
        <w:pStyle w:val="9"/>
        <w:adjustRightInd w:val="0"/>
        <w:snapToGrid w:val="0"/>
        <w:spacing w:before="120" w:after="120" w:line="360" w:lineRule="auto"/>
        <w:ind w:firstLine="660"/>
        <w:rPr>
          <w:rFonts w:hAnsi="宋体"/>
          <w:b/>
          <w:sz w:val="28"/>
          <w:szCs w:val="28"/>
          <w:highlight w:val="none"/>
        </w:rPr>
      </w:pPr>
      <w:r>
        <w:rPr>
          <w:rFonts w:hint="eastAsia" w:hAnsi="宋体"/>
          <w:b/>
          <w:sz w:val="28"/>
          <w:szCs w:val="28"/>
          <w:highlight w:val="none"/>
        </w:rPr>
        <w:t>第十条 合同文件的优先顺序</w:t>
      </w:r>
      <w:r>
        <w:rPr>
          <w:rFonts w:hint="eastAsia" w:hAnsi="宋体"/>
          <w:sz w:val="28"/>
          <w:szCs w:val="28"/>
          <w:highlight w:val="none"/>
        </w:rPr>
        <w:t xml:space="preserve"> </w:t>
      </w:r>
    </w:p>
    <w:p>
      <w:pPr>
        <w:pStyle w:val="9"/>
        <w:adjustRightInd w:val="0"/>
        <w:snapToGrid w:val="0"/>
        <w:spacing w:before="120" w:after="120" w:line="360" w:lineRule="auto"/>
        <w:ind w:left="1" w:firstLine="658"/>
        <w:rPr>
          <w:rFonts w:hAnsi="宋体"/>
          <w:sz w:val="28"/>
          <w:szCs w:val="28"/>
          <w:highlight w:val="none"/>
        </w:rPr>
      </w:pPr>
      <w:r>
        <w:rPr>
          <w:rFonts w:hint="eastAsia" w:hAnsi="宋体"/>
          <w:sz w:val="28"/>
          <w:szCs w:val="28"/>
          <w:highlight w:val="none"/>
        </w:rPr>
        <w:t xml:space="preserve">组成合同的各项文件应互相解释，互为说明。除专用合同条款另有约定外，解释合同文件的优先顺序如下： </w:t>
      </w:r>
    </w:p>
    <w:p>
      <w:pPr>
        <w:pStyle w:val="9"/>
        <w:adjustRightInd w:val="0"/>
        <w:snapToGrid w:val="0"/>
        <w:spacing w:before="120" w:after="120" w:line="360" w:lineRule="auto"/>
        <w:ind w:left="1" w:firstLine="658"/>
        <w:rPr>
          <w:rFonts w:hAnsi="宋体"/>
          <w:sz w:val="28"/>
          <w:szCs w:val="28"/>
          <w:highlight w:val="none"/>
        </w:rPr>
      </w:pPr>
      <w:r>
        <w:rPr>
          <w:rFonts w:hint="eastAsia" w:hAnsi="宋体"/>
          <w:sz w:val="28"/>
          <w:szCs w:val="28"/>
          <w:highlight w:val="none"/>
        </w:rPr>
        <w:t xml:space="preserve">（1）合同协议书； </w:t>
      </w:r>
    </w:p>
    <w:p>
      <w:pPr>
        <w:pStyle w:val="9"/>
        <w:adjustRightInd w:val="0"/>
        <w:snapToGrid w:val="0"/>
        <w:spacing w:before="120" w:after="120" w:line="360" w:lineRule="auto"/>
        <w:ind w:left="1" w:firstLine="658"/>
        <w:rPr>
          <w:rFonts w:hAnsi="宋体"/>
          <w:sz w:val="28"/>
          <w:szCs w:val="28"/>
          <w:highlight w:val="none"/>
        </w:rPr>
      </w:pPr>
      <w:r>
        <w:rPr>
          <w:rFonts w:hint="eastAsia" w:hAnsi="宋体"/>
          <w:sz w:val="28"/>
          <w:szCs w:val="28"/>
          <w:highlight w:val="none"/>
        </w:rPr>
        <w:t>（2）中标通知书；</w:t>
      </w:r>
    </w:p>
    <w:p>
      <w:pPr>
        <w:pStyle w:val="9"/>
        <w:adjustRightInd w:val="0"/>
        <w:snapToGrid w:val="0"/>
        <w:spacing w:before="120" w:after="120" w:line="360" w:lineRule="auto"/>
        <w:ind w:left="1" w:firstLine="658"/>
        <w:rPr>
          <w:rFonts w:hAnsi="宋体"/>
          <w:sz w:val="28"/>
          <w:szCs w:val="28"/>
          <w:highlight w:val="none"/>
        </w:rPr>
      </w:pPr>
      <w:r>
        <w:rPr>
          <w:rFonts w:hint="eastAsia" w:hAnsi="宋体"/>
          <w:sz w:val="28"/>
          <w:szCs w:val="28"/>
          <w:highlight w:val="none"/>
        </w:rPr>
        <w:t>（3）招标文件；</w:t>
      </w:r>
    </w:p>
    <w:p>
      <w:pPr>
        <w:pStyle w:val="9"/>
        <w:adjustRightInd w:val="0"/>
        <w:snapToGrid w:val="0"/>
        <w:spacing w:before="120" w:after="120" w:line="360" w:lineRule="auto"/>
        <w:ind w:left="1" w:firstLine="658"/>
        <w:rPr>
          <w:rFonts w:hAnsi="宋体"/>
          <w:sz w:val="28"/>
          <w:szCs w:val="28"/>
          <w:highlight w:val="none"/>
        </w:rPr>
      </w:pPr>
      <w:r>
        <w:rPr>
          <w:rFonts w:hint="eastAsia" w:hAnsi="宋体"/>
          <w:sz w:val="28"/>
          <w:szCs w:val="28"/>
          <w:highlight w:val="none"/>
        </w:rPr>
        <w:t>（4）投标函及其附录（如果有）；</w:t>
      </w:r>
    </w:p>
    <w:p>
      <w:pPr>
        <w:pStyle w:val="9"/>
        <w:adjustRightInd w:val="0"/>
        <w:snapToGrid w:val="0"/>
        <w:spacing w:before="120" w:after="120" w:line="360" w:lineRule="auto"/>
        <w:ind w:left="1" w:firstLine="658"/>
        <w:rPr>
          <w:rFonts w:hAnsi="宋体"/>
          <w:sz w:val="28"/>
          <w:szCs w:val="28"/>
          <w:highlight w:val="none"/>
        </w:rPr>
      </w:pPr>
      <w:r>
        <w:rPr>
          <w:rFonts w:hint="eastAsia" w:hAnsi="宋体"/>
          <w:sz w:val="28"/>
          <w:szCs w:val="28"/>
          <w:highlight w:val="none"/>
        </w:rPr>
        <w:t>（5）专用合同条款及其附件；</w:t>
      </w:r>
    </w:p>
    <w:p>
      <w:pPr>
        <w:pStyle w:val="9"/>
        <w:adjustRightInd w:val="0"/>
        <w:snapToGrid w:val="0"/>
        <w:spacing w:before="120" w:after="120" w:line="360" w:lineRule="auto"/>
        <w:ind w:left="1" w:firstLine="658"/>
        <w:rPr>
          <w:rFonts w:hAnsi="宋体"/>
          <w:sz w:val="28"/>
          <w:szCs w:val="28"/>
          <w:highlight w:val="none"/>
        </w:rPr>
      </w:pPr>
      <w:r>
        <w:rPr>
          <w:rFonts w:hint="eastAsia" w:hAnsi="宋体"/>
          <w:sz w:val="28"/>
          <w:szCs w:val="28"/>
          <w:highlight w:val="none"/>
        </w:rPr>
        <w:t xml:space="preserve">（6）通用合同条款； </w:t>
      </w:r>
    </w:p>
    <w:p>
      <w:pPr>
        <w:pStyle w:val="9"/>
        <w:adjustRightInd w:val="0"/>
        <w:snapToGrid w:val="0"/>
        <w:spacing w:before="120" w:after="120" w:line="360" w:lineRule="auto"/>
        <w:ind w:left="1" w:firstLine="658"/>
        <w:rPr>
          <w:rFonts w:hAnsi="宋体"/>
          <w:sz w:val="28"/>
          <w:szCs w:val="28"/>
          <w:highlight w:val="none"/>
        </w:rPr>
      </w:pPr>
      <w:r>
        <w:rPr>
          <w:rFonts w:hint="eastAsia" w:hAnsi="宋体"/>
          <w:sz w:val="28"/>
          <w:szCs w:val="28"/>
          <w:highlight w:val="none"/>
        </w:rPr>
        <w:t>（7）技术标准和要求；</w:t>
      </w:r>
    </w:p>
    <w:p>
      <w:pPr>
        <w:pStyle w:val="9"/>
        <w:adjustRightInd w:val="0"/>
        <w:snapToGrid w:val="0"/>
        <w:spacing w:before="120" w:after="120" w:line="360" w:lineRule="auto"/>
        <w:ind w:left="1" w:firstLine="658"/>
        <w:rPr>
          <w:rFonts w:hAnsi="宋体"/>
          <w:sz w:val="28"/>
          <w:szCs w:val="28"/>
          <w:highlight w:val="none"/>
        </w:rPr>
      </w:pPr>
      <w:r>
        <w:rPr>
          <w:rFonts w:hint="eastAsia" w:hAnsi="宋体"/>
          <w:sz w:val="28"/>
          <w:szCs w:val="28"/>
          <w:highlight w:val="none"/>
        </w:rPr>
        <w:t>（8）其他合同文件。</w:t>
      </w:r>
    </w:p>
    <w:p>
      <w:pPr>
        <w:pStyle w:val="9"/>
        <w:adjustRightInd w:val="0"/>
        <w:snapToGrid w:val="0"/>
        <w:spacing w:before="120" w:after="120" w:line="360" w:lineRule="auto"/>
        <w:ind w:firstLine="660"/>
        <w:rPr>
          <w:rFonts w:hAnsi="宋体"/>
          <w:b/>
          <w:sz w:val="28"/>
          <w:szCs w:val="28"/>
          <w:highlight w:val="none"/>
        </w:rPr>
      </w:pPr>
      <w:r>
        <w:rPr>
          <w:rFonts w:hint="eastAsia" w:hAnsi="宋体"/>
          <w:b/>
          <w:sz w:val="28"/>
          <w:szCs w:val="28"/>
          <w:highlight w:val="none"/>
        </w:rPr>
        <w:t>第十一条 合同生效及其它</w:t>
      </w:r>
    </w:p>
    <w:p>
      <w:pPr>
        <w:pStyle w:val="9"/>
        <w:adjustRightInd w:val="0"/>
        <w:snapToGrid w:val="0"/>
        <w:spacing w:before="120" w:after="120" w:line="360" w:lineRule="auto"/>
        <w:ind w:firstLine="658"/>
        <w:rPr>
          <w:rFonts w:hAnsi="宋体"/>
          <w:sz w:val="28"/>
          <w:szCs w:val="28"/>
          <w:highlight w:val="none"/>
        </w:rPr>
      </w:pPr>
      <w:r>
        <w:rPr>
          <w:rFonts w:hint="eastAsia" w:hAnsi="宋体"/>
          <w:sz w:val="28"/>
          <w:szCs w:val="28"/>
          <w:highlight w:val="none"/>
        </w:rPr>
        <w:t>1、合同经双方法定代表人或授权委托代表人签字并加盖单位公章后生效。</w:t>
      </w:r>
    </w:p>
    <w:p>
      <w:pPr>
        <w:pStyle w:val="9"/>
        <w:adjustRightInd w:val="0"/>
        <w:snapToGrid w:val="0"/>
        <w:spacing w:before="120" w:after="120" w:line="360" w:lineRule="auto"/>
        <w:ind w:firstLine="658"/>
        <w:rPr>
          <w:rFonts w:hAnsi="宋体"/>
          <w:sz w:val="28"/>
          <w:szCs w:val="28"/>
          <w:highlight w:val="none"/>
        </w:rPr>
      </w:pPr>
      <w:r>
        <w:rPr>
          <w:rFonts w:hint="eastAsia" w:hAnsi="宋体"/>
          <w:sz w:val="28"/>
          <w:szCs w:val="28"/>
          <w:highlight w:val="none"/>
        </w:rPr>
        <w:t>2、本合同未尽事宜，遵照《合同法》有关条文执行。</w:t>
      </w:r>
    </w:p>
    <w:p>
      <w:pPr>
        <w:pStyle w:val="9"/>
        <w:adjustRightInd w:val="0"/>
        <w:snapToGrid w:val="0"/>
        <w:spacing w:before="120" w:after="120" w:line="360" w:lineRule="auto"/>
        <w:ind w:left="1" w:firstLine="658"/>
        <w:rPr>
          <w:rFonts w:hAnsi="宋体"/>
          <w:sz w:val="28"/>
          <w:szCs w:val="28"/>
          <w:highlight w:val="none"/>
        </w:rPr>
      </w:pPr>
      <w:r>
        <w:rPr>
          <w:rFonts w:hint="eastAsia" w:hAnsi="宋体"/>
          <w:sz w:val="28"/>
          <w:szCs w:val="28"/>
          <w:highlight w:val="none"/>
        </w:rPr>
        <w:t>3、本合同正本一式四份，具有同等法律效力，甲方、乙方各执两份。</w:t>
      </w:r>
    </w:p>
    <w:p>
      <w:pPr>
        <w:pStyle w:val="9"/>
        <w:adjustRightInd w:val="0"/>
        <w:snapToGrid w:val="0"/>
        <w:spacing w:before="120" w:after="120" w:line="360" w:lineRule="auto"/>
        <w:ind w:left="420" w:leftChars="200" w:firstLine="280" w:firstLineChars="100"/>
        <w:rPr>
          <w:rFonts w:hAnsi="宋体"/>
          <w:sz w:val="28"/>
          <w:szCs w:val="28"/>
          <w:highlight w:val="none"/>
        </w:rPr>
      </w:pPr>
      <w:r>
        <w:rPr>
          <w:rFonts w:hint="eastAsia" w:hAnsi="宋体"/>
          <w:sz w:val="28"/>
          <w:szCs w:val="28"/>
          <w:highlight w:val="none"/>
        </w:rPr>
        <w:t>甲方：                                 乙方：</w:t>
      </w:r>
    </w:p>
    <w:p>
      <w:pPr>
        <w:pStyle w:val="9"/>
        <w:adjustRightInd w:val="0"/>
        <w:snapToGrid w:val="0"/>
        <w:spacing w:before="120" w:after="120" w:line="360" w:lineRule="auto"/>
        <w:ind w:firstLine="658"/>
        <w:rPr>
          <w:rFonts w:hAnsi="宋体"/>
          <w:sz w:val="28"/>
          <w:szCs w:val="28"/>
          <w:highlight w:val="none"/>
        </w:rPr>
      </w:pPr>
      <w:r>
        <w:rPr>
          <w:rFonts w:hint="eastAsia" w:hAnsi="宋体"/>
          <w:sz w:val="28"/>
          <w:szCs w:val="28"/>
          <w:highlight w:val="none"/>
        </w:rPr>
        <w:t>地址：                                 地址：</w:t>
      </w:r>
    </w:p>
    <w:p>
      <w:pPr>
        <w:pStyle w:val="9"/>
        <w:adjustRightInd w:val="0"/>
        <w:snapToGrid w:val="0"/>
        <w:spacing w:before="120" w:after="120" w:line="360" w:lineRule="auto"/>
        <w:ind w:firstLine="658"/>
        <w:rPr>
          <w:rFonts w:hAnsi="宋体"/>
          <w:sz w:val="28"/>
          <w:szCs w:val="28"/>
          <w:highlight w:val="none"/>
        </w:rPr>
      </w:pPr>
      <w:r>
        <w:rPr>
          <w:rFonts w:hint="eastAsia" w:hAnsi="宋体"/>
          <w:sz w:val="28"/>
          <w:szCs w:val="28"/>
          <w:highlight w:val="none"/>
        </w:rPr>
        <w:t>法定代表人或授权代表：</w:t>
      </w:r>
      <w:r>
        <w:rPr>
          <w:rFonts w:hAnsi="宋体"/>
          <w:sz w:val="28"/>
          <w:szCs w:val="28"/>
          <w:highlight w:val="none"/>
        </w:rPr>
        <w:t xml:space="preserve"> </w:t>
      </w:r>
      <w:r>
        <w:rPr>
          <w:rFonts w:hint="eastAsia" w:hAnsi="宋体"/>
          <w:sz w:val="28"/>
          <w:szCs w:val="28"/>
          <w:highlight w:val="none"/>
        </w:rPr>
        <w:t xml:space="preserve">               </w:t>
      </w:r>
      <w:r>
        <w:rPr>
          <w:rFonts w:hAnsi="宋体"/>
          <w:sz w:val="28"/>
          <w:szCs w:val="28"/>
          <w:highlight w:val="none"/>
        </w:rPr>
        <w:t xml:space="preserve"> </w:t>
      </w:r>
      <w:r>
        <w:rPr>
          <w:rFonts w:hint="eastAsia" w:hAnsi="宋体"/>
          <w:sz w:val="28"/>
          <w:szCs w:val="28"/>
          <w:highlight w:val="none"/>
        </w:rPr>
        <w:t>法定代表人或授权代表：</w:t>
      </w:r>
    </w:p>
    <w:p>
      <w:pPr>
        <w:pStyle w:val="9"/>
        <w:adjustRightInd w:val="0"/>
        <w:snapToGrid w:val="0"/>
        <w:spacing w:before="120" w:after="120" w:line="360" w:lineRule="auto"/>
        <w:ind w:firstLine="658"/>
        <w:rPr>
          <w:rFonts w:hAnsi="宋体"/>
          <w:sz w:val="28"/>
          <w:szCs w:val="28"/>
          <w:highlight w:val="none"/>
        </w:rPr>
      </w:pPr>
      <w:r>
        <w:rPr>
          <w:rFonts w:hint="eastAsia" w:hAnsi="宋体"/>
          <w:sz w:val="28"/>
          <w:szCs w:val="28"/>
          <w:highlight w:val="none"/>
        </w:rPr>
        <w:t>项目负责人</w:t>
      </w:r>
      <w:r>
        <w:rPr>
          <w:rFonts w:hAnsi="宋体"/>
          <w:sz w:val="28"/>
          <w:szCs w:val="28"/>
          <w:highlight w:val="none"/>
        </w:rPr>
        <w:t xml:space="preserve">:   </w:t>
      </w:r>
    </w:p>
    <w:p>
      <w:pPr>
        <w:pStyle w:val="9"/>
        <w:adjustRightInd w:val="0"/>
        <w:snapToGrid w:val="0"/>
        <w:spacing w:before="120" w:after="120" w:line="360" w:lineRule="auto"/>
        <w:ind w:firstLine="658"/>
        <w:rPr>
          <w:rFonts w:hAnsi="宋体"/>
          <w:sz w:val="28"/>
          <w:szCs w:val="28"/>
          <w:highlight w:val="none"/>
        </w:rPr>
      </w:pPr>
      <w:r>
        <w:rPr>
          <w:rFonts w:hint="eastAsia" w:hAnsi="宋体"/>
          <w:sz w:val="28"/>
          <w:szCs w:val="28"/>
          <w:highlight w:val="none"/>
        </w:rPr>
        <w:t>项目联系人</w:t>
      </w:r>
      <w:r>
        <w:rPr>
          <w:rFonts w:hAnsi="宋体"/>
          <w:sz w:val="28"/>
          <w:szCs w:val="28"/>
          <w:highlight w:val="none"/>
        </w:rPr>
        <w:t>:</w:t>
      </w:r>
    </w:p>
    <w:p>
      <w:pPr>
        <w:pStyle w:val="9"/>
        <w:adjustRightInd w:val="0"/>
        <w:snapToGrid w:val="0"/>
        <w:spacing w:before="120" w:after="120" w:line="360" w:lineRule="auto"/>
        <w:ind w:firstLine="658"/>
        <w:rPr>
          <w:rFonts w:hAnsi="宋体"/>
          <w:sz w:val="28"/>
          <w:szCs w:val="28"/>
          <w:highlight w:val="none"/>
        </w:rPr>
      </w:pPr>
      <w:r>
        <w:rPr>
          <w:rFonts w:hint="eastAsia" w:hAnsi="宋体"/>
          <w:sz w:val="28"/>
          <w:szCs w:val="28"/>
          <w:highlight w:val="none"/>
        </w:rPr>
        <w:t>联系电话：                             联系电话：</w:t>
      </w:r>
    </w:p>
    <w:p>
      <w:pPr>
        <w:pStyle w:val="9"/>
        <w:adjustRightInd w:val="0"/>
        <w:snapToGrid w:val="0"/>
        <w:spacing w:before="120" w:after="120" w:line="360" w:lineRule="auto"/>
        <w:ind w:firstLine="767"/>
        <w:rPr>
          <w:rFonts w:cs="仿宋"/>
          <w:sz w:val="28"/>
          <w:szCs w:val="28"/>
          <w:highlight w:val="none"/>
        </w:rPr>
      </w:pPr>
      <w:r>
        <w:rPr>
          <w:rFonts w:hint="eastAsia"/>
          <w:sz w:val="28"/>
          <w:szCs w:val="28"/>
          <w:highlight w:val="none"/>
        </w:rPr>
        <w:t>签订日期：      年   月   日</w:t>
      </w:r>
    </w:p>
    <w:p>
      <w:pPr>
        <w:rPr>
          <w:sz w:val="28"/>
          <w:szCs w:val="28"/>
          <w:highlight w:val="none"/>
        </w:rPr>
      </w:pPr>
    </w:p>
    <w:p>
      <w:pPr>
        <w:pStyle w:val="4"/>
        <w:rPr>
          <w:sz w:val="28"/>
          <w:szCs w:val="28"/>
          <w:highlight w:val="none"/>
        </w:rPr>
      </w:pPr>
    </w:p>
    <w:p>
      <w:pPr>
        <w:rPr>
          <w:sz w:val="28"/>
          <w:szCs w:val="28"/>
          <w:highlight w:val="none"/>
        </w:rPr>
      </w:pP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25</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1年招标文件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C13E4"/>
    <w:rsid w:val="001522F3"/>
    <w:rsid w:val="0018699F"/>
    <w:rsid w:val="0039785D"/>
    <w:rsid w:val="004D1C28"/>
    <w:rsid w:val="00591A56"/>
    <w:rsid w:val="006A7605"/>
    <w:rsid w:val="009C0632"/>
    <w:rsid w:val="009F3FF6"/>
    <w:rsid w:val="00A65FA9"/>
    <w:rsid w:val="00B06E28"/>
    <w:rsid w:val="00B3190B"/>
    <w:rsid w:val="00D47C84"/>
    <w:rsid w:val="00D55A93"/>
    <w:rsid w:val="00E24FFE"/>
    <w:rsid w:val="00E467AF"/>
    <w:rsid w:val="00EA6F17"/>
    <w:rsid w:val="011D5015"/>
    <w:rsid w:val="077C13E4"/>
    <w:rsid w:val="07EF475B"/>
    <w:rsid w:val="08BB45BC"/>
    <w:rsid w:val="09654E6A"/>
    <w:rsid w:val="0EE64B8E"/>
    <w:rsid w:val="0F0B30DB"/>
    <w:rsid w:val="0FC13AD8"/>
    <w:rsid w:val="11E13435"/>
    <w:rsid w:val="12900868"/>
    <w:rsid w:val="13AA5959"/>
    <w:rsid w:val="155A42CC"/>
    <w:rsid w:val="15CB2F2D"/>
    <w:rsid w:val="15EC2C3C"/>
    <w:rsid w:val="167F4E7B"/>
    <w:rsid w:val="17CB09B6"/>
    <w:rsid w:val="187D363C"/>
    <w:rsid w:val="18CB084B"/>
    <w:rsid w:val="1904643D"/>
    <w:rsid w:val="198509FA"/>
    <w:rsid w:val="1C185B56"/>
    <w:rsid w:val="1E075E82"/>
    <w:rsid w:val="230B1CD3"/>
    <w:rsid w:val="23AA1D72"/>
    <w:rsid w:val="24013373"/>
    <w:rsid w:val="24DB3BC4"/>
    <w:rsid w:val="25FA0E7A"/>
    <w:rsid w:val="2704198F"/>
    <w:rsid w:val="28161932"/>
    <w:rsid w:val="290731DA"/>
    <w:rsid w:val="29A907DE"/>
    <w:rsid w:val="2CDA6E57"/>
    <w:rsid w:val="2E6E16C9"/>
    <w:rsid w:val="30B31E99"/>
    <w:rsid w:val="30D836AE"/>
    <w:rsid w:val="315F792B"/>
    <w:rsid w:val="350B7A8A"/>
    <w:rsid w:val="35336631"/>
    <w:rsid w:val="36050AA1"/>
    <w:rsid w:val="36C4181C"/>
    <w:rsid w:val="375D21FC"/>
    <w:rsid w:val="37D26459"/>
    <w:rsid w:val="3861609F"/>
    <w:rsid w:val="39EF5A17"/>
    <w:rsid w:val="3E7964D0"/>
    <w:rsid w:val="3EAF3CA0"/>
    <w:rsid w:val="41F5021F"/>
    <w:rsid w:val="43C430AB"/>
    <w:rsid w:val="447B4624"/>
    <w:rsid w:val="45765517"/>
    <w:rsid w:val="48F91437"/>
    <w:rsid w:val="4A5E3375"/>
    <w:rsid w:val="4ADA02F6"/>
    <w:rsid w:val="4AE141D1"/>
    <w:rsid w:val="4B784BAB"/>
    <w:rsid w:val="55094775"/>
    <w:rsid w:val="551C46DE"/>
    <w:rsid w:val="587877FD"/>
    <w:rsid w:val="58B3387C"/>
    <w:rsid w:val="590A3F69"/>
    <w:rsid w:val="5BB4249E"/>
    <w:rsid w:val="5CA5262C"/>
    <w:rsid w:val="5E966EBF"/>
    <w:rsid w:val="5FD4389C"/>
    <w:rsid w:val="61131A54"/>
    <w:rsid w:val="66E11C4F"/>
    <w:rsid w:val="6AFE1987"/>
    <w:rsid w:val="6BEA3FF2"/>
    <w:rsid w:val="6DDA2634"/>
    <w:rsid w:val="6F5258A4"/>
    <w:rsid w:val="7216199F"/>
    <w:rsid w:val="72174BBD"/>
    <w:rsid w:val="727A735D"/>
    <w:rsid w:val="73C03C7E"/>
    <w:rsid w:val="74E73D79"/>
    <w:rsid w:val="74EC1DCA"/>
    <w:rsid w:val="78C37F93"/>
    <w:rsid w:val="7A4200DA"/>
    <w:rsid w:val="7CBF234F"/>
    <w:rsid w:val="7D2D1406"/>
    <w:rsid w:val="7E4F632A"/>
    <w:rsid w:val="7FA44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tLeast"/>
      <w:outlineLvl w:val="0"/>
    </w:pPr>
    <w:rPr>
      <w:b/>
      <w:bCs/>
      <w:kern w:val="44"/>
      <w:sz w:val="44"/>
      <w:szCs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27"/>
    <w:unhideWhenUsed/>
    <w:qFormat/>
    <w:uiPriority w:val="99"/>
    <w:pPr>
      <w:jc w:val="left"/>
    </w:pPr>
    <w:rPr>
      <w:szCs w:val="22"/>
    </w:rPr>
  </w:style>
  <w:style w:type="paragraph" w:styleId="6">
    <w:name w:val="Body Text"/>
    <w:basedOn w:val="1"/>
    <w:unhideWhenUsed/>
    <w:qFormat/>
    <w:uiPriority w:val="99"/>
    <w:pPr>
      <w:spacing w:after="120"/>
    </w:pPr>
  </w:style>
  <w:style w:type="paragraph" w:styleId="7">
    <w:name w:val="Block Text"/>
    <w:basedOn w:val="1"/>
    <w:unhideWhenUsed/>
    <w:qFormat/>
    <w:uiPriority w:val="99"/>
    <w:pPr>
      <w:spacing w:after="120"/>
      <w:ind w:left="1440" w:leftChars="700" w:right="1440" w:rightChars="700"/>
    </w:pPr>
  </w:style>
  <w:style w:type="paragraph" w:styleId="8">
    <w:name w:val="index 4"/>
    <w:basedOn w:val="1"/>
    <w:next w:val="1"/>
    <w:qFormat/>
    <w:uiPriority w:val="99"/>
    <w:pPr>
      <w:ind w:left="600" w:leftChars="600"/>
    </w:pPr>
    <w:rPr>
      <w:rFonts w:ascii="Verdana" w:hAnsi="Verdana"/>
    </w:rPr>
  </w:style>
  <w:style w:type="paragraph" w:styleId="9">
    <w:name w:val="Plain Text"/>
    <w:basedOn w:val="1"/>
    <w:qFormat/>
    <w:uiPriority w:val="0"/>
    <w:rPr>
      <w:rFonts w:ascii="宋体" w:hAnsi="Courier New"/>
      <w:szCs w:val="20"/>
    </w:rPr>
  </w:style>
  <w:style w:type="paragraph" w:styleId="10">
    <w:name w:val="Date"/>
    <w:basedOn w:val="1"/>
    <w:next w:val="1"/>
    <w:qFormat/>
    <w:uiPriority w:val="99"/>
    <w:pPr>
      <w:ind w:left="100" w:leftChars="2500"/>
    </w:pPr>
    <w:rPr>
      <w:sz w:val="24"/>
      <w:szCs w:val="20"/>
    </w:rPr>
  </w:style>
  <w:style w:type="paragraph" w:styleId="11">
    <w:name w:val="footer"/>
    <w:basedOn w:val="1"/>
    <w:qFormat/>
    <w:uiPriority w:val="99"/>
    <w:pPr>
      <w:tabs>
        <w:tab w:val="center" w:pos="4153"/>
        <w:tab w:val="right" w:pos="8306"/>
      </w:tabs>
      <w:snapToGrid w:val="0"/>
      <w:jc w:val="left"/>
    </w:pPr>
    <w:rPr>
      <w:kern w:val="0"/>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3">
    <w:name w:val="annotation subject"/>
    <w:basedOn w:val="5"/>
    <w:next w:val="5"/>
    <w:link w:val="28"/>
    <w:qFormat/>
    <w:uiPriority w:val="0"/>
    <w:rPr>
      <w:b/>
      <w:bCs/>
      <w:szCs w:val="24"/>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Hyperlink"/>
    <w:qFormat/>
    <w:uiPriority w:val="99"/>
    <w:rPr>
      <w:rFonts w:cs="Times New Roman"/>
      <w:color w:val="0563C1"/>
      <w:u w:val="single"/>
    </w:rPr>
  </w:style>
  <w:style w:type="character" w:styleId="19">
    <w:name w:val="annotation reference"/>
    <w:basedOn w:val="16"/>
    <w:qFormat/>
    <w:uiPriority w:val="0"/>
    <w:rPr>
      <w:sz w:val="21"/>
      <w:szCs w:val="21"/>
    </w:rPr>
  </w:style>
  <w:style w:type="paragraph" w:styleId="20">
    <w:name w:val="List Paragraph"/>
    <w:basedOn w:val="1"/>
    <w:qFormat/>
    <w:uiPriority w:val="34"/>
    <w:pPr>
      <w:widowControl/>
      <w:ind w:firstLine="420" w:firstLineChars="200"/>
      <w:jc w:val="left"/>
    </w:pPr>
    <w:rPr>
      <w:kern w:val="0"/>
      <w:sz w:val="20"/>
      <w:szCs w:val="20"/>
    </w:rPr>
  </w:style>
  <w:style w:type="paragraph" w:customStyle="1" w:styleId="2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22">
    <w:name w:val="标题 2 Char Char Char"/>
    <w:qFormat/>
    <w:uiPriority w:val="99"/>
    <w:rPr>
      <w:rFonts w:ascii="Arial" w:hAnsi="Arial" w:eastAsia="黑体"/>
      <w:b/>
      <w:kern w:val="2"/>
      <w:sz w:val="32"/>
      <w:lang w:val="en-US" w:eastAsia="zh-CN"/>
    </w:rPr>
  </w:style>
  <w:style w:type="paragraph" w:customStyle="1" w:styleId="23">
    <w:name w:val="首行缩进"/>
    <w:basedOn w:val="1"/>
    <w:qFormat/>
    <w:uiPriority w:val="99"/>
    <w:pPr>
      <w:spacing w:line="360" w:lineRule="auto"/>
      <w:ind w:firstLine="480" w:firstLineChars="200"/>
      <w:jc w:val="left"/>
    </w:pPr>
    <w:rPr>
      <w:rFonts w:ascii="宋体" w:hAnsi="宋体" w:eastAsia="Calibri"/>
      <w:kern w:val="0"/>
      <w:sz w:val="24"/>
      <w:lang w:eastAsia="en-US"/>
    </w:rPr>
  </w:style>
  <w:style w:type="paragraph" w:customStyle="1" w:styleId="24">
    <w:name w:val="Table Paragraph"/>
    <w:basedOn w:val="1"/>
    <w:semiHidden/>
    <w:qFormat/>
    <w:uiPriority w:val="0"/>
    <w:pPr>
      <w:autoSpaceDE w:val="0"/>
      <w:autoSpaceDN w:val="0"/>
      <w:adjustRightInd w:val="0"/>
      <w:jc w:val="left"/>
    </w:pPr>
    <w:rPr>
      <w:rFonts w:eastAsia="等线"/>
      <w:kern w:val="0"/>
      <w:sz w:val="24"/>
    </w:rPr>
  </w:style>
  <w:style w:type="paragraph" w:customStyle="1" w:styleId="25">
    <w:name w:val="列出段落11"/>
    <w:basedOn w:val="1"/>
    <w:qFormat/>
    <w:uiPriority w:val="99"/>
    <w:pPr>
      <w:ind w:firstLine="420" w:firstLineChars="200"/>
    </w:pPr>
    <w:rPr>
      <w:rFonts w:ascii="Calibri" w:hAnsi="Calibri"/>
    </w:rPr>
  </w:style>
  <w:style w:type="paragraph" w:customStyle="1" w:styleId="26">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7">
    <w:name w:val="批注文字 字符"/>
    <w:basedOn w:val="16"/>
    <w:link w:val="5"/>
    <w:qFormat/>
    <w:uiPriority w:val="99"/>
    <w:rPr>
      <w:rFonts w:ascii="Times New Roman" w:hAnsi="Times New Roman" w:eastAsia="宋体" w:cs="Times New Roman"/>
      <w:kern w:val="2"/>
      <w:sz w:val="21"/>
      <w:szCs w:val="22"/>
    </w:rPr>
  </w:style>
  <w:style w:type="character" w:customStyle="1" w:styleId="28">
    <w:name w:val="批注主题 字符"/>
    <w:basedOn w:val="27"/>
    <w:link w:val="13"/>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3117</Words>
  <Characters>17768</Characters>
  <Lines>148</Lines>
  <Paragraphs>41</Paragraphs>
  <TotalTime>16</TotalTime>
  <ScaleCrop>false</ScaleCrop>
  <LinksUpToDate>false</LinksUpToDate>
  <CharactersWithSpaces>20844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2021-11-09T02:42:00Z</dcterms:created>
  <dc:creator>天行</dc:creator>
  <cp:lastModifiedBy>Administrator</cp:lastModifiedBy>
  <dcterms:modified xsi:type="dcterms:W3CDTF">2021-12-15T07:21:33Z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4265DD0A14664E9F9247A64083ED2FEE</vt:lpwstr>
  </property>
</Properties>
</file>