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B8E" w:rsidRPr="00330B8E" w:rsidRDefault="00902665" w:rsidP="00330B8E">
      <w:pPr>
        <w:jc w:val="left"/>
        <w:rPr>
          <w:rFonts w:ascii="方正小标宋简体" w:eastAsia="方正小标宋简体" w:hAnsi="黑体"/>
          <w:szCs w:val="21"/>
        </w:rPr>
      </w:pPr>
      <w:r>
        <w:rPr>
          <w:rFonts w:ascii="方正小标宋简体" w:eastAsia="方正小标宋简体" w:hAnsi="黑体" w:hint="eastAsia"/>
          <w:szCs w:val="21"/>
        </w:rPr>
        <w:t>附</w:t>
      </w:r>
      <w:r w:rsidR="00330B8E">
        <w:rPr>
          <w:rFonts w:ascii="方正小标宋简体" w:eastAsia="方正小标宋简体" w:hAnsi="黑体" w:hint="eastAsia"/>
          <w:szCs w:val="21"/>
        </w:rPr>
        <w:t>件1：</w:t>
      </w:r>
    </w:p>
    <w:p w:rsidR="00F25C12" w:rsidRDefault="003911B3">
      <w:pPr>
        <w:jc w:val="center"/>
        <w:rPr>
          <w:rFonts w:ascii="方正小标宋简体" w:eastAsia="方正小标宋简体" w:hAnsi="黑体"/>
          <w:sz w:val="40"/>
          <w:szCs w:val="32"/>
        </w:rPr>
      </w:pPr>
      <w:r>
        <w:rPr>
          <w:rFonts w:ascii="方正小标宋简体" w:eastAsia="方正小标宋简体" w:hAnsi="黑体" w:hint="eastAsia"/>
          <w:sz w:val="40"/>
          <w:szCs w:val="32"/>
        </w:rPr>
        <w:t>校园安全风险隐患排查任务分解表</w:t>
      </w:r>
    </w:p>
    <w:p w:rsidR="00F25C12" w:rsidRDefault="00F25C12">
      <w:pPr>
        <w:jc w:val="left"/>
        <w:rPr>
          <w:rFonts w:ascii="黑体" w:eastAsia="黑体" w:hAnsi="黑体"/>
          <w:sz w:val="28"/>
          <w:szCs w:val="32"/>
        </w:rPr>
      </w:pPr>
    </w:p>
    <w:tbl>
      <w:tblPr>
        <w:tblStyle w:val="a7"/>
        <w:tblW w:w="0" w:type="auto"/>
        <w:tblInd w:w="704" w:type="dxa"/>
        <w:tblLook w:val="04A0" w:firstRow="1" w:lastRow="0" w:firstColumn="1" w:lastColumn="0" w:noHBand="0" w:noVBand="1"/>
      </w:tblPr>
      <w:tblGrid>
        <w:gridCol w:w="1418"/>
        <w:gridCol w:w="8971"/>
        <w:gridCol w:w="2855"/>
      </w:tblGrid>
      <w:tr w:rsidR="00F25C12" w:rsidTr="001537F1">
        <w:trPr>
          <w:trHeight w:val="889"/>
        </w:trPr>
        <w:tc>
          <w:tcPr>
            <w:tcW w:w="1418" w:type="dxa"/>
            <w:vAlign w:val="center"/>
          </w:tcPr>
          <w:p w:rsidR="00F25C12" w:rsidRDefault="003911B3">
            <w:pPr>
              <w:jc w:val="center"/>
              <w:rPr>
                <w:rFonts w:ascii="黑体" w:eastAsia="黑体" w:hAnsi="黑体"/>
                <w:sz w:val="28"/>
                <w:szCs w:val="28"/>
              </w:rPr>
            </w:pPr>
            <w:r>
              <w:rPr>
                <w:rFonts w:ascii="黑体" w:eastAsia="黑体" w:hAnsi="黑体" w:hint="eastAsia"/>
                <w:sz w:val="28"/>
                <w:szCs w:val="28"/>
              </w:rPr>
              <w:t>排查范围</w:t>
            </w:r>
          </w:p>
        </w:tc>
        <w:tc>
          <w:tcPr>
            <w:tcW w:w="8971" w:type="dxa"/>
            <w:vAlign w:val="center"/>
          </w:tcPr>
          <w:p w:rsidR="00F25C12" w:rsidRDefault="003911B3">
            <w:pPr>
              <w:jc w:val="center"/>
              <w:rPr>
                <w:rFonts w:ascii="黑体" w:eastAsia="黑体" w:hAnsi="黑体"/>
                <w:sz w:val="28"/>
                <w:szCs w:val="28"/>
              </w:rPr>
            </w:pPr>
            <w:r>
              <w:rPr>
                <w:rFonts w:ascii="黑体" w:eastAsia="黑体" w:hAnsi="黑体" w:hint="eastAsia"/>
                <w:sz w:val="28"/>
                <w:szCs w:val="28"/>
              </w:rPr>
              <w:t>排查内容</w:t>
            </w:r>
          </w:p>
        </w:tc>
        <w:tc>
          <w:tcPr>
            <w:tcW w:w="2855" w:type="dxa"/>
            <w:vAlign w:val="center"/>
          </w:tcPr>
          <w:p w:rsidR="00F25C12" w:rsidRDefault="003911B3">
            <w:pPr>
              <w:jc w:val="center"/>
              <w:rPr>
                <w:rFonts w:ascii="黑体" w:eastAsia="黑体" w:hAnsi="黑体"/>
                <w:sz w:val="28"/>
                <w:szCs w:val="28"/>
              </w:rPr>
            </w:pPr>
            <w:r>
              <w:rPr>
                <w:rFonts w:ascii="黑体" w:eastAsia="黑体" w:hAnsi="黑体" w:hint="eastAsia"/>
                <w:sz w:val="28"/>
                <w:szCs w:val="28"/>
              </w:rPr>
              <w:t>责任单位</w:t>
            </w:r>
          </w:p>
        </w:tc>
      </w:tr>
      <w:tr w:rsidR="00F25C12" w:rsidTr="00902665">
        <w:trPr>
          <w:trHeight w:val="769"/>
        </w:trPr>
        <w:tc>
          <w:tcPr>
            <w:tcW w:w="1418" w:type="dxa"/>
            <w:vAlign w:val="center"/>
          </w:tcPr>
          <w:p w:rsidR="00F25C12" w:rsidRDefault="003911B3">
            <w:pPr>
              <w:jc w:val="center"/>
              <w:rPr>
                <w:rFonts w:ascii="黑体" w:eastAsia="黑体" w:hAnsi="黑体"/>
                <w:szCs w:val="21"/>
              </w:rPr>
            </w:pPr>
            <w:r>
              <w:rPr>
                <w:rFonts w:ascii="黑体" w:eastAsia="黑体" w:hAnsi="黑体" w:hint="eastAsia"/>
                <w:szCs w:val="21"/>
              </w:rPr>
              <w:t>交通安全</w:t>
            </w:r>
          </w:p>
        </w:tc>
        <w:tc>
          <w:tcPr>
            <w:tcW w:w="8971" w:type="dxa"/>
            <w:vAlign w:val="center"/>
          </w:tcPr>
          <w:p w:rsidR="00F25C12" w:rsidRDefault="003911B3">
            <w:pPr>
              <w:ind w:firstLineChars="200" w:firstLine="420"/>
              <w:jc w:val="left"/>
              <w:rPr>
                <w:rFonts w:ascii="黑体" w:eastAsia="黑体" w:hAnsi="黑体"/>
                <w:szCs w:val="21"/>
              </w:rPr>
            </w:pPr>
            <w:r>
              <w:rPr>
                <w:rFonts w:ascii="黑体" w:eastAsia="黑体" w:hAnsi="黑体" w:hint="eastAsia"/>
                <w:szCs w:val="21"/>
              </w:rPr>
              <w:t>检查各类用车驾驶人员的驾驶资格和管理制度、安全行车教育培训考核制度、日常检修制度等落实情况，检查车辆的技术状况是否存在故障隐患。</w:t>
            </w:r>
          </w:p>
        </w:tc>
        <w:tc>
          <w:tcPr>
            <w:tcW w:w="2855" w:type="dxa"/>
            <w:vAlign w:val="center"/>
          </w:tcPr>
          <w:p w:rsidR="00F25C12" w:rsidRDefault="003911B3">
            <w:pPr>
              <w:jc w:val="center"/>
              <w:rPr>
                <w:rFonts w:ascii="黑体" w:eastAsia="黑体" w:hAnsi="黑体"/>
                <w:szCs w:val="21"/>
              </w:rPr>
            </w:pPr>
            <w:r>
              <w:rPr>
                <w:rFonts w:ascii="黑体" w:eastAsia="黑体" w:hAnsi="黑体" w:hint="eastAsia"/>
                <w:szCs w:val="21"/>
              </w:rPr>
              <w:t>商贸服务中心</w:t>
            </w:r>
          </w:p>
        </w:tc>
      </w:tr>
      <w:tr w:rsidR="00F25C12" w:rsidTr="001537F1">
        <w:trPr>
          <w:trHeight w:val="1351"/>
        </w:trPr>
        <w:tc>
          <w:tcPr>
            <w:tcW w:w="1418" w:type="dxa"/>
            <w:vAlign w:val="center"/>
          </w:tcPr>
          <w:p w:rsidR="00F25C12" w:rsidRDefault="003911B3">
            <w:pPr>
              <w:jc w:val="center"/>
              <w:rPr>
                <w:rFonts w:ascii="黑体" w:eastAsia="黑体" w:hAnsi="黑体"/>
                <w:szCs w:val="21"/>
              </w:rPr>
            </w:pPr>
            <w:r>
              <w:rPr>
                <w:rFonts w:ascii="黑体" w:eastAsia="黑体" w:hAnsi="黑体" w:hint="eastAsia"/>
                <w:szCs w:val="21"/>
              </w:rPr>
              <w:t>食品安全</w:t>
            </w:r>
          </w:p>
        </w:tc>
        <w:tc>
          <w:tcPr>
            <w:tcW w:w="8971" w:type="dxa"/>
            <w:vAlign w:val="center"/>
          </w:tcPr>
          <w:p w:rsidR="00F25C12" w:rsidRDefault="003911B3">
            <w:pPr>
              <w:jc w:val="left"/>
              <w:rPr>
                <w:rFonts w:ascii="黑体" w:eastAsia="黑体" w:hAnsi="黑体"/>
                <w:szCs w:val="21"/>
              </w:rPr>
            </w:pPr>
            <w:r>
              <w:rPr>
                <w:rFonts w:ascii="黑体" w:eastAsia="黑体" w:hAnsi="黑体" w:hint="eastAsia"/>
                <w:szCs w:val="21"/>
              </w:rPr>
              <w:t xml:space="preserve">    以食堂为重点，着重检查食堂人员卫生、环境卫生以及食品原料采购、存储、加工、制作、清洁消毒、食品留样、用水安全等环节的食品安全管理制度和规范的落实情况；检查校内从事食品经营商户是否证照齐全，有无出售不符合食品安全标准的食品；检查传染病疫情防控及报告制度落实情况。</w:t>
            </w:r>
          </w:p>
        </w:tc>
        <w:tc>
          <w:tcPr>
            <w:tcW w:w="2855" w:type="dxa"/>
            <w:vAlign w:val="center"/>
          </w:tcPr>
          <w:p w:rsidR="007E566E" w:rsidRDefault="003911B3" w:rsidP="007E566E">
            <w:pPr>
              <w:jc w:val="center"/>
              <w:rPr>
                <w:rFonts w:ascii="黑体" w:eastAsia="黑体" w:hAnsi="黑体"/>
                <w:szCs w:val="21"/>
              </w:rPr>
            </w:pPr>
            <w:r>
              <w:rPr>
                <w:rFonts w:ascii="黑体" w:eastAsia="黑体" w:hAnsi="黑体" w:hint="eastAsia"/>
                <w:szCs w:val="21"/>
              </w:rPr>
              <w:t>饮食服务中心</w:t>
            </w:r>
          </w:p>
          <w:p w:rsidR="00F25C12" w:rsidRDefault="003911B3" w:rsidP="007E566E">
            <w:pPr>
              <w:jc w:val="center"/>
              <w:rPr>
                <w:rFonts w:ascii="黑体" w:eastAsia="黑体" w:hAnsi="黑体"/>
                <w:szCs w:val="21"/>
              </w:rPr>
            </w:pPr>
            <w:r>
              <w:rPr>
                <w:rFonts w:ascii="黑体" w:eastAsia="黑体" w:hAnsi="黑体" w:hint="eastAsia"/>
                <w:szCs w:val="21"/>
              </w:rPr>
              <w:t>商贸服务中心</w:t>
            </w:r>
          </w:p>
        </w:tc>
      </w:tr>
      <w:tr w:rsidR="00F25C12" w:rsidTr="001537F1">
        <w:trPr>
          <w:trHeight w:val="784"/>
        </w:trPr>
        <w:tc>
          <w:tcPr>
            <w:tcW w:w="1418" w:type="dxa"/>
            <w:vMerge w:val="restart"/>
            <w:vAlign w:val="center"/>
          </w:tcPr>
          <w:p w:rsidR="00902665" w:rsidRDefault="003911B3">
            <w:pPr>
              <w:jc w:val="center"/>
              <w:rPr>
                <w:rFonts w:ascii="黑体" w:eastAsia="黑体" w:hAnsi="黑体"/>
                <w:szCs w:val="21"/>
              </w:rPr>
            </w:pPr>
            <w:r>
              <w:rPr>
                <w:rFonts w:ascii="黑体" w:eastAsia="黑体" w:hAnsi="黑体" w:hint="eastAsia"/>
                <w:szCs w:val="21"/>
              </w:rPr>
              <w:t>疫情防控</w:t>
            </w:r>
          </w:p>
          <w:p w:rsidR="00F25C12" w:rsidRDefault="003911B3">
            <w:pPr>
              <w:jc w:val="center"/>
              <w:rPr>
                <w:rFonts w:ascii="黑体" w:eastAsia="黑体" w:hAnsi="黑体"/>
                <w:szCs w:val="21"/>
              </w:rPr>
            </w:pPr>
            <w:r>
              <w:rPr>
                <w:rFonts w:ascii="黑体" w:eastAsia="黑体" w:hAnsi="黑体" w:hint="eastAsia"/>
                <w:szCs w:val="21"/>
              </w:rPr>
              <w:t>安全</w:t>
            </w:r>
          </w:p>
        </w:tc>
        <w:tc>
          <w:tcPr>
            <w:tcW w:w="8971" w:type="dxa"/>
            <w:vAlign w:val="center"/>
          </w:tcPr>
          <w:p w:rsidR="00F25C12" w:rsidRDefault="003911B3">
            <w:pPr>
              <w:ind w:firstLineChars="200" w:firstLine="420"/>
              <w:jc w:val="left"/>
              <w:rPr>
                <w:rFonts w:ascii="黑体" w:eastAsia="黑体" w:hAnsi="黑体"/>
                <w:szCs w:val="21"/>
              </w:rPr>
            </w:pPr>
            <w:r>
              <w:rPr>
                <w:rFonts w:ascii="黑体" w:eastAsia="黑体" w:hAnsi="黑体" w:hint="eastAsia"/>
                <w:szCs w:val="21"/>
              </w:rPr>
              <w:t>根据上级最新政策要求，对核酸检测、活动管理、公共场所消杀、集中隔离点管理、应急处置等环节进行全方位梳理排查。</w:t>
            </w:r>
          </w:p>
        </w:tc>
        <w:tc>
          <w:tcPr>
            <w:tcW w:w="2855" w:type="dxa"/>
            <w:vAlign w:val="center"/>
          </w:tcPr>
          <w:p w:rsidR="00F25C12" w:rsidRDefault="003911B3">
            <w:pPr>
              <w:jc w:val="center"/>
              <w:rPr>
                <w:rFonts w:ascii="黑体" w:eastAsia="黑体" w:hAnsi="黑体"/>
                <w:szCs w:val="21"/>
              </w:rPr>
            </w:pPr>
            <w:r>
              <w:rPr>
                <w:rFonts w:ascii="黑体" w:eastAsia="黑体" w:hAnsi="黑体" w:hint="eastAsia"/>
                <w:szCs w:val="21"/>
              </w:rPr>
              <w:t>综合门诊部</w:t>
            </w:r>
          </w:p>
        </w:tc>
      </w:tr>
      <w:tr w:rsidR="00F25C12" w:rsidTr="001537F1">
        <w:trPr>
          <w:trHeight w:val="717"/>
        </w:trPr>
        <w:tc>
          <w:tcPr>
            <w:tcW w:w="1418" w:type="dxa"/>
            <w:vMerge/>
            <w:vAlign w:val="center"/>
          </w:tcPr>
          <w:p w:rsidR="00F25C12" w:rsidRDefault="00F25C12">
            <w:pPr>
              <w:ind w:firstLineChars="200" w:firstLine="420"/>
              <w:jc w:val="left"/>
            </w:pPr>
          </w:p>
        </w:tc>
        <w:tc>
          <w:tcPr>
            <w:tcW w:w="8971" w:type="dxa"/>
            <w:vAlign w:val="center"/>
          </w:tcPr>
          <w:p w:rsidR="00F25C12" w:rsidRDefault="003911B3">
            <w:pPr>
              <w:ind w:firstLineChars="200" w:firstLine="420"/>
              <w:jc w:val="left"/>
              <w:rPr>
                <w:rFonts w:ascii="黑体" w:eastAsia="黑体" w:hAnsi="黑体"/>
                <w:szCs w:val="21"/>
              </w:rPr>
            </w:pPr>
            <w:r>
              <w:rPr>
                <w:rFonts w:ascii="黑体" w:eastAsia="黑体" w:hAnsi="黑体" w:hint="eastAsia"/>
                <w:szCs w:val="21"/>
              </w:rPr>
              <w:t>根据上级最新政策要求，对各类人员管理、防疫物资储备进行全方位梳理排查。</w:t>
            </w:r>
          </w:p>
        </w:tc>
        <w:tc>
          <w:tcPr>
            <w:tcW w:w="2855" w:type="dxa"/>
            <w:vAlign w:val="center"/>
          </w:tcPr>
          <w:p w:rsidR="00F25C12" w:rsidRDefault="003911B3">
            <w:pPr>
              <w:jc w:val="center"/>
              <w:rPr>
                <w:rFonts w:ascii="黑体" w:eastAsia="黑体" w:hAnsi="黑体"/>
                <w:szCs w:val="21"/>
              </w:rPr>
            </w:pPr>
            <w:r>
              <w:rPr>
                <w:rFonts w:ascii="黑体" w:eastAsia="黑体" w:hAnsi="黑体" w:hint="eastAsia"/>
                <w:szCs w:val="21"/>
              </w:rPr>
              <w:t>综合办公室</w:t>
            </w:r>
          </w:p>
        </w:tc>
      </w:tr>
      <w:tr w:rsidR="00F25C12" w:rsidTr="001537F1">
        <w:trPr>
          <w:trHeight w:val="829"/>
        </w:trPr>
        <w:tc>
          <w:tcPr>
            <w:tcW w:w="1418" w:type="dxa"/>
            <w:vMerge w:val="restart"/>
            <w:vAlign w:val="center"/>
          </w:tcPr>
          <w:p w:rsidR="00902665" w:rsidRDefault="003911B3">
            <w:pPr>
              <w:jc w:val="center"/>
              <w:rPr>
                <w:rFonts w:ascii="黑体" w:eastAsia="黑体" w:hAnsi="黑体"/>
                <w:szCs w:val="21"/>
              </w:rPr>
            </w:pPr>
            <w:r>
              <w:rPr>
                <w:rFonts w:ascii="黑体" w:eastAsia="黑体" w:hAnsi="黑体" w:hint="eastAsia"/>
                <w:szCs w:val="21"/>
              </w:rPr>
              <w:t>楼宇建筑</w:t>
            </w:r>
          </w:p>
          <w:p w:rsidR="00F25C12" w:rsidRDefault="003911B3">
            <w:pPr>
              <w:jc w:val="center"/>
              <w:rPr>
                <w:rFonts w:ascii="黑体" w:eastAsia="黑体" w:hAnsi="黑体"/>
                <w:szCs w:val="21"/>
              </w:rPr>
            </w:pPr>
            <w:r>
              <w:rPr>
                <w:rFonts w:ascii="黑体" w:eastAsia="黑体" w:hAnsi="黑体" w:hint="eastAsia"/>
                <w:szCs w:val="21"/>
              </w:rPr>
              <w:t>安全</w:t>
            </w:r>
          </w:p>
        </w:tc>
        <w:tc>
          <w:tcPr>
            <w:tcW w:w="8971" w:type="dxa"/>
            <w:vAlign w:val="center"/>
          </w:tcPr>
          <w:p w:rsidR="00F25C12" w:rsidRDefault="003911B3">
            <w:pPr>
              <w:jc w:val="left"/>
              <w:rPr>
                <w:rFonts w:ascii="黑体" w:eastAsia="黑体" w:hAnsi="黑体"/>
                <w:szCs w:val="21"/>
              </w:rPr>
            </w:pPr>
            <w:r>
              <w:rPr>
                <w:rFonts w:ascii="黑体" w:eastAsia="黑体" w:hAnsi="黑体" w:hint="eastAsia"/>
                <w:szCs w:val="21"/>
              </w:rPr>
              <w:t xml:space="preserve">    重点排查楼宇外立面装饰、门窗是否安全；楼内疏散标志标识、应急照明、安全通道是否清晰、通畅；检查各楼体内是否存在使用违章电器、私拉乱拉电气线路，电气线路是否有老化迹象。</w:t>
            </w:r>
          </w:p>
        </w:tc>
        <w:tc>
          <w:tcPr>
            <w:tcW w:w="2855" w:type="dxa"/>
            <w:vAlign w:val="center"/>
          </w:tcPr>
          <w:p w:rsidR="00F25C12" w:rsidRDefault="003911B3">
            <w:pPr>
              <w:jc w:val="center"/>
              <w:rPr>
                <w:rFonts w:ascii="黑体" w:eastAsia="黑体" w:hAnsi="黑体"/>
                <w:szCs w:val="21"/>
              </w:rPr>
            </w:pPr>
            <w:r>
              <w:rPr>
                <w:rFonts w:ascii="黑体" w:eastAsia="黑体" w:hAnsi="黑体" w:hint="eastAsia"/>
                <w:szCs w:val="21"/>
              </w:rPr>
              <w:t>校园管理科</w:t>
            </w:r>
          </w:p>
        </w:tc>
      </w:tr>
      <w:tr w:rsidR="00F25C12" w:rsidTr="001537F1">
        <w:trPr>
          <w:trHeight w:val="837"/>
        </w:trPr>
        <w:tc>
          <w:tcPr>
            <w:tcW w:w="1418" w:type="dxa"/>
            <w:vMerge/>
            <w:vAlign w:val="center"/>
          </w:tcPr>
          <w:p w:rsidR="00F25C12" w:rsidRDefault="00F25C12">
            <w:pPr>
              <w:jc w:val="left"/>
            </w:pPr>
          </w:p>
        </w:tc>
        <w:tc>
          <w:tcPr>
            <w:tcW w:w="8971" w:type="dxa"/>
            <w:vAlign w:val="center"/>
          </w:tcPr>
          <w:p w:rsidR="00F25C12" w:rsidRDefault="003911B3">
            <w:pPr>
              <w:ind w:firstLineChars="200" w:firstLine="420"/>
              <w:jc w:val="left"/>
              <w:rPr>
                <w:rFonts w:ascii="黑体" w:eastAsia="黑体" w:hAnsi="黑体"/>
                <w:szCs w:val="21"/>
              </w:rPr>
            </w:pPr>
            <w:r>
              <w:rPr>
                <w:rFonts w:ascii="黑体" w:eastAsia="黑体" w:hAnsi="黑体" w:hint="eastAsia"/>
                <w:szCs w:val="21"/>
              </w:rPr>
              <w:t>检查校内施工现场围挡、施工人员安全防护和闭环管理等是否存在不到位情况。</w:t>
            </w:r>
          </w:p>
        </w:tc>
        <w:tc>
          <w:tcPr>
            <w:tcW w:w="2855" w:type="dxa"/>
            <w:vAlign w:val="center"/>
          </w:tcPr>
          <w:p w:rsidR="00F25C12" w:rsidRDefault="003911B3">
            <w:pPr>
              <w:jc w:val="center"/>
              <w:rPr>
                <w:rFonts w:ascii="黑体" w:eastAsia="黑体" w:hAnsi="黑体"/>
                <w:szCs w:val="21"/>
              </w:rPr>
            </w:pPr>
            <w:r>
              <w:rPr>
                <w:rFonts w:ascii="黑体" w:eastAsia="黑体" w:hAnsi="黑体" w:hint="eastAsia"/>
                <w:szCs w:val="21"/>
              </w:rPr>
              <w:t>维修管理科</w:t>
            </w:r>
          </w:p>
        </w:tc>
      </w:tr>
      <w:tr w:rsidR="00F25C12" w:rsidTr="001537F1">
        <w:trPr>
          <w:trHeight w:val="1171"/>
        </w:trPr>
        <w:tc>
          <w:tcPr>
            <w:tcW w:w="1418" w:type="dxa"/>
            <w:vMerge w:val="restart"/>
            <w:vAlign w:val="center"/>
          </w:tcPr>
          <w:p w:rsidR="00F25C12" w:rsidRDefault="003911B3">
            <w:pPr>
              <w:jc w:val="center"/>
              <w:rPr>
                <w:rFonts w:ascii="黑体" w:eastAsia="黑体" w:hAnsi="黑体"/>
                <w:szCs w:val="21"/>
              </w:rPr>
            </w:pPr>
            <w:r>
              <w:rPr>
                <w:rFonts w:ascii="黑体" w:eastAsia="黑体" w:hAnsi="黑体" w:hint="eastAsia"/>
                <w:szCs w:val="21"/>
              </w:rPr>
              <w:lastRenderedPageBreak/>
              <w:t>设施设备安全</w:t>
            </w:r>
          </w:p>
        </w:tc>
        <w:tc>
          <w:tcPr>
            <w:tcW w:w="8971" w:type="dxa"/>
            <w:vAlign w:val="center"/>
          </w:tcPr>
          <w:p w:rsidR="00F25C12" w:rsidRDefault="003911B3">
            <w:pPr>
              <w:ind w:firstLineChars="200" w:firstLine="420"/>
              <w:jc w:val="left"/>
              <w:rPr>
                <w:rFonts w:ascii="黑体" w:eastAsia="黑体" w:hAnsi="黑体"/>
                <w:szCs w:val="21"/>
              </w:rPr>
            </w:pPr>
            <w:r>
              <w:rPr>
                <w:rFonts w:ascii="黑体" w:eastAsia="黑体" w:hAnsi="黑体" w:hint="eastAsia"/>
                <w:szCs w:val="21"/>
              </w:rPr>
              <w:t>以锅炉、压力容器为重点，检查学校特种设备岗位职责、隐患治理、应急救援等安全管理制度制定和落实情况；安全技术档案建立情况，定期检测和维护保养情况；安全管理人员、检测人员和作业人员的安全教育和技能培训情况等；检查配电房、配电间等有无设备老化和私拉乱接线路情况等。</w:t>
            </w:r>
          </w:p>
        </w:tc>
        <w:tc>
          <w:tcPr>
            <w:tcW w:w="2855" w:type="dxa"/>
            <w:vAlign w:val="center"/>
          </w:tcPr>
          <w:p w:rsidR="00F25C12" w:rsidRDefault="003911B3">
            <w:pPr>
              <w:jc w:val="center"/>
              <w:rPr>
                <w:rFonts w:ascii="黑体" w:eastAsia="黑体" w:hAnsi="黑体"/>
                <w:szCs w:val="21"/>
              </w:rPr>
            </w:pPr>
            <w:r>
              <w:rPr>
                <w:rFonts w:ascii="黑体" w:eastAsia="黑体" w:hAnsi="黑体" w:hint="eastAsia"/>
                <w:szCs w:val="21"/>
              </w:rPr>
              <w:t>能源管理科</w:t>
            </w:r>
          </w:p>
        </w:tc>
      </w:tr>
      <w:tr w:rsidR="00F25C12" w:rsidTr="001537F1">
        <w:trPr>
          <w:trHeight w:val="1061"/>
        </w:trPr>
        <w:tc>
          <w:tcPr>
            <w:tcW w:w="1418" w:type="dxa"/>
            <w:vMerge/>
            <w:vAlign w:val="center"/>
          </w:tcPr>
          <w:p w:rsidR="00F25C12" w:rsidRDefault="00F25C12">
            <w:pPr>
              <w:ind w:firstLineChars="200" w:firstLine="420"/>
              <w:jc w:val="left"/>
            </w:pPr>
          </w:p>
        </w:tc>
        <w:tc>
          <w:tcPr>
            <w:tcW w:w="8971" w:type="dxa"/>
            <w:vAlign w:val="center"/>
          </w:tcPr>
          <w:p w:rsidR="00F25C12" w:rsidRDefault="003911B3">
            <w:pPr>
              <w:ind w:firstLineChars="200" w:firstLine="420"/>
              <w:jc w:val="left"/>
              <w:rPr>
                <w:rFonts w:ascii="黑体" w:eastAsia="黑体" w:hAnsi="黑体"/>
                <w:szCs w:val="21"/>
              </w:rPr>
            </w:pPr>
            <w:r>
              <w:rPr>
                <w:rFonts w:ascii="黑体" w:eastAsia="黑体" w:hAnsi="黑体" w:hint="eastAsia"/>
                <w:szCs w:val="21"/>
              </w:rPr>
              <w:t>以电梯为重点，检查学校特种设备岗位职责、隐患治理、应急救援等安全管理制度制定和落实情况；安全技术档案建立情况，定期检测和维护保养情况；安全管理人员、检测人员和作业人员的安全教育和技能培训情况等；</w:t>
            </w:r>
          </w:p>
        </w:tc>
        <w:tc>
          <w:tcPr>
            <w:tcW w:w="2855" w:type="dxa"/>
            <w:vAlign w:val="center"/>
          </w:tcPr>
          <w:p w:rsidR="00F25C12" w:rsidRDefault="003911B3">
            <w:pPr>
              <w:ind w:firstLineChars="400" w:firstLine="840"/>
              <w:jc w:val="left"/>
              <w:rPr>
                <w:rFonts w:ascii="黑体" w:eastAsia="黑体" w:hAnsi="黑体"/>
                <w:szCs w:val="21"/>
              </w:rPr>
            </w:pPr>
            <w:r>
              <w:rPr>
                <w:rFonts w:ascii="黑体" w:eastAsia="黑体" w:hAnsi="黑体" w:hint="eastAsia"/>
                <w:szCs w:val="21"/>
              </w:rPr>
              <w:t>维修管理科</w:t>
            </w:r>
          </w:p>
        </w:tc>
      </w:tr>
      <w:tr w:rsidR="00F25C12" w:rsidTr="001537F1">
        <w:trPr>
          <w:trHeight w:val="1159"/>
        </w:trPr>
        <w:tc>
          <w:tcPr>
            <w:tcW w:w="1418" w:type="dxa"/>
            <w:vAlign w:val="center"/>
          </w:tcPr>
          <w:p w:rsidR="00F25C12" w:rsidRDefault="003911B3">
            <w:pPr>
              <w:jc w:val="center"/>
              <w:rPr>
                <w:rFonts w:ascii="黑体" w:eastAsia="黑体" w:hAnsi="黑体"/>
                <w:szCs w:val="21"/>
              </w:rPr>
            </w:pPr>
            <w:r>
              <w:rPr>
                <w:rFonts w:ascii="黑体" w:eastAsia="黑体" w:hAnsi="黑体" w:hint="eastAsia"/>
                <w:szCs w:val="21"/>
              </w:rPr>
              <w:t>校园经营场所安全</w:t>
            </w:r>
          </w:p>
        </w:tc>
        <w:tc>
          <w:tcPr>
            <w:tcW w:w="8971" w:type="dxa"/>
            <w:vAlign w:val="center"/>
          </w:tcPr>
          <w:p w:rsidR="00F25C12" w:rsidRDefault="003911B3">
            <w:pPr>
              <w:ind w:firstLineChars="200" w:firstLine="420"/>
              <w:jc w:val="left"/>
              <w:rPr>
                <w:rFonts w:ascii="黑体" w:eastAsia="黑体" w:hAnsi="黑体"/>
                <w:szCs w:val="21"/>
              </w:rPr>
            </w:pPr>
            <w:r>
              <w:rPr>
                <w:rFonts w:ascii="黑体" w:eastAsia="黑体" w:hAnsi="黑体" w:hint="eastAsia"/>
                <w:szCs w:val="21"/>
              </w:rPr>
              <w:t>重点检查学校商业出租房等各类经营场所安全管理是否符合相关规定，经营证照是否齐全，在用火、用电等方面是否存在安全隐患等。</w:t>
            </w:r>
          </w:p>
        </w:tc>
        <w:tc>
          <w:tcPr>
            <w:tcW w:w="2855" w:type="dxa"/>
            <w:vAlign w:val="center"/>
          </w:tcPr>
          <w:p w:rsidR="001537F1" w:rsidRDefault="003911B3" w:rsidP="007E566E">
            <w:pPr>
              <w:jc w:val="center"/>
              <w:rPr>
                <w:rFonts w:ascii="黑体" w:eastAsia="黑体" w:hAnsi="黑体"/>
                <w:szCs w:val="21"/>
              </w:rPr>
            </w:pPr>
            <w:r>
              <w:rPr>
                <w:rFonts w:ascii="黑体" w:eastAsia="黑体" w:hAnsi="黑体" w:hint="eastAsia"/>
                <w:szCs w:val="21"/>
              </w:rPr>
              <w:t>商贸服务中心</w:t>
            </w:r>
          </w:p>
          <w:p w:rsidR="00F25C12" w:rsidRDefault="003911B3" w:rsidP="007E566E">
            <w:pPr>
              <w:jc w:val="center"/>
              <w:rPr>
                <w:rFonts w:ascii="黑体" w:eastAsia="黑体" w:hAnsi="黑体"/>
                <w:szCs w:val="21"/>
              </w:rPr>
            </w:pPr>
            <w:r>
              <w:rPr>
                <w:rFonts w:ascii="黑体" w:eastAsia="黑体" w:hAnsi="黑体" w:hint="eastAsia"/>
                <w:szCs w:val="21"/>
              </w:rPr>
              <w:t>饮食服务中心</w:t>
            </w:r>
          </w:p>
        </w:tc>
      </w:tr>
      <w:tr w:rsidR="00F25C12" w:rsidTr="001537F1">
        <w:trPr>
          <w:trHeight w:val="1359"/>
        </w:trPr>
        <w:tc>
          <w:tcPr>
            <w:tcW w:w="1418" w:type="dxa"/>
            <w:vAlign w:val="center"/>
          </w:tcPr>
          <w:p w:rsidR="00F25C12" w:rsidRDefault="003911B3">
            <w:pPr>
              <w:jc w:val="center"/>
              <w:rPr>
                <w:rFonts w:ascii="黑体" w:eastAsia="黑体" w:hAnsi="黑体"/>
                <w:szCs w:val="21"/>
              </w:rPr>
            </w:pPr>
            <w:r>
              <w:rPr>
                <w:rFonts w:ascii="黑体" w:eastAsia="黑体" w:hAnsi="黑体" w:hint="eastAsia"/>
                <w:szCs w:val="21"/>
              </w:rPr>
              <w:t>学生宿舍管理安全</w:t>
            </w:r>
          </w:p>
        </w:tc>
        <w:tc>
          <w:tcPr>
            <w:tcW w:w="8971" w:type="dxa"/>
            <w:vAlign w:val="center"/>
          </w:tcPr>
          <w:p w:rsidR="00F25C12" w:rsidRDefault="003911B3">
            <w:pPr>
              <w:ind w:firstLineChars="200" w:firstLine="420"/>
              <w:jc w:val="left"/>
              <w:rPr>
                <w:rFonts w:ascii="黑体" w:eastAsia="黑体" w:hAnsi="黑体"/>
                <w:szCs w:val="21"/>
              </w:rPr>
            </w:pPr>
            <w:r>
              <w:rPr>
                <w:rFonts w:ascii="黑体" w:eastAsia="黑体" w:hAnsi="黑体" w:hint="eastAsia"/>
                <w:szCs w:val="21"/>
              </w:rPr>
              <w:t>重点排查学生公寓楼内疏散标志标识、应急照明、安全通道是否清晰、通畅；学生公寓楼内私拉电线、违规使用电器、校外住宿等情况。</w:t>
            </w:r>
          </w:p>
        </w:tc>
        <w:tc>
          <w:tcPr>
            <w:tcW w:w="2855" w:type="dxa"/>
            <w:vAlign w:val="center"/>
          </w:tcPr>
          <w:p w:rsidR="00F25C12" w:rsidRDefault="003911B3">
            <w:pPr>
              <w:jc w:val="center"/>
              <w:rPr>
                <w:rFonts w:ascii="黑体" w:eastAsia="黑体" w:hAnsi="黑体"/>
                <w:szCs w:val="21"/>
              </w:rPr>
            </w:pPr>
            <w:r>
              <w:rPr>
                <w:rFonts w:ascii="黑体" w:eastAsia="黑体" w:hAnsi="黑体" w:hint="eastAsia"/>
                <w:szCs w:val="21"/>
              </w:rPr>
              <w:t>宿舍管理中心</w:t>
            </w:r>
          </w:p>
        </w:tc>
      </w:tr>
    </w:tbl>
    <w:p w:rsidR="00F25C12" w:rsidRDefault="00F25C12">
      <w:pPr>
        <w:jc w:val="center"/>
        <w:rPr>
          <w:rFonts w:ascii="方正小标宋简体" w:eastAsia="方正小标宋简体" w:hAnsi="黑体"/>
          <w:sz w:val="40"/>
          <w:szCs w:val="32"/>
        </w:rPr>
      </w:pPr>
    </w:p>
    <w:p w:rsidR="00F25C12" w:rsidRDefault="00F25C12">
      <w:pPr>
        <w:jc w:val="center"/>
        <w:rPr>
          <w:rFonts w:ascii="方正小标宋简体" w:eastAsia="方正小标宋简体" w:hAnsi="黑体"/>
          <w:sz w:val="40"/>
          <w:szCs w:val="32"/>
        </w:rPr>
      </w:pPr>
    </w:p>
    <w:p w:rsidR="00F25C12" w:rsidRDefault="00F25C12">
      <w:pPr>
        <w:jc w:val="center"/>
        <w:rPr>
          <w:rFonts w:ascii="方正小标宋简体" w:eastAsia="方正小标宋简体" w:hAnsi="黑体"/>
          <w:sz w:val="40"/>
          <w:szCs w:val="32"/>
        </w:rPr>
      </w:pPr>
    </w:p>
    <w:p w:rsidR="00F25C12" w:rsidRDefault="00F25C12">
      <w:pPr>
        <w:jc w:val="center"/>
        <w:rPr>
          <w:rFonts w:ascii="方正小标宋简体" w:eastAsia="方正小标宋简体" w:hAnsi="黑体"/>
          <w:sz w:val="40"/>
          <w:szCs w:val="32"/>
        </w:rPr>
      </w:pPr>
    </w:p>
    <w:p w:rsidR="00902665" w:rsidRDefault="00902665">
      <w:pPr>
        <w:rPr>
          <w:rFonts w:ascii="方正小标宋简体" w:eastAsia="方正小标宋简体" w:hAnsi="黑体"/>
          <w:sz w:val="40"/>
          <w:szCs w:val="32"/>
        </w:rPr>
      </w:pPr>
      <w:bookmarkStart w:id="0" w:name="_GoBack"/>
      <w:bookmarkEnd w:id="0"/>
    </w:p>
    <w:sectPr w:rsidR="0090266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C82" w:rsidRDefault="00827C82" w:rsidP="001537F1">
      <w:r>
        <w:separator/>
      </w:r>
    </w:p>
  </w:endnote>
  <w:endnote w:type="continuationSeparator" w:id="0">
    <w:p w:rsidR="00827C82" w:rsidRDefault="00827C82" w:rsidP="0015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C82" w:rsidRDefault="00827C82" w:rsidP="001537F1">
      <w:r>
        <w:separator/>
      </w:r>
    </w:p>
  </w:footnote>
  <w:footnote w:type="continuationSeparator" w:id="0">
    <w:p w:rsidR="00827C82" w:rsidRDefault="00827C82" w:rsidP="0015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3NzgyNzAxYzU5NTdhZDUxMDUyNzg2MTJlMDhmMjcifQ=="/>
  </w:docVars>
  <w:rsids>
    <w:rsidRoot w:val="007C41A1"/>
    <w:rsid w:val="000A6D3B"/>
    <w:rsid w:val="001537F1"/>
    <w:rsid w:val="001A0C2B"/>
    <w:rsid w:val="00330B8E"/>
    <w:rsid w:val="003911B3"/>
    <w:rsid w:val="00403006"/>
    <w:rsid w:val="00552DA3"/>
    <w:rsid w:val="005B0488"/>
    <w:rsid w:val="005F7AD3"/>
    <w:rsid w:val="00607A97"/>
    <w:rsid w:val="00652957"/>
    <w:rsid w:val="006B6A55"/>
    <w:rsid w:val="007C41A1"/>
    <w:rsid w:val="007E566E"/>
    <w:rsid w:val="007E6D0A"/>
    <w:rsid w:val="00827C82"/>
    <w:rsid w:val="00902665"/>
    <w:rsid w:val="009414CA"/>
    <w:rsid w:val="00F25C12"/>
    <w:rsid w:val="0EA87391"/>
    <w:rsid w:val="126C1BD1"/>
    <w:rsid w:val="1B756269"/>
    <w:rsid w:val="1C593BC9"/>
    <w:rsid w:val="2E4B40DF"/>
    <w:rsid w:val="37D41D62"/>
    <w:rsid w:val="388D4D7E"/>
    <w:rsid w:val="3E347011"/>
    <w:rsid w:val="40CF73C0"/>
    <w:rsid w:val="57F20ACE"/>
    <w:rsid w:val="58172DA4"/>
    <w:rsid w:val="5C6E61A4"/>
    <w:rsid w:val="60534A3D"/>
    <w:rsid w:val="6B4F7411"/>
    <w:rsid w:val="718F3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212A3"/>
  <w15:docId w15:val="{20004BF5-7AF7-4510-B544-7271A462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styleId="a8">
    <w:name w:val="Hyperlink"/>
    <w:basedOn w:val="a0"/>
    <w:uiPriority w:val="99"/>
    <w:unhideWhenUsed/>
    <w:rsid w:val="00330B8E"/>
    <w:rPr>
      <w:color w:val="0563C1" w:themeColor="hyperlink"/>
      <w:u w:val="single"/>
    </w:rPr>
  </w:style>
  <w:style w:type="paragraph" w:styleId="a9">
    <w:name w:val="List Paragraph"/>
    <w:basedOn w:val="a"/>
    <w:uiPriority w:val="99"/>
    <w:rsid w:val="009414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战子秋</dc:creator>
  <cp:lastModifiedBy>DAY</cp:lastModifiedBy>
  <cp:revision>2</cp:revision>
  <dcterms:created xsi:type="dcterms:W3CDTF">2022-06-20T10:44:00Z</dcterms:created>
  <dcterms:modified xsi:type="dcterms:W3CDTF">2022-06-20T10:44:00Z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DDB69BF0595A4947B49EC5601C8FF505</vt:lpwstr>
  </property>
</Properties>
</file>