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电子印章管理平台</w:t>
      </w:r>
      <w:r>
        <w:rPr>
          <w:rFonts w:hint="eastAsia" w:ascii="宋体" w:hAnsi="宋体"/>
          <w:b/>
          <w:sz w:val="44"/>
          <w:szCs w:val="44"/>
          <w:highlight w:val="none"/>
        </w:rPr>
        <w:t>采购</w:t>
      </w:r>
    </w:p>
    <w:p>
      <w:pPr>
        <w:jc w:val="center"/>
        <w:rPr>
          <w:b/>
          <w:sz w:val="44"/>
          <w:szCs w:val="44"/>
          <w:highlight w:val="none"/>
        </w:rPr>
      </w:pPr>
      <w:r>
        <w:rPr>
          <w:rFonts w:hint="eastAsia"/>
          <w:b/>
          <w:sz w:val="44"/>
          <w:szCs w:val="44"/>
          <w:highlight w:val="none"/>
        </w:rPr>
        <w:t>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lang w:eastAsia="zh-CN"/>
        </w:rPr>
        <w:t>：</w:t>
      </w:r>
      <w:r>
        <w:rPr>
          <w:rFonts w:hint="eastAsia" w:ascii="宋体" w:hAnsi="宋体" w:cs="仿宋"/>
          <w:sz w:val="28"/>
          <w:szCs w:val="28"/>
          <w:highlight w:val="none"/>
          <w:u w:val="single"/>
        </w:rPr>
        <w:t xml:space="preserve"> JZCG-2021-00136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ascii="宋体" w:hAnsi="宋体" w:cs="仿宋"/>
          <w:sz w:val="28"/>
          <w:szCs w:val="28"/>
          <w:highlight w:val="none"/>
          <w:u w:val="single"/>
        </w:rPr>
        <w:t>1</w:t>
      </w:r>
      <w:r>
        <w:rPr>
          <w:rFonts w:hint="eastAsia" w:ascii="宋体" w:hAnsi="宋体" w:cs="仿宋"/>
          <w:sz w:val="28"/>
          <w:szCs w:val="28"/>
          <w:highlight w:val="none"/>
          <w:u w:val="single"/>
        </w:rPr>
        <w:t>年</w:t>
      </w:r>
      <w:r>
        <w:rPr>
          <w:rFonts w:ascii="宋体" w:hAnsi="宋体" w:cs="仿宋"/>
          <w:sz w:val="28"/>
          <w:szCs w:val="28"/>
          <w:highlight w:val="none"/>
          <w:u w:val="single"/>
        </w:rPr>
        <w:t>1</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月</w:t>
      </w:r>
      <w:r>
        <w:rPr>
          <w:rFonts w:ascii="宋体" w:hAnsi="宋体" w:cs="仿宋"/>
          <w:sz w:val="28"/>
          <w:szCs w:val="28"/>
          <w:highlight w:val="none"/>
          <w:u w:val="single"/>
        </w:rPr>
        <w:t xml:space="preserve"> </w:t>
      </w:r>
      <w:r>
        <w:rPr>
          <w:rFonts w:hint="eastAsia" w:ascii="宋体" w:hAnsi="宋体" w:cs="仿宋"/>
          <w:sz w:val="28"/>
          <w:szCs w:val="28"/>
          <w:highlight w:val="none"/>
          <w:u w:val="single"/>
          <w:lang w:val="en-US" w:eastAsia="zh-CN"/>
        </w:rPr>
        <w:t>03</w:t>
      </w:r>
      <w:r>
        <w:rPr>
          <w:rFonts w:ascii="宋体" w:hAnsi="宋体" w:cs="仿宋"/>
          <w:sz w:val="28"/>
          <w:szCs w:val="28"/>
          <w:highlight w:val="none"/>
          <w:u w:val="single"/>
        </w:rPr>
        <w:t xml:space="preserve"> </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5</w:t>
      </w:r>
      <w:bookmarkStart w:id="30" w:name="_GoBack"/>
      <w:bookmarkEnd w:id="30"/>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科研工作需要，受校信息化建设与管理处委托，就</w:t>
      </w:r>
      <w:r>
        <w:rPr>
          <w:rFonts w:hint="eastAsia" w:ascii="宋体" w:hAnsi="宋体"/>
          <w:sz w:val="28"/>
          <w:szCs w:val="28"/>
          <w:highlight w:val="none"/>
        </w:rPr>
        <w:t>电子印章管理平台采购项目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40"/>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0"/>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kern w:val="2"/>
          <w:sz w:val="28"/>
          <w:szCs w:val="28"/>
          <w:highlight w:val="none"/>
        </w:rPr>
        <w:t>电子印章管理平台</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rStyle w:val="24"/>
          <w:b/>
          <w:color w:val="auto"/>
          <w:sz w:val="24"/>
          <w:highlight w:val="none"/>
        </w:rPr>
        <w:fldChar w:fldCharType="begin"/>
      </w:r>
      <w:r>
        <w:rPr>
          <w:rStyle w:val="24"/>
          <w:b/>
          <w:color w:val="auto"/>
          <w:sz w:val="24"/>
          <w:highlight w:val="none"/>
        </w:rPr>
        <w:instrText xml:space="preserve"> HYPERLINK "https://bulletin.nuist.edu.cn/779/list.htm" </w:instrText>
      </w:r>
      <w:r>
        <w:rPr>
          <w:rStyle w:val="24"/>
          <w:b/>
          <w:color w:val="auto"/>
          <w:sz w:val="24"/>
          <w:highlight w:val="none"/>
        </w:rPr>
        <w:fldChar w:fldCharType="separate"/>
      </w:r>
      <w:r>
        <w:rPr>
          <w:rStyle w:val="24"/>
          <w:b/>
          <w:color w:val="auto"/>
          <w:sz w:val="24"/>
          <w:highlight w:val="none"/>
        </w:rPr>
        <w:t>https://bulletin.nuist.edu.cn/779/lis</w:t>
      </w:r>
      <w:r>
        <w:rPr>
          <w:rStyle w:val="24"/>
          <w:color w:val="auto"/>
          <w:sz w:val="24"/>
          <w:highlight w:val="none"/>
        </w:rPr>
        <w:t>t.htm</w:t>
      </w:r>
      <w:r>
        <w:rPr>
          <w:rStyle w:val="24"/>
          <w:color w:val="auto"/>
          <w:sz w:val="24"/>
          <w:highlight w:val="none"/>
        </w:rPr>
        <w:fldChar w:fldCharType="end"/>
      </w:r>
      <w:r>
        <w:rPr>
          <w:rFonts w:hint="eastAsia" w:ascii="宋体" w:hAnsi="宋体"/>
          <w:sz w:val="28"/>
          <w:szCs w:val="28"/>
          <w:highlight w:val="none"/>
        </w:rPr>
        <w:t>和</w:t>
      </w:r>
      <w:r>
        <w:rPr>
          <w:rFonts w:ascii="宋体" w:hAnsi="宋体"/>
          <w:b/>
          <w:sz w:val="24"/>
          <w:szCs w:val="28"/>
          <w:highlight w:val="none"/>
          <w:u w:val="single"/>
        </w:rPr>
        <w:fldChar w:fldCharType="begin"/>
      </w:r>
      <w:r>
        <w:rPr>
          <w:rFonts w:ascii="宋体" w:hAnsi="宋体"/>
          <w:b/>
          <w:sz w:val="24"/>
          <w:szCs w:val="28"/>
          <w:highlight w:val="none"/>
          <w:u w:val="single"/>
        </w:rPr>
        <w:instrText xml:space="preserve"> HYPERLINK "http://zbc.nuist.edu.cn" </w:instrText>
      </w:r>
      <w:r>
        <w:rPr>
          <w:rFonts w:ascii="宋体" w:hAnsi="宋体"/>
          <w:b/>
          <w:sz w:val="24"/>
          <w:szCs w:val="28"/>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8"/>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8"/>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rPr>
          <w:highlight w:val="none"/>
        </w:rPr>
      </w:pPr>
      <w:r>
        <w:rPr>
          <w:rFonts w:hint="eastAsia" w:ascii="宋体" w:hAnsi="宋体" w:cs="宋体"/>
          <w:bCs/>
          <w:sz w:val="28"/>
          <w:szCs w:val="28"/>
          <w:highlight w:val="none"/>
        </w:rPr>
        <w:t>9.本项目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六、本项目预算价</w:t>
      </w:r>
      <w:r>
        <w:rPr>
          <w:rFonts w:hint="eastAsia" w:ascii="宋体" w:hAnsi="宋体" w:cs="宋体"/>
          <w:sz w:val="28"/>
          <w:szCs w:val="28"/>
        </w:rPr>
        <w:t>（最高限价）</w:t>
      </w:r>
      <w:r>
        <w:rPr>
          <w:rFonts w:hint="eastAsia" w:ascii="宋体" w:hAnsi="宋体" w:cs="宋体"/>
          <w:sz w:val="28"/>
          <w:szCs w:val="28"/>
          <w:highlight w:val="none"/>
        </w:rPr>
        <w:t>为 28万元，本项目只接受人民币报价。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sz w:val="28"/>
          <w:szCs w:val="28"/>
          <w:highlight w:val="none"/>
          <w:lang w:val="en-US" w:eastAsia="zh-CN"/>
        </w:rPr>
        <w:t>JZCG-2021-00136</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hint="eastAsia"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）履约保证金：合同签订前，供应商向采购人缴纳合同总价</w:t>
      </w:r>
      <w:r>
        <w:rPr>
          <w:rFonts w:ascii="宋体" w:hAnsi="宋体" w:cs="宋体"/>
          <w:sz w:val="28"/>
          <w:szCs w:val="28"/>
          <w:highlight w:val="none"/>
        </w:rPr>
        <w:t>5%</w:t>
      </w:r>
      <w:r>
        <w:rPr>
          <w:rFonts w:hint="eastAsia" w:ascii="宋体" w:hAnsi="宋体" w:cs="宋体"/>
          <w:sz w:val="28"/>
          <w:szCs w:val="28"/>
          <w:highlight w:val="none"/>
        </w:rPr>
        <w:t>的履约保证金，履约保证金的有效期至设备通过最终验收合格之日止，并自动转为质量保证金，未能按招标文件要求提供产品、服务及验收不合格的将扣除履约保证金。</w:t>
      </w:r>
      <w:r>
        <w:rPr>
          <w:rFonts w:hint="eastAsia" w:ascii="宋体" w:hAnsi="宋体" w:cs="宋体"/>
          <w:sz w:val="28"/>
          <w:szCs w:val="28"/>
        </w:rPr>
        <w:t>履约保证金交款账号同</w:t>
      </w:r>
      <w:r>
        <w:rPr>
          <w:rFonts w:ascii="宋体" w:hAnsi="宋体" w:cs="宋体"/>
          <w:sz w:val="28"/>
          <w:szCs w:val="28"/>
        </w:rPr>
        <w:t>300</w:t>
      </w:r>
      <w:r>
        <w:rPr>
          <w:rFonts w:hint="eastAsia" w:ascii="宋体" w:hAnsi="宋体" w:cs="宋体"/>
          <w:sz w:val="28"/>
          <w:szCs w:val="28"/>
        </w:rPr>
        <w:t>元资料</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w:t>
      </w:r>
    </w:p>
    <w:p>
      <w:pPr>
        <w:spacing w:line="360" w:lineRule="auto"/>
        <w:ind w:firstLine="560" w:firstLineChars="200"/>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）付款方式：合同须签三方合同，签署周期较长。</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项目初步验收后（验收内容包括:电子印章平台部署到位、调试完毕并达到试运行效果），凭招标人签字和盖章的初验报告，招标方合作银行（中国农业银行股份有限公司江北新区分行）根据其资金计划向丙方支付不超过合同总价的6</w:t>
      </w:r>
      <w:r>
        <w:rPr>
          <w:rFonts w:ascii="宋体" w:hAnsi="宋体" w:cs="宋体"/>
          <w:sz w:val="28"/>
          <w:szCs w:val="28"/>
          <w:highlight w:val="none"/>
        </w:rPr>
        <w:t>0%</w:t>
      </w:r>
      <w:r>
        <w:rPr>
          <w:rFonts w:hint="eastAsia" w:ascii="宋体" w:hAnsi="宋体" w:cs="宋体"/>
          <w:sz w:val="28"/>
          <w:szCs w:val="28"/>
          <w:highlight w:val="none"/>
        </w:rPr>
        <w:t>货款。</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项目终验合格后，凭招标人签字和盖章的验收报告，招标方合作银行（中国农业银行股份有限公司江北新区分行）根据其资金计划向丙方支付合同全部余款。</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质保期满后且经有关单位确认无质量问题后，无息退还质保金。具体以签订合同为准。</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具体付款时间均以招标方合作银行（中国农业银行股份有限公司江北新区分行）付款时间为准。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i w:val="0"/>
          <w:iCs w:val="0"/>
          <w:caps w:val="0"/>
          <w:color w:val="000000"/>
          <w:spacing w:val="0"/>
          <w:kern w:val="0"/>
          <w:sz w:val="28"/>
          <w:szCs w:val="28"/>
          <w:lang w:val="en-US" w:eastAsia="zh-CN" w:bidi="ar"/>
        </w:rPr>
        <w:t>JZCG-2021-00136</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hint="eastAsia"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pStyle w:val="2"/>
      </w:pP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11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10</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w:t>
      </w:r>
      <w:r>
        <w:rPr>
          <w:rFonts w:hint="eastAsia" w:ascii="宋体" w:hAnsi="宋体"/>
          <w:sz w:val="28"/>
          <w:szCs w:val="28"/>
          <w:highlight w:val="none"/>
          <w:lang w:val="en-US" w:eastAsia="zh-CN"/>
        </w:rPr>
        <w:t>1</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w:t>
      </w:r>
      <w:r>
        <w:rPr>
          <w:rFonts w:hint="eastAsia" w:ascii="宋体" w:hAnsi="宋体"/>
          <w:sz w:val="28"/>
          <w:szCs w:val="28"/>
          <w:highlight w:val="none"/>
          <w:lang w:val="en-US" w:eastAsia="zh-CN"/>
        </w:rPr>
        <w:t>23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w:t>
      </w:r>
      <w:r>
        <w:rPr>
          <w:rFonts w:hint="eastAsia" w:ascii="宋体" w:hAnsi="宋体"/>
          <w:sz w:val="28"/>
          <w:szCs w:val="28"/>
          <w:highlight w:val="none"/>
          <w:lang w:val="en-US" w:eastAsia="zh-CN"/>
        </w:rPr>
        <w:t>30（北京时间）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w:t>
      </w:r>
      <w:r>
        <w:rPr>
          <w:rFonts w:hint="eastAsia" w:ascii="宋体" w:hAnsi="宋体" w:cs="宋体"/>
          <w:kern w:val="0"/>
          <w:sz w:val="28"/>
          <w:szCs w:val="28"/>
          <w:highlight w:val="none"/>
          <w:lang w:val="en-US" w:eastAsia="zh-CN"/>
        </w:rPr>
        <w:t>罗老师、</w:t>
      </w:r>
      <w:r>
        <w:rPr>
          <w:rFonts w:hint="eastAsia" w:ascii="宋体" w:hAnsi="宋体" w:cs="宋体"/>
          <w:kern w:val="0"/>
          <w:sz w:val="28"/>
          <w:szCs w:val="28"/>
          <w:highlight w:val="none"/>
        </w:rPr>
        <w:t>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1</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w:t>
      </w:r>
      <w:r>
        <w:rPr>
          <w:rFonts w:hint="eastAsia" w:ascii="宋体" w:hAnsi="宋体"/>
          <w:sz w:val="28"/>
          <w:szCs w:val="28"/>
          <w:highlight w:val="none"/>
          <w:lang w:val="en-US" w:eastAsia="zh-CN"/>
        </w:rPr>
        <w:t>23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w:t>
      </w:r>
      <w:r>
        <w:rPr>
          <w:rFonts w:hint="eastAsia" w:ascii="宋体" w:hAnsi="宋体"/>
          <w:sz w:val="28"/>
          <w:szCs w:val="28"/>
          <w:highlight w:val="none"/>
          <w:lang w:val="en-US" w:eastAsia="zh-CN"/>
        </w:rPr>
        <w:t>3</w:t>
      </w:r>
      <w:r>
        <w:rPr>
          <w:rFonts w:hint="eastAsia" w:ascii="宋体" w:hAnsi="宋体"/>
          <w:sz w:val="28"/>
          <w:szCs w:val="28"/>
          <w:highlight w:val="none"/>
        </w:rPr>
        <w:t>0</w:t>
      </w:r>
      <w:r>
        <w:rPr>
          <w:rFonts w:hint="eastAsia" w:ascii="宋体" w:hAnsi="宋体"/>
          <w:sz w:val="28"/>
          <w:szCs w:val="28"/>
          <w:highlight w:val="none"/>
          <w:lang w:val="en-US" w:eastAsia="zh-CN"/>
        </w:rPr>
        <w:t>（北京时间）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hint="eastAsia"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cs="宋体"/>
          <w:kern w:val="0"/>
          <w:sz w:val="28"/>
          <w:szCs w:val="28"/>
          <w:highlight w:val="none"/>
          <w:lang w:val="en-US" w:eastAsia="zh-CN"/>
        </w:rPr>
        <w:t>罗老师、</w:t>
      </w:r>
      <w:r>
        <w:rPr>
          <w:rFonts w:hint="eastAsia" w:ascii="宋体" w:hAnsi="宋体"/>
          <w:sz w:val="28"/>
          <w:szCs w:val="28"/>
          <w:highlight w:val="none"/>
        </w:rPr>
        <w:t>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仿宋" w:hAnsi="仿宋" w:eastAsia="仿宋" w:cs="仿宋"/>
          <w:i w:val="0"/>
          <w:iCs w:val="0"/>
          <w:caps w:val="0"/>
          <w:color w:val="000000"/>
          <w:spacing w:val="0"/>
          <w:kern w:val="0"/>
          <w:sz w:val="28"/>
          <w:szCs w:val="28"/>
          <w:lang w:val="en-US" w:eastAsia="zh-CN" w:bidi="ar"/>
        </w:rPr>
        <w:t>18252080853</w:t>
      </w:r>
      <w:r>
        <w:rPr>
          <w:rFonts w:hint="eastAsia" w:ascii="宋体" w:hAnsi="宋体"/>
          <w:sz w:val="28"/>
          <w:szCs w:val="28"/>
          <w:highlight w:val="none"/>
        </w:rPr>
        <w:t>，联系人：</w:t>
      </w:r>
      <w:r>
        <w:rPr>
          <w:rFonts w:hint="eastAsia"/>
          <w:sz w:val="28"/>
          <w:szCs w:val="28"/>
          <w:highlight w:val="none"/>
          <w:lang w:val="en-US" w:eastAsia="zh-CN"/>
        </w:rPr>
        <w:t>朱</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jc w:val="right"/>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jc w:val="right"/>
        <w:rPr>
          <w:rStyle w:val="47"/>
          <w:rFonts w:ascii="宋体" w:hAnsi="Times New Roman" w:eastAsia="宋体"/>
          <w:sz w:val="28"/>
          <w:szCs w:val="28"/>
          <w:highlight w:val="none"/>
        </w:rPr>
      </w:pPr>
      <w:r>
        <w:rPr>
          <w:rStyle w:val="47"/>
          <w:rFonts w:ascii="宋体" w:hAnsi="宋体" w:eastAsia="宋体"/>
          <w:sz w:val="28"/>
          <w:szCs w:val="28"/>
          <w:highlight w:val="none"/>
        </w:rPr>
        <w:t>20</w:t>
      </w:r>
      <w:r>
        <w:rPr>
          <w:rStyle w:val="47"/>
          <w:rFonts w:hint="eastAsia" w:ascii="宋体" w:hAnsi="宋体" w:eastAsia="宋体"/>
          <w:sz w:val="28"/>
          <w:szCs w:val="28"/>
          <w:highlight w:val="none"/>
        </w:rPr>
        <w:t>2</w:t>
      </w:r>
      <w:r>
        <w:rPr>
          <w:rStyle w:val="47"/>
          <w:rFonts w:hint="eastAsia" w:ascii="宋体" w:hAnsi="宋体"/>
          <w:sz w:val="28"/>
          <w:szCs w:val="28"/>
          <w:highlight w:val="none"/>
          <w:lang w:val="en-US"/>
        </w:rPr>
        <w:t>1</w:t>
      </w:r>
      <w:r>
        <w:rPr>
          <w:rStyle w:val="47"/>
          <w:rFonts w:hint="eastAsia" w:ascii="宋体" w:hAnsi="宋体" w:eastAsia="宋体"/>
          <w:sz w:val="28"/>
          <w:szCs w:val="28"/>
          <w:highlight w:val="none"/>
        </w:rPr>
        <w:t>年</w:t>
      </w:r>
      <w:r>
        <w:rPr>
          <w:rStyle w:val="47"/>
          <w:rFonts w:hint="eastAsia" w:ascii="宋体" w:hAnsi="宋体"/>
          <w:sz w:val="28"/>
          <w:szCs w:val="28"/>
          <w:highlight w:val="none"/>
          <w:lang w:val="en-US"/>
        </w:rPr>
        <w:t>11</w:t>
      </w:r>
      <w:r>
        <w:rPr>
          <w:rStyle w:val="47"/>
          <w:rFonts w:hint="eastAsia" w:ascii="宋体" w:hAnsi="宋体" w:eastAsia="宋体"/>
          <w:sz w:val="28"/>
          <w:szCs w:val="28"/>
          <w:highlight w:val="none"/>
        </w:rPr>
        <w:t>月</w:t>
      </w:r>
      <w:r>
        <w:rPr>
          <w:rStyle w:val="47"/>
          <w:rFonts w:hint="eastAsia" w:ascii="宋体" w:hAnsi="宋体"/>
          <w:sz w:val="28"/>
          <w:szCs w:val="28"/>
          <w:highlight w:val="none"/>
        </w:rPr>
        <w:t>0</w:t>
      </w:r>
      <w:r>
        <w:rPr>
          <w:rStyle w:val="47"/>
          <w:rFonts w:hint="eastAsia" w:ascii="宋体" w:hAnsi="宋体"/>
          <w:sz w:val="28"/>
          <w:szCs w:val="28"/>
          <w:highlight w:val="none"/>
          <w:lang w:val="en-US"/>
        </w:rPr>
        <w:t>3</w:t>
      </w:r>
      <w:r>
        <w:rPr>
          <w:rStyle w:val="47"/>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7"/>
          <w:rFonts w:ascii="宋体" w:hAnsi="宋体" w:eastAsia="宋体"/>
          <w:b w:val="0"/>
          <w:sz w:val="28"/>
          <w:szCs w:val="28"/>
          <w:highlight w:val="none"/>
        </w:rPr>
      </w:pPr>
      <w:r>
        <w:rPr>
          <w:rStyle w:val="47"/>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主要技术要求及其他要求</w:t>
      </w:r>
    </w:p>
    <w:p>
      <w:pPr>
        <w:pStyle w:val="40"/>
        <w:numPr>
          <w:ilvl w:val="0"/>
          <w:numId w:val="1"/>
        </w:numPr>
        <w:tabs>
          <w:tab w:val="left" w:pos="720"/>
        </w:tabs>
        <w:snapToGrid w:val="0"/>
        <w:spacing w:line="360" w:lineRule="auto"/>
        <w:ind w:firstLineChars="0"/>
        <w:rPr>
          <w:rFonts w:ascii="宋体" w:hAnsi="宋体" w:cs="宋体"/>
          <w:b/>
          <w:sz w:val="21"/>
          <w:szCs w:val="21"/>
          <w:highlight w:val="none"/>
        </w:rPr>
      </w:pPr>
      <w:bookmarkStart w:id="10" w:name="_Toc30628"/>
      <w:bookmarkStart w:id="11" w:name="_Toc3477"/>
      <w:bookmarkStart w:id="12" w:name="_Toc17419"/>
      <w:bookmarkStart w:id="13" w:name="_Toc16200"/>
      <w:bookmarkStart w:id="14" w:name="_Toc3063"/>
      <w:bookmarkStart w:id="15" w:name="_Toc13906"/>
      <w:r>
        <w:rPr>
          <w:rFonts w:hint="eastAsia" w:ascii="宋体" w:hAnsi="宋体" w:cs="宋体"/>
          <w:b/>
          <w:sz w:val="21"/>
          <w:szCs w:val="21"/>
          <w:highlight w:val="none"/>
        </w:rPr>
        <w:t>项目概况</w:t>
      </w:r>
      <w:bookmarkEnd w:id="10"/>
      <w:bookmarkEnd w:id="11"/>
      <w:bookmarkEnd w:id="12"/>
      <w:bookmarkEnd w:id="13"/>
      <w:bookmarkEnd w:id="14"/>
      <w:bookmarkEnd w:id="15"/>
      <w:r>
        <w:rPr>
          <w:rFonts w:hint="eastAsia" w:ascii="宋体" w:hAnsi="宋体" w:cs="宋体"/>
          <w:b/>
          <w:sz w:val="21"/>
          <w:szCs w:val="21"/>
          <w:highlight w:val="none"/>
        </w:rPr>
        <w:t xml:space="preserve"> </w:t>
      </w:r>
    </w:p>
    <w:tbl>
      <w:tblPr>
        <w:tblStyle w:val="1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3295"/>
        <w:gridCol w:w="4218"/>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429" w:type="pct"/>
            <w:vAlign w:val="center"/>
          </w:tcPr>
          <w:p>
            <w:pPr>
              <w:tabs>
                <w:tab w:val="left" w:pos="4788"/>
              </w:tabs>
              <w:spacing w:line="460" w:lineRule="exact"/>
              <w:ind w:right="-107" w:rightChars="-51"/>
              <w:jc w:val="center"/>
              <w:rPr>
                <w:b/>
                <w:szCs w:val="21"/>
                <w:highlight w:val="none"/>
              </w:rPr>
            </w:pPr>
            <w:r>
              <w:rPr>
                <w:rFonts w:hint="eastAsia"/>
                <w:b/>
                <w:szCs w:val="21"/>
                <w:highlight w:val="none"/>
              </w:rPr>
              <w:t>序号</w:t>
            </w:r>
          </w:p>
        </w:tc>
        <w:tc>
          <w:tcPr>
            <w:tcW w:w="1583" w:type="pct"/>
            <w:vAlign w:val="center"/>
          </w:tcPr>
          <w:p>
            <w:pPr>
              <w:tabs>
                <w:tab w:val="left" w:pos="4788"/>
              </w:tabs>
              <w:spacing w:line="460" w:lineRule="exact"/>
              <w:ind w:right="-107" w:rightChars="-51"/>
              <w:jc w:val="center"/>
              <w:rPr>
                <w:b/>
                <w:szCs w:val="21"/>
                <w:highlight w:val="none"/>
              </w:rPr>
            </w:pPr>
            <w:r>
              <w:rPr>
                <w:rFonts w:hint="eastAsia"/>
                <w:b/>
                <w:szCs w:val="21"/>
                <w:highlight w:val="none"/>
              </w:rPr>
              <w:t>项目名称</w:t>
            </w:r>
          </w:p>
        </w:tc>
        <w:tc>
          <w:tcPr>
            <w:tcW w:w="2026" w:type="pct"/>
            <w:vAlign w:val="center"/>
          </w:tcPr>
          <w:p>
            <w:pPr>
              <w:tabs>
                <w:tab w:val="left" w:pos="4788"/>
              </w:tabs>
              <w:spacing w:line="460" w:lineRule="exact"/>
              <w:jc w:val="center"/>
              <w:rPr>
                <w:b/>
                <w:szCs w:val="21"/>
                <w:highlight w:val="none"/>
              </w:rPr>
            </w:pPr>
            <w:r>
              <w:rPr>
                <w:rFonts w:ascii="Segoe UI Symbol" w:hAnsi="Segoe UI Symbol" w:cs="Segoe UI Symbol"/>
                <w:b/>
                <w:highlight w:val="none"/>
                <w:lang w:bidi="ar"/>
              </w:rPr>
              <w:t>★</w:t>
            </w:r>
            <w:r>
              <w:rPr>
                <w:rFonts w:hint="eastAsia"/>
                <w:b/>
                <w:szCs w:val="21"/>
                <w:highlight w:val="none"/>
              </w:rPr>
              <w:t>合同履行日期</w:t>
            </w:r>
          </w:p>
          <w:p>
            <w:pPr>
              <w:tabs>
                <w:tab w:val="left" w:pos="4788"/>
              </w:tabs>
              <w:spacing w:line="460" w:lineRule="exact"/>
              <w:jc w:val="center"/>
              <w:rPr>
                <w:b/>
                <w:szCs w:val="21"/>
                <w:highlight w:val="none"/>
              </w:rPr>
            </w:pPr>
            <w:r>
              <w:rPr>
                <w:rFonts w:hint="eastAsia"/>
                <w:b/>
                <w:szCs w:val="21"/>
                <w:highlight w:val="none"/>
              </w:rPr>
              <w:t>（交付时间）</w:t>
            </w:r>
          </w:p>
        </w:tc>
        <w:tc>
          <w:tcPr>
            <w:tcW w:w="962" w:type="pct"/>
            <w:vAlign w:val="center"/>
          </w:tcPr>
          <w:p>
            <w:pPr>
              <w:tabs>
                <w:tab w:val="left" w:pos="4788"/>
              </w:tabs>
              <w:spacing w:line="460" w:lineRule="exact"/>
              <w:jc w:val="center"/>
              <w:rPr>
                <w:b/>
                <w:szCs w:val="21"/>
                <w:highlight w:val="none"/>
              </w:rPr>
            </w:pPr>
            <w:r>
              <w:rPr>
                <w:rFonts w:hint="eastAsia"/>
                <w:b/>
                <w:szCs w:val="21"/>
                <w:highlight w:val="none"/>
              </w:rPr>
              <w:t>项目预算金额</w:t>
            </w:r>
          </w:p>
          <w:p>
            <w:pPr>
              <w:tabs>
                <w:tab w:val="left" w:pos="4788"/>
              </w:tabs>
              <w:spacing w:line="460" w:lineRule="exact"/>
              <w:jc w:val="center"/>
              <w:rPr>
                <w:b/>
                <w:szCs w:val="21"/>
                <w:highlight w:val="none"/>
              </w:rPr>
            </w:pPr>
            <w:r>
              <w:rPr>
                <w:rFonts w:hint="eastAsia"/>
                <w:b/>
                <w:szCs w:val="21"/>
                <w:highlight w:val="none"/>
              </w:rPr>
              <w:t>（万元</w:t>
            </w:r>
            <w:r>
              <w:rPr>
                <w:b/>
                <w:szCs w:val="21"/>
                <w:highlight w:val="none"/>
              </w:rPr>
              <w:t>/</w:t>
            </w:r>
            <w:r>
              <w:rPr>
                <w:rFonts w:hint="eastAsia"/>
                <w:b/>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429" w:type="pct"/>
            <w:vAlign w:val="center"/>
          </w:tcPr>
          <w:p>
            <w:pPr>
              <w:jc w:val="center"/>
              <w:rPr>
                <w:szCs w:val="22"/>
                <w:highlight w:val="none"/>
              </w:rPr>
            </w:pPr>
            <w:r>
              <w:rPr>
                <w:szCs w:val="22"/>
                <w:highlight w:val="none"/>
              </w:rPr>
              <w:t>1</w:t>
            </w:r>
          </w:p>
        </w:tc>
        <w:tc>
          <w:tcPr>
            <w:tcW w:w="1583" w:type="pct"/>
            <w:vAlign w:val="center"/>
          </w:tcPr>
          <w:p>
            <w:pPr>
              <w:tabs>
                <w:tab w:val="left" w:pos="4788"/>
              </w:tabs>
              <w:spacing w:line="460" w:lineRule="exact"/>
              <w:ind w:right="-107" w:rightChars="-51"/>
              <w:jc w:val="center"/>
              <w:rPr>
                <w:szCs w:val="21"/>
                <w:highlight w:val="none"/>
              </w:rPr>
            </w:pPr>
            <w:r>
              <w:rPr>
                <w:rFonts w:hint="eastAsia"/>
                <w:szCs w:val="21"/>
                <w:highlight w:val="none"/>
              </w:rPr>
              <w:t>电子印章管理平台</w:t>
            </w:r>
          </w:p>
        </w:tc>
        <w:tc>
          <w:tcPr>
            <w:tcW w:w="2026" w:type="pct"/>
            <w:vAlign w:val="center"/>
          </w:tcPr>
          <w:p>
            <w:pPr>
              <w:tabs>
                <w:tab w:val="left" w:pos="4788"/>
              </w:tabs>
              <w:spacing w:line="460" w:lineRule="exact"/>
              <w:jc w:val="center"/>
              <w:rPr>
                <w:szCs w:val="21"/>
                <w:highlight w:val="none"/>
              </w:rPr>
            </w:pPr>
            <w:r>
              <w:rPr>
                <w:rFonts w:hint="eastAsia"/>
                <w:szCs w:val="21"/>
                <w:highlight w:val="none"/>
              </w:rPr>
              <w:t>签订合同后</w:t>
            </w:r>
            <w:r>
              <w:rPr>
                <w:szCs w:val="21"/>
                <w:highlight w:val="none"/>
              </w:rPr>
              <w:t>2</w:t>
            </w:r>
            <w:r>
              <w:rPr>
                <w:rFonts w:hint="eastAsia"/>
                <w:szCs w:val="21"/>
                <w:highlight w:val="none"/>
              </w:rPr>
              <w:t>个月内完成项目建设工作</w:t>
            </w:r>
          </w:p>
        </w:tc>
        <w:tc>
          <w:tcPr>
            <w:tcW w:w="962" w:type="pct"/>
            <w:vAlign w:val="center"/>
          </w:tcPr>
          <w:p>
            <w:pPr>
              <w:jc w:val="center"/>
              <w:rPr>
                <w:rFonts w:eastAsia="等线"/>
                <w:sz w:val="22"/>
                <w:szCs w:val="22"/>
                <w:highlight w:val="none"/>
              </w:rPr>
            </w:pPr>
            <w:r>
              <w:rPr>
                <w:rFonts w:eastAsia="等线"/>
                <w:sz w:val="22"/>
                <w:szCs w:val="22"/>
                <w:highlight w:val="none"/>
              </w:rPr>
              <w:t>28.00</w:t>
            </w:r>
          </w:p>
        </w:tc>
      </w:tr>
    </w:tbl>
    <w:p>
      <w:pPr>
        <w:rPr>
          <w:highlight w:val="none"/>
        </w:rPr>
      </w:pPr>
    </w:p>
    <w:p>
      <w:pPr>
        <w:spacing w:line="360" w:lineRule="auto"/>
        <w:ind w:left="219" w:hanging="219" w:hangingChars="104"/>
        <w:rPr>
          <w:rFonts w:ascii="宋体" w:hAnsi="宋体" w:cs="宋体"/>
          <w:szCs w:val="21"/>
          <w:highlight w:val="none"/>
        </w:rPr>
      </w:pPr>
      <w:r>
        <w:rPr>
          <w:rFonts w:hint="eastAsia" w:ascii="宋体" w:hAnsi="宋体" w:cs="宋体"/>
          <w:b/>
          <w:bCs/>
          <w:szCs w:val="21"/>
          <w:highlight w:val="none"/>
        </w:rPr>
        <w:t>注：</w:t>
      </w:r>
      <w:r>
        <w:rPr>
          <w:rFonts w:hint="eastAsia" w:ascii="宋体" w:hAnsi="宋体" w:cs="宋体"/>
          <w:b/>
          <w:kern w:val="0"/>
          <w:szCs w:val="21"/>
          <w:highlight w:val="none"/>
        </w:rPr>
        <w:t>供应商所投报价不得超过预算金额，否则将导致无效投标。投标报价包含软硬件购买、授权、部署、培训、资料等各种费用。</w:t>
      </w:r>
    </w:p>
    <w:p>
      <w:pPr>
        <w:numPr>
          <w:ilvl w:val="0"/>
          <w:numId w:val="2"/>
        </w:numPr>
        <w:spacing w:line="360" w:lineRule="auto"/>
        <w:outlineLvl w:val="0"/>
        <w:rPr>
          <w:rFonts w:ascii="宋体" w:hAnsi="宋体" w:cs="宋体"/>
          <w:b/>
          <w:bCs/>
          <w:szCs w:val="21"/>
          <w:highlight w:val="none"/>
        </w:rPr>
      </w:pPr>
      <w:r>
        <w:rPr>
          <w:rFonts w:hint="eastAsia" w:ascii="宋体" w:hAnsi="宋体" w:cs="宋体"/>
          <w:b/>
          <w:bCs/>
          <w:szCs w:val="21"/>
          <w:highlight w:val="none"/>
        </w:rPr>
        <w:t>总体要求</w:t>
      </w:r>
    </w:p>
    <w:p>
      <w:pPr>
        <w:spacing w:line="360" w:lineRule="auto"/>
        <w:rPr>
          <w:b/>
          <w:bCs/>
          <w:szCs w:val="21"/>
          <w:highlight w:val="none"/>
        </w:rPr>
      </w:pPr>
      <w:r>
        <w:rPr>
          <w:b/>
          <w:bCs/>
          <w:szCs w:val="21"/>
          <w:highlight w:val="none"/>
        </w:rPr>
        <w:t>2.1</w:t>
      </w:r>
      <w:r>
        <w:rPr>
          <w:rFonts w:hint="eastAsia"/>
          <w:b/>
          <w:bCs/>
          <w:szCs w:val="21"/>
          <w:highlight w:val="none"/>
        </w:rPr>
        <w:t>项目背景</w:t>
      </w:r>
    </w:p>
    <w:p>
      <w:pPr>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目前我校在印章使用上面临如下问题：</w:t>
      </w:r>
    </w:p>
    <w:p>
      <w:pPr>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1、效率问题：分校、学院层级多，用章麻烦；入学、毕业用章爆发人工负荷大材料盖章需求激增；</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证明类文件无法线上办理。</w:t>
      </w:r>
    </w:p>
    <w:p>
      <w:pPr>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2、成本问题：数万名师生每年用章成本很大；每年因为盖章产生的纸张、人工、快递、打印成本很难轻量化。</w:t>
      </w:r>
    </w:p>
    <w:p>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、有效性问题：以前有很多文件由于时间、效率原因，未经过盖章直接打印出来；签字和盖章的有效性很难保证、具有伪造的风险</w:t>
      </w:r>
    </w:p>
    <w:p>
      <w:pPr>
        <w:ind w:firstLine="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、身份难核验问题：信息存在泄露风险如果管理中真的出现了问题，具体责任也难界定。</w:t>
      </w:r>
    </w:p>
    <w:p>
      <w:pPr>
        <w:ind w:firstLine="420"/>
        <w:rPr>
          <w:highlight w:val="none"/>
        </w:rPr>
      </w:pPr>
      <w:r>
        <w:rPr>
          <w:rFonts w:hint="eastAsia"/>
          <w:highlight w:val="none"/>
        </w:rPr>
        <w:t>为了数字化校园转型，完善学校信息化的建设，减少师生跑路，提高办公的效率，在审核盖章的环节可为师生提供更多优质的数字化服务，需向全校师生用户提供可信的、安全的电子签章服务。</w:t>
      </w:r>
    </w:p>
    <w:p>
      <w:pPr>
        <w:spacing w:line="360" w:lineRule="auto"/>
        <w:rPr>
          <w:b/>
          <w:bCs/>
          <w:szCs w:val="21"/>
          <w:highlight w:val="none"/>
        </w:rPr>
      </w:pPr>
      <w:r>
        <w:rPr>
          <w:b/>
          <w:bCs/>
          <w:szCs w:val="21"/>
          <w:highlight w:val="none"/>
        </w:rPr>
        <w:t>2.2</w:t>
      </w:r>
      <w:r>
        <w:rPr>
          <w:rFonts w:hint="eastAsia"/>
          <w:b/>
          <w:bCs/>
          <w:szCs w:val="21"/>
          <w:highlight w:val="none"/>
        </w:rPr>
        <w:t>技术要求</w:t>
      </w:r>
    </w:p>
    <w:p>
      <w:pPr>
        <w:spacing w:line="360" w:lineRule="auto"/>
        <w:rPr>
          <w:b/>
          <w:bCs/>
          <w:szCs w:val="21"/>
          <w:highlight w:val="none"/>
          <w:lang w:eastAsia="zh-Hans"/>
        </w:rPr>
      </w:pPr>
      <w:r>
        <w:rPr>
          <w:b/>
          <w:bCs/>
          <w:szCs w:val="21"/>
          <w:highlight w:val="none"/>
        </w:rPr>
        <w:t>2.2.1</w:t>
      </w:r>
      <w:r>
        <w:rPr>
          <w:rFonts w:hint="eastAsia"/>
          <w:b/>
          <w:bCs/>
          <w:szCs w:val="21"/>
          <w:highlight w:val="none"/>
          <w:lang w:eastAsia="zh-Hans"/>
        </w:rPr>
        <w:t>基本要求</w:t>
      </w:r>
    </w:p>
    <w:p>
      <w:pPr>
        <w:pStyle w:val="40"/>
        <w:numPr>
          <w:ilvl w:val="0"/>
          <w:numId w:val="3"/>
        </w:numPr>
        <w:adjustRightInd w:val="0"/>
        <w:spacing w:after="156" w:afterLines="50"/>
        <w:ind w:firstLineChars="0"/>
        <w:textAlignment w:val="baseline"/>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实用性：以目前需求为基础，充分考虑发展的需要来确定系统规模；</w:t>
      </w:r>
    </w:p>
    <w:p>
      <w:pPr>
        <w:adjustRightInd w:val="0"/>
        <w:spacing w:after="156" w:afterLines="50"/>
        <w:ind w:left="420"/>
        <w:textAlignment w:val="baseline"/>
        <w:rPr>
          <w:highlight w:val="none"/>
        </w:rPr>
      </w:pPr>
      <w:r>
        <w:rPr>
          <w:rFonts w:hint="eastAsia"/>
          <w:highlight w:val="none"/>
        </w:rPr>
        <w:t>2、个性化：能够提供个性化的服务，针对不同的用户能自行设计不同的操作界面、操作内容及操作流程，以方便于用户的使用；</w:t>
      </w:r>
    </w:p>
    <w:p>
      <w:pPr>
        <w:adjustRightInd w:val="0"/>
        <w:spacing w:after="156" w:afterLines="50"/>
        <w:ind w:left="420"/>
        <w:textAlignment w:val="baseline"/>
        <w:rPr>
          <w:highlight w:val="none"/>
        </w:rPr>
      </w:pPr>
      <w:r>
        <w:rPr>
          <w:rFonts w:hint="eastAsia"/>
          <w:highlight w:val="none"/>
        </w:rPr>
        <w:t>3、响应能力：实现通过负载均衡以及业务层缓存数据能力，提高对客户端的响应速度，具有对大量并发用户数据请求的高速处理能力；</w:t>
      </w:r>
    </w:p>
    <w:p>
      <w:pPr>
        <w:adjustRightInd w:val="0"/>
        <w:spacing w:after="156" w:afterLines="50"/>
        <w:ind w:left="420"/>
        <w:textAlignment w:val="baseline"/>
        <w:rPr>
          <w:rFonts w:ascii="微软雅黑" w:hAnsi="微软雅黑" w:eastAsia="微软雅黑" w:cs="微软雅黑"/>
          <w:sz w:val="18"/>
          <w:szCs w:val="18"/>
          <w:highlight w:val="none"/>
        </w:rPr>
      </w:pPr>
      <w:r>
        <w:rPr>
          <w:highlight w:val="none"/>
        </w:rPr>
        <w:t>4</w:t>
      </w:r>
      <w:r>
        <w:rPr>
          <w:rFonts w:hint="eastAsia"/>
          <w:highlight w:val="none"/>
        </w:rPr>
        <w:t>、安全性：本系统对安全级别要求较高，系统应能提供网络层的安全手段，具有有效防止系统外部成员的非法侵入以及操作人员的越级操作的安全机制，从而保护网络建设者的合法利益。可实现身份认证锁、可以与WINDOWS AD、CA集成使用等；</w:t>
      </w:r>
    </w:p>
    <w:p>
      <w:pPr>
        <w:adjustRightInd w:val="0"/>
        <w:spacing w:after="156" w:afterLines="50"/>
        <w:ind w:left="420"/>
        <w:textAlignment w:val="baseline"/>
        <w:rPr>
          <w:highlight w:val="none"/>
        </w:rPr>
      </w:pPr>
      <w:r>
        <w:rPr>
          <w:rFonts w:hint="eastAsia"/>
          <w:highlight w:val="none"/>
        </w:rPr>
        <w:t>5、易用性：确保具有不同计算机应用水平工作人员均能快速掌握和操作本系统，要求系统具有界面友好、直观、简洁、操作简单的人性化设计；</w:t>
      </w:r>
    </w:p>
    <w:p>
      <w:pPr>
        <w:adjustRightInd w:val="0"/>
        <w:spacing w:after="156" w:afterLines="50"/>
        <w:ind w:left="420"/>
        <w:textAlignment w:val="baseline"/>
        <w:rPr>
          <w:highlight w:val="none"/>
        </w:rPr>
      </w:pPr>
      <w:r>
        <w:rPr>
          <w:rFonts w:hint="eastAsia"/>
          <w:highlight w:val="none"/>
        </w:rPr>
        <w:t>6管理性：系统和所需硬件设备应易于管理和维护，易学、易用、系统配置操作简单，在设备运行状态、系统安全性、数据流量、系统运行性能等方面得到很好的监视和控制，并能进行远程管理和故障诊断；</w:t>
      </w:r>
    </w:p>
    <w:p>
      <w:pPr>
        <w:spacing w:line="360" w:lineRule="auto"/>
        <w:rPr>
          <w:b/>
          <w:bCs/>
          <w:szCs w:val="21"/>
          <w:highlight w:val="none"/>
          <w:lang w:eastAsia="zh-Hans"/>
        </w:rPr>
      </w:pPr>
      <w:r>
        <w:rPr>
          <w:b/>
          <w:bCs/>
          <w:szCs w:val="21"/>
          <w:highlight w:val="none"/>
        </w:rPr>
        <w:t>2.2.2</w:t>
      </w:r>
      <w:r>
        <w:rPr>
          <w:rFonts w:hint="eastAsia"/>
          <w:b/>
          <w:bCs/>
          <w:szCs w:val="21"/>
          <w:highlight w:val="none"/>
          <w:lang w:eastAsia="zh-Hans"/>
        </w:rPr>
        <w:t>应用架构要求</w:t>
      </w:r>
    </w:p>
    <w:p>
      <w:pPr>
        <w:spacing w:line="360" w:lineRule="auto"/>
        <w:ind w:firstLine="420" w:firstLineChars="200"/>
        <w:rPr>
          <w:szCs w:val="21"/>
          <w:highlight w:val="none"/>
          <w:lang w:val="zh-CN"/>
        </w:rPr>
      </w:pPr>
      <w:r>
        <w:rPr>
          <w:szCs w:val="21"/>
          <w:highlight w:val="none"/>
          <w:lang w:val="zh-CN"/>
        </w:rPr>
        <w:t>1</w:t>
      </w:r>
      <w:r>
        <w:rPr>
          <w:rFonts w:hint="eastAsia"/>
          <w:szCs w:val="21"/>
          <w:highlight w:val="none"/>
          <w:lang w:val="zh-CN"/>
        </w:rPr>
        <w:t>、需实现运行内核与管控台分离。系统的功能由运行内核支撑，而系统的管理界面由管控台支撑，系统核心功能和系统管理界面应当位于两个不同的进程中。系统管理界面停用，不影响系统核心功能。</w:t>
      </w:r>
    </w:p>
    <w:p>
      <w:pPr>
        <w:spacing w:line="360" w:lineRule="auto"/>
        <w:ind w:firstLine="420" w:firstLineChars="200"/>
        <w:rPr>
          <w:szCs w:val="21"/>
          <w:highlight w:val="none"/>
          <w:lang w:val="zh-CN"/>
        </w:rPr>
      </w:pPr>
      <w:r>
        <w:rPr>
          <w:szCs w:val="21"/>
          <w:highlight w:val="none"/>
          <w:lang w:val="zh-CN"/>
        </w:rPr>
        <w:t>2</w:t>
      </w:r>
      <w:r>
        <w:rPr>
          <w:rFonts w:hint="eastAsia"/>
          <w:szCs w:val="21"/>
          <w:highlight w:val="none"/>
          <w:lang w:val="zh-CN"/>
        </w:rPr>
        <w:t>、系统架构应充分考虑可升级性，招标方特有的定制性需求不可影响系统的升级。在服务</w:t>
      </w:r>
      <w:r>
        <w:rPr>
          <w:rFonts w:hint="eastAsia"/>
          <w:szCs w:val="21"/>
          <w:highlight w:val="none"/>
        </w:rPr>
        <w:t>期</w:t>
      </w:r>
      <w:r>
        <w:rPr>
          <w:rFonts w:hint="eastAsia"/>
          <w:szCs w:val="21"/>
          <w:highlight w:val="none"/>
          <w:lang w:val="zh-CN"/>
        </w:rPr>
        <w:t>内，中标方应提供必要的系统升级以解决可能出现的安全性、稳定性问题以及功能</w:t>
      </w:r>
      <w:r>
        <w:rPr>
          <w:szCs w:val="21"/>
          <w:highlight w:val="none"/>
          <w:lang w:val="zh-CN"/>
        </w:rPr>
        <w:t>Bug</w:t>
      </w:r>
      <w:r>
        <w:rPr>
          <w:rFonts w:hint="eastAsia"/>
          <w:szCs w:val="21"/>
          <w:highlight w:val="none"/>
          <w:lang w:val="zh-CN"/>
        </w:rPr>
        <w:t>修复。</w:t>
      </w:r>
    </w:p>
    <w:p>
      <w:pPr>
        <w:spacing w:line="360" w:lineRule="auto"/>
        <w:ind w:firstLine="420" w:firstLineChars="200"/>
        <w:rPr>
          <w:szCs w:val="21"/>
          <w:highlight w:val="none"/>
          <w:lang w:val="zh-CN"/>
        </w:rPr>
      </w:pPr>
      <w:r>
        <w:rPr>
          <w:szCs w:val="21"/>
          <w:highlight w:val="none"/>
          <w:lang w:val="zh-CN"/>
        </w:rPr>
        <w:t>3</w:t>
      </w:r>
      <w:r>
        <w:rPr>
          <w:rFonts w:hint="eastAsia"/>
          <w:szCs w:val="21"/>
          <w:highlight w:val="none"/>
          <w:lang w:val="zh-CN"/>
        </w:rPr>
        <w:t>、</w:t>
      </w:r>
      <w:r>
        <w:rPr>
          <w:rFonts w:hint="eastAsia"/>
          <w:highlight w:val="none"/>
        </w:rPr>
        <w:t>遵循通用的国际或行业标准，开放的系统平台设计需具有良好的扩展性，允许扩充新的功能模块，能够方便集成不同系统的数据至本系统中，以适应未来发展；</w:t>
      </w:r>
    </w:p>
    <w:p>
      <w:pPr>
        <w:spacing w:line="360" w:lineRule="auto"/>
        <w:ind w:firstLine="420" w:firstLineChars="200"/>
        <w:rPr>
          <w:szCs w:val="21"/>
          <w:highlight w:val="none"/>
          <w:lang w:val="zh-CN"/>
        </w:rPr>
      </w:pPr>
      <w:r>
        <w:rPr>
          <w:rFonts w:hint="eastAsia"/>
          <w:szCs w:val="21"/>
          <w:highlight w:val="none"/>
          <w:lang w:val="zh-CN"/>
        </w:rPr>
        <w:t>4、系统设计能有效的避免单点失败。在设备的选择和关键设备的互联时，应提供充分的冗余备份，一方面最大限度地减少故障的可能性，另一方面要保证网络能在最短时间内恢复使用；</w:t>
      </w:r>
    </w:p>
    <w:p>
      <w:pPr>
        <w:spacing w:line="360" w:lineRule="auto"/>
        <w:ind w:firstLine="420" w:firstLineChars="200"/>
        <w:rPr>
          <w:szCs w:val="21"/>
          <w:highlight w:val="none"/>
          <w:lang w:val="zh-CN"/>
        </w:rPr>
      </w:pPr>
      <w:r>
        <w:rPr>
          <w:rFonts w:hint="eastAsia"/>
          <w:szCs w:val="21"/>
          <w:highlight w:val="none"/>
          <w:lang w:val="zh-CN"/>
        </w:rPr>
        <w:t>5、软件可执行代码和源程序即本项目设计与开发（含二次开发）所形成的源代码要求具有良好的编程风格；</w:t>
      </w:r>
    </w:p>
    <w:p>
      <w:pPr>
        <w:spacing w:line="360" w:lineRule="auto"/>
        <w:rPr>
          <w:b/>
          <w:bCs/>
          <w:szCs w:val="21"/>
          <w:highlight w:val="none"/>
          <w:lang w:eastAsia="zh-Hans"/>
        </w:rPr>
      </w:pPr>
      <w:r>
        <w:rPr>
          <w:b/>
          <w:bCs/>
          <w:szCs w:val="21"/>
          <w:highlight w:val="none"/>
        </w:rPr>
        <w:t>2.2.3</w:t>
      </w:r>
      <w:r>
        <w:rPr>
          <w:rFonts w:hint="eastAsia"/>
          <w:b/>
          <w:bCs/>
          <w:szCs w:val="21"/>
          <w:highlight w:val="none"/>
        </w:rPr>
        <w:t>性能</w:t>
      </w:r>
      <w:r>
        <w:rPr>
          <w:rFonts w:hint="eastAsia"/>
          <w:b/>
          <w:bCs/>
          <w:szCs w:val="21"/>
          <w:highlight w:val="none"/>
          <w:lang w:eastAsia="zh-Hans"/>
        </w:rPr>
        <w:t>要求</w:t>
      </w:r>
    </w:p>
    <w:p>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ind w:firstLine="420" w:firstLineChars="200"/>
        <w:jc w:val="left"/>
        <w:rPr>
          <w:rFonts w:ascii="宋体" w:hAnsi="宋体"/>
          <w:kern w:val="0"/>
          <w:szCs w:val="21"/>
          <w:highlight w:val="none"/>
        </w:rPr>
      </w:pPr>
      <w:r>
        <w:rPr>
          <w:rFonts w:hint="eastAsia" w:ascii="宋体" w:hAnsi="宋体"/>
          <w:kern w:val="0"/>
          <w:szCs w:val="21"/>
          <w:highlight w:val="none"/>
        </w:rPr>
        <w:t>1、系统需具备集群工作模式，能实现多机热备，必须实现负载均衡，实现动态监测负载状况，自动对可用资源进行并发检测，调整和分配等功能；</w:t>
      </w:r>
    </w:p>
    <w:p>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ind w:firstLine="420" w:firstLineChars="200"/>
        <w:jc w:val="left"/>
        <w:rPr>
          <w:rFonts w:ascii="宋体" w:hAnsi="宋体"/>
          <w:kern w:val="0"/>
          <w:szCs w:val="21"/>
          <w:highlight w:val="none"/>
        </w:rPr>
      </w:pPr>
      <w:r>
        <w:rPr>
          <w:rFonts w:hint="eastAsia" w:ascii="宋体" w:hAnsi="宋体"/>
          <w:kern w:val="0"/>
          <w:szCs w:val="21"/>
          <w:highlight w:val="none"/>
        </w:rPr>
        <w:t>2、系统需具备一定的容错性，在运行环境出现故障时仍能提供稳定、持续的服务；</w:t>
      </w:r>
    </w:p>
    <w:p>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ind w:firstLine="420" w:firstLineChars="200"/>
        <w:jc w:val="left"/>
        <w:rPr>
          <w:rFonts w:ascii="宋体" w:hAnsi="宋体"/>
          <w:kern w:val="0"/>
          <w:szCs w:val="21"/>
          <w:highlight w:val="none"/>
        </w:rPr>
      </w:pPr>
      <w:r>
        <w:rPr>
          <w:rFonts w:hint="eastAsia" w:ascii="宋体" w:hAnsi="宋体"/>
          <w:kern w:val="0"/>
          <w:szCs w:val="21"/>
          <w:highlight w:val="none"/>
        </w:rPr>
        <w:t xml:space="preserve">3、系统需具备在大规模用户同时在线访问的情况下仍能提供高速运行的能力； </w:t>
      </w:r>
    </w:p>
    <w:p>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0" w:lineRule="exact"/>
        <w:ind w:firstLine="420" w:firstLineChars="200"/>
        <w:jc w:val="left"/>
        <w:rPr>
          <w:rFonts w:ascii="宋体" w:hAnsi="宋体"/>
          <w:kern w:val="0"/>
          <w:szCs w:val="21"/>
          <w:highlight w:val="none"/>
        </w:rPr>
      </w:pPr>
      <w:r>
        <w:rPr>
          <w:rFonts w:hint="eastAsia" w:ascii="宋体" w:hAnsi="宋体"/>
          <w:kern w:val="0"/>
          <w:szCs w:val="21"/>
          <w:highlight w:val="none"/>
        </w:rPr>
        <w:t>4、系统需采用主流的、成熟的商用中间件产品。</w:t>
      </w:r>
    </w:p>
    <w:p>
      <w:pPr>
        <w:spacing w:line="360" w:lineRule="auto"/>
        <w:rPr>
          <w:b/>
          <w:bCs/>
          <w:szCs w:val="21"/>
          <w:highlight w:val="none"/>
        </w:rPr>
      </w:pPr>
      <w:r>
        <w:rPr>
          <w:b/>
          <w:bCs/>
          <w:szCs w:val="21"/>
          <w:highlight w:val="none"/>
        </w:rPr>
        <w:t>2.3</w:t>
      </w:r>
      <w:r>
        <w:rPr>
          <w:rFonts w:hint="eastAsia"/>
          <w:b/>
          <w:bCs/>
          <w:szCs w:val="21"/>
          <w:highlight w:val="none"/>
        </w:rPr>
        <w:t>安全要求</w:t>
      </w:r>
    </w:p>
    <w:p>
      <w:pPr>
        <w:pStyle w:val="40"/>
        <w:spacing w:line="360" w:lineRule="auto"/>
        <w:rPr>
          <w:kern w:val="2"/>
          <w:sz w:val="21"/>
          <w:szCs w:val="21"/>
          <w:highlight w:val="none"/>
          <w:lang w:val="zh-CN"/>
        </w:rPr>
      </w:pPr>
      <w:r>
        <w:rPr>
          <w:kern w:val="2"/>
          <w:sz w:val="21"/>
          <w:szCs w:val="21"/>
          <w:highlight w:val="none"/>
          <w:lang w:val="zh-CN"/>
        </w:rPr>
        <w:t>1</w:t>
      </w:r>
      <w:r>
        <w:rPr>
          <w:rFonts w:hint="eastAsia"/>
          <w:kern w:val="2"/>
          <w:sz w:val="21"/>
          <w:szCs w:val="21"/>
          <w:highlight w:val="none"/>
          <w:lang w:val="zh-CN"/>
        </w:rPr>
        <w:t>、认证授权：保证用户的合法性和用户使用信息资源的权力，避免内部敏感信息泄漏和服务所提供的信息资源被非法访问，造成严重的安全事件。</w:t>
      </w:r>
    </w:p>
    <w:p>
      <w:pPr>
        <w:pStyle w:val="40"/>
        <w:spacing w:line="360" w:lineRule="auto"/>
        <w:rPr>
          <w:kern w:val="2"/>
          <w:sz w:val="21"/>
          <w:szCs w:val="21"/>
          <w:highlight w:val="none"/>
          <w:lang w:val="zh-CN"/>
        </w:rPr>
      </w:pPr>
      <w:r>
        <w:rPr>
          <w:kern w:val="2"/>
          <w:sz w:val="21"/>
          <w:szCs w:val="21"/>
          <w:highlight w:val="none"/>
          <w:lang w:val="zh-CN"/>
        </w:rPr>
        <w:t>2</w:t>
      </w:r>
      <w:r>
        <w:rPr>
          <w:rFonts w:hint="eastAsia"/>
          <w:kern w:val="2"/>
          <w:sz w:val="21"/>
          <w:szCs w:val="21"/>
          <w:highlight w:val="none"/>
          <w:lang w:val="zh-CN"/>
        </w:rPr>
        <w:t>、信息保密：充分利用密码技术，对于需要保密的信息，采用密码技术进行加解密处理，防止信息的非授权泄漏，确保涉密信息在产生、存储、传递和处理过程中的保密。</w:t>
      </w:r>
    </w:p>
    <w:p>
      <w:pPr>
        <w:pStyle w:val="40"/>
        <w:spacing w:line="360" w:lineRule="auto"/>
        <w:rPr>
          <w:kern w:val="2"/>
          <w:sz w:val="21"/>
          <w:szCs w:val="21"/>
          <w:highlight w:val="none"/>
          <w:lang w:val="zh-CN"/>
        </w:rPr>
      </w:pPr>
      <w:r>
        <w:rPr>
          <w:kern w:val="2"/>
          <w:sz w:val="21"/>
          <w:szCs w:val="21"/>
          <w:highlight w:val="none"/>
          <w:lang w:val="zh-CN"/>
        </w:rPr>
        <w:t>3</w:t>
      </w:r>
      <w:r>
        <w:rPr>
          <w:rFonts w:hint="eastAsia"/>
          <w:kern w:val="2"/>
          <w:sz w:val="21"/>
          <w:szCs w:val="21"/>
          <w:highlight w:val="none"/>
          <w:lang w:val="zh-CN"/>
        </w:rPr>
        <w:t>、数据完整性：建立数据完整性检验机制，保证收发双方数据的一致性，防止信息被非授权修改。</w:t>
      </w:r>
    </w:p>
    <w:p>
      <w:pPr>
        <w:pStyle w:val="40"/>
        <w:spacing w:line="360" w:lineRule="auto"/>
        <w:rPr>
          <w:kern w:val="2"/>
          <w:sz w:val="21"/>
          <w:szCs w:val="21"/>
          <w:highlight w:val="none"/>
          <w:lang w:val="zh-CN"/>
        </w:rPr>
      </w:pPr>
      <w:r>
        <w:rPr>
          <w:kern w:val="2"/>
          <w:sz w:val="21"/>
          <w:szCs w:val="21"/>
          <w:highlight w:val="none"/>
          <w:lang w:val="zh-CN"/>
        </w:rPr>
        <w:t>4</w:t>
      </w:r>
      <w:r>
        <w:rPr>
          <w:rFonts w:hint="eastAsia"/>
          <w:kern w:val="2"/>
          <w:sz w:val="21"/>
          <w:szCs w:val="21"/>
          <w:highlight w:val="none"/>
          <w:lang w:val="zh-CN"/>
        </w:rPr>
        <w:t>、安全审计：记录应用日志，对事件进行分析，并能提供预警信息。</w:t>
      </w:r>
    </w:p>
    <w:p>
      <w:pPr>
        <w:pStyle w:val="40"/>
        <w:spacing w:line="360" w:lineRule="auto"/>
        <w:rPr>
          <w:kern w:val="2"/>
          <w:sz w:val="21"/>
          <w:szCs w:val="21"/>
          <w:highlight w:val="none"/>
          <w:lang w:val="zh-CN"/>
        </w:rPr>
      </w:pPr>
      <w:r>
        <w:rPr>
          <w:kern w:val="2"/>
          <w:sz w:val="21"/>
          <w:szCs w:val="21"/>
          <w:highlight w:val="none"/>
          <w:lang w:val="zh-CN"/>
        </w:rPr>
        <w:t>5</w:t>
      </w:r>
      <w:r>
        <w:rPr>
          <w:rFonts w:hint="eastAsia"/>
          <w:kern w:val="2"/>
          <w:sz w:val="21"/>
          <w:szCs w:val="21"/>
          <w:highlight w:val="none"/>
          <w:lang w:val="zh-CN"/>
        </w:rPr>
        <w:t>、数据备份：提供备份功能将建设的平台和系统数据备份到指定的服务器或存储系统上。</w:t>
      </w:r>
    </w:p>
    <w:p>
      <w:pPr>
        <w:spacing w:line="360" w:lineRule="auto"/>
        <w:ind w:firstLine="420" w:firstLineChars="200"/>
        <w:rPr>
          <w:szCs w:val="21"/>
          <w:highlight w:val="none"/>
          <w:lang w:val="zh-CN"/>
        </w:rPr>
      </w:pPr>
      <w:r>
        <w:rPr>
          <w:szCs w:val="21"/>
          <w:highlight w:val="none"/>
          <w:lang w:val="zh-CN"/>
        </w:rPr>
        <w:t>6</w:t>
      </w:r>
      <w:r>
        <w:rPr>
          <w:rFonts w:hint="eastAsia"/>
          <w:szCs w:val="21"/>
          <w:highlight w:val="none"/>
          <w:lang w:val="zh-CN"/>
        </w:rPr>
        <w:t>、要求投标人从物理安全、网络安全、系统安全、应用软件安全、用户安全、数据安全等几个方面提出配套的安全体系完善方案，以便防范安全风险。</w:t>
      </w:r>
    </w:p>
    <w:p>
      <w:pPr>
        <w:pStyle w:val="40"/>
        <w:spacing w:line="360" w:lineRule="auto"/>
        <w:rPr>
          <w:kern w:val="2"/>
          <w:sz w:val="21"/>
          <w:szCs w:val="21"/>
          <w:highlight w:val="none"/>
          <w:lang w:val="zh-CN"/>
        </w:rPr>
      </w:pPr>
      <w:r>
        <w:rPr>
          <w:rFonts w:hint="eastAsia"/>
          <w:kern w:val="2"/>
          <w:sz w:val="21"/>
          <w:szCs w:val="21"/>
          <w:highlight w:val="none"/>
          <w:lang w:val="zh-CN"/>
        </w:rPr>
        <w:t>7、丙方（投标人）确保交付的系统平台符合国家网络平台安全规范，能通过国家相关部门的安全等级认证。否则，采购人有权拒绝接收丙方提交的货物（含服务）。</w:t>
      </w:r>
    </w:p>
    <w:p>
      <w:pPr>
        <w:numPr>
          <w:ilvl w:val="0"/>
          <w:numId w:val="2"/>
        </w:numPr>
        <w:spacing w:line="360" w:lineRule="auto"/>
        <w:outlineLvl w:val="0"/>
        <w:rPr>
          <w:rFonts w:ascii="宋体"/>
          <w:sz w:val="24"/>
          <w:szCs w:val="20"/>
          <w:highlight w:val="none"/>
        </w:rPr>
      </w:pPr>
      <w:r>
        <w:rPr>
          <w:rFonts w:hint="eastAsia" w:ascii="宋体" w:hAnsi="宋体" w:cs="宋体"/>
          <w:b/>
          <w:bCs/>
          <w:szCs w:val="21"/>
          <w:highlight w:val="none"/>
        </w:rPr>
        <w:t>建设内容</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754"/>
        <w:gridCol w:w="7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842" w:type="pct"/>
            <w:vAlign w:val="center"/>
          </w:tcPr>
          <w:p>
            <w:pPr>
              <w:adjustRightInd w:val="0"/>
              <w:snapToGrid w:val="0"/>
              <w:spacing w:line="360" w:lineRule="auto"/>
              <w:jc w:val="center"/>
              <w:rPr>
                <w:rFonts w:ascii="宋体" w:hAnsi="宋体" w:cs="宋体"/>
                <w:b/>
                <w:bCs/>
                <w:szCs w:val="21"/>
                <w:highlight w:val="none"/>
              </w:rPr>
            </w:pPr>
            <w:r>
              <w:rPr>
                <w:rFonts w:hint="eastAsia" w:ascii="宋体" w:hAnsi="宋体" w:cs="宋体"/>
                <w:b/>
                <w:bCs/>
                <w:color w:val="000000"/>
                <w:szCs w:val="21"/>
                <w:highlight w:val="none"/>
              </w:rPr>
              <w:t>功能</w:t>
            </w:r>
          </w:p>
        </w:tc>
        <w:tc>
          <w:tcPr>
            <w:tcW w:w="3662" w:type="pct"/>
            <w:vAlign w:val="center"/>
          </w:tcPr>
          <w:p>
            <w:pPr>
              <w:adjustRightInd w:val="0"/>
              <w:snapToGrid w:val="0"/>
              <w:spacing w:line="360" w:lineRule="auto"/>
              <w:jc w:val="center"/>
              <w:rPr>
                <w:rFonts w:ascii="宋体" w:hAnsi="宋体" w:cs="宋体"/>
                <w:b/>
                <w:bCs/>
                <w:szCs w:val="21"/>
                <w:highlight w:val="none"/>
              </w:rPr>
            </w:pPr>
            <w:r>
              <w:rPr>
                <w:rFonts w:hint="eastAsia" w:ascii="宋体" w:hAnsi="宋体" w:cs="宋体"/>
                <w:b/>
                <w:bCs/>
                <w:color w:val="000000"/>
                <w:szCs w:val="21"/>
                <w:highlight w:val="none"/>
              </w:rPr>
              <w:t>功能简要描述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实名认证服务</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制作或使用电子签章需要实名认证：</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1.1 个人实名认证服务</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（1）对接公安部公民网络身份识别系统进行实名认证；也可通过姓名、手机号、身份证号、教师工号/学生学号、人脸、人工等多种方式认证。</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（2）可根据学校实际情况进行认证，改造认证接口，减少用户操作，如对接学校数据，直接显示用户信息减少输入身份证号、手机号等信息。</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（3）认证方式可组合选择，若认证信息不完整，不能签署文件。</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1.2 非个人实名认证服务</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提交单位基本信息、签署法人代表授权书等要素信息，完成非个人实名认证。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数字证书服务</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2.1电子印章系统对接CA，下发实名数字证书。</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▲2.2能够实现多渠道自由式选择多个CA认证机构颁发的证书，可实现多家CA的实现对接，保证发证服务不间断。</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2.3实现长期证书、事件型证书，实现手机端证书。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组织架构建设与权限管理</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▲3.1学校组织架构建设</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支撑学校多层级、多主体的组织架构体系，细化管控颗粒度，灵活构建学校管理应用体系，实现各部处、院系独立维护各自的印章、签名，独立维护归属部、处、院系的印章、签名的维护权限、使用权限等。</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3.2 权限管理</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系统权限可全部由学校统一管理，实现学校划分权限管理体系，为学校不同角色、群体设定应用权限、文件权限、印章权限、系统权限等。</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电子印章可通过分权赋权的管理模式，实现二级单位单独管理。系统管理员授权校级印章管理员管理印章，并完成相应的使用授权操作。需要实现以防伪裂纹或光栅防伪码等方式记录印章的变更情况。</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3.3系统操作日志记录</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对各级所有浏览操作进行日志记录，对各级管理员的管理日志，要单独存储，确保在系统故障、非法操作等发生后，可进行追溯。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电子印章管理</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4.1 电子印章制作</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可通过人工处理形成印章图片；可通过上传加盖印章的白纸图片传至系统中，自动识别后生成印章图片；可通过系统自动生成标准化的印章图片；可通过其他合理有效方式制作。（需保证清晰有效）</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4.2电子印章管理</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（1）全生命周期管理</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实现学校所有印章的申请、审核、制章、发布、授权、调用、修改、吊销等印章全生命周期管理，不受数量限制，制作印章实现在线生成印模或上传印模图片两种方式。</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（2）电子印章信息</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保证每一个印章都具有独立的信息卡片，能够对齐相关信息进行全方位管理。</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a.基本信息：记录印章状态、归属等详情；</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b.权限管理：当前印章管理和使用权限；</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c.用印统计：印章所有的使用记录，便于追溯；</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d.其他相关信息。</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（3）电子印章查询</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实现学校内部所有电子印章在线统一查询，实现多维度的查询条件，也可根据需要提供自定义查询条件设定。</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（4）实现预设印章使用规则</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提供业务分类功能，能够使印章在一定的规则流程范围内进行使用，落实学校内部印章管理制度。</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提供多种印章使用规则控制：</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a.权限：控制文件的签署、打印、下载等；</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b.签署方：预设文件签署的相关方及签署顺序；</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c.审批流：提供文件签署前的流程审批功能。</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（5）电子印章展示分类</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a.最新印章：展示在印章库中对应的当前有效印章；</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b.其他印章：展示非个人的所有其他印章，包括历史印章、其他有效印章。</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（6）实现电子印章按照类型管理。</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具备基于组织架构显示管理印章类型、印章列表，可编辑印章、删除印章、设置默认章、查看用印记录；上传印章图片、设置背景透明度；可将印章授权给内部用户，被授权用户有权限使用该印章进行签署；具备启用禁用印章，禁用后印章不可用于签署。</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4.3 签章使用时不能遮挡文件的图文信息。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电子签名管理</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5.1电子签名制作</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实名认证通过后，可在PC端或移动端通过手写等方式进行电子签名的制作。实现手机扫描等方式自动生成正方形、长方形章等签名章，也实现手写，并可调整字体颜色、粗细，更换个人签名，可设置默认个人签名。（需保证清晰有效）</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5.2电子签名管理</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（1）制作学校法人章，分配印章使用权限、使用记录和统计、记录变更日志。</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制作人名章，自主调用、管理、查询、统计个人签名，不受数量限制，无需绑定证书或在不同使用场景下调用不同证书，如：与财务系统对接，实现人名章与学校证书的绑定以实现报销单的防篡改，与人事系统的对接签订劳动合同则使用个人证书保证个人真实身份和文件防篡改等。</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5.3 签章使用时不能遮挡文件的图文信息。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电子签章使用</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6.1根据不同业务场景实现流程盖章</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▲（1）实现大文件（超过100M）。</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（2）单页签章，实现以鼠标形式定位签章位置，控制签章只能盖在PDF文档显示区域。实现指定签署位置（可通过拖动、坐标、关键字指定），签署方可快速定位位置完成签署。</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（3）多页签章，能够对指定的页码指定位置，以1，3-4，8表达形式实现。</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（4）骑缝章，能够实现类似传统骑缝章的功能。骑缝章实现单双页加盖，适配双面打印需求。</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（5）预用印，实现会签、非会签预用印定位签章位置。</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（6）手写签批，实现字迹比对。</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（7）批量签章，能够批量对多个文件指定相同位置一次性签章。</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6.2全文阅读，实现设置签章人全文阅读后进行盖章。</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6.3实现审批功能，包括会签、非会签多人签章。</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6.4实现设置签署有效期：要求文件必须在有效期内完成签署，签署即将过期将自动提醒签署方（通过短信、邮件）。</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6.5实现电子文件作废，采用签署文件作废协议的方式作废文件，文件作废后数据保留在系统中，便于后期回溯、统计、查询。</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6.6预览电子文件，实现防截屏水印。</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6.7电子文件下载及下载权限限制，实现记录下载日志，且实现批量下载。</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6.8电子文件打印及打印权限限制，打印日志记录（打印操作人、打印时间、打印次数记录）。</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6.9电子文件撤回/退回，签署中的文件如发现有误，可撤回后修改并重新发起。</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6.10签章水印，可在印章显示指定文字或图片的水印，以达到印章与真实印章不同的目的，防止印章被滥用。水印实现光栅防伪效果，肉眼无法识别，便于复核人员快速复核纸质打印文件。</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6.11印章展现，要求印章透明，不遮挡下方的文字或图片。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7</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时间戳服务</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7.1 提供国家授时中心的可信时间服务。</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7.2 签署日期，默认签署当天，主动拖动到文件中。</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7.3 实现多渠道选择多家时间戳服务，防止单一渠道降低系统的可用性。</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7.4 时间戳要求符合行业标准，实现对字符串数据的时间戳，实现对pdf文件的时间戳。</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7.5 对外提供时间戳服务和时间戳校验服务。</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7.6 实现RSA算法或SM2算法的数字证书。</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7.7 拥有自主知识产权，符合国家密码管理政策，同时符合国际通用标准规范。</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7.8 可使用SNTP协议接入第三方授时中心时间源，也可采用本地硬件精准时间源。</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7.9 时间戳签发时间：小于1秒。</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7.10 时间源精度：小于100毫秒。</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7.11签章时生成的时间戳可在Adobe Reader中验证。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8</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版式文件服务</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8.1预置文件模板功能，实现pdf、doc、docx、xls、xlsx、txt、wps、rtf、jpg、png、gif、tiff，实现HTML模板，实现本地上传word模板。</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8.2 文件模板实现数据传输。</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8.3 文件模板实现本地数据展现与存储。</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8.4 文件模板实现自定义标签、状态查询及管理功能。</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8.5 模板可分私有、公有，实现模板共享功能。</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8.6 html模板编辑时，实现设置文件要点，可单独查看要点内容，实现标题目录及内容自动编目，实现模板内表格，实现通过接口自动填充表格等。</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8.7实现Word格式的文件模板制作、审批、发布等功能，实现业务信息与文件模板的合成功能，形成完整的电子单据文件。模板中嵌入电子签章和电子签名位置信息，实现后续签名签章流程。</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8.8实现直接在线编辑模板，在线模板编辑实现段落、字体、颜色等格式设置，并实现格式刷功能，实现多种常用中英文字体，实现页眉页脚，文件参数等。</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▲8.9实现PDF、OFD文件进行电子印章加盖、电子签名加签。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9</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消息提醒服务</w:t>
            </w:r>
          </w:p>
        </w:tc>
        <w:tc>
          <w:tcPr>
            <w:tcW w:w="3662" w:type="pct"/>
          </w:tcPr>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可对接学校消息平台，精准为用户提供短信、邮件等方式的文件签署信息提醒。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10</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防伪打印服务</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10.1实现文件以二维码、光栅防伪码等形式进行防伪打印输出。</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▲10.2实现远程受控打印。</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▲10.3实现从电子签章系统中直接下载的文件私自打印不能输出防伪效果，一定要通过系统中的打印请求才能输出为防伪文件。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11</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统计搜索查询</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实现印章统计、用印次数、用印文件数量、用印人等信息统计、搜索、查询，以图形化报表的形式展现；</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每个印章管理员仅可查看自己的印章及使用统计信息。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2</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系统集成</w:t>
            </w:r>
          </w:p>
        </w:tc>
        <w:tc>
          <w:tcPr>
            <w:tcW w:w="3662" w:type="pct"/>
          </w:tcPr>
          <w:p>
            <w:pPr>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12.1</w:t>
            </w:r>
            <w:r>
              <w:rPr>
                <w:rFonts w:hint="eastAsia" w:ascii="宋体" w:hAnsi="宋体" w:cs="宋体"/>
                <w:color w:val="000000"/>
                <w:szCs w:val="21"/>
                <w:highlight w:val="none"/>
                <w:lang w:bidi="ar"/>
              </w:rPr>
              <w:t>与包括但不限于内控管理系统、网上办事大厅系统、教务系统、研究生系统、财务系统、档案系统、OA系统、招采系统、科研系统、人事系统、自助打印、学工等各种业务系统对接，完成各类电子印章调用、文件签署、数据传输等功能。</w:t>
            </w:r>
          </w:p>
          <w:p>
            <w:pPr>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w:t>
            </w:r>
            <w:r>
              <w:rPr>
                <w:rFonts w:hint="eastAsia" w:ascii="宋体" w:hAnsi="宋体" w:cs="宋体"/>
                <w:color w:val="000000"/>
                <w:szCs w:val="21"/>
                <w:highlight w:val="none"/>
                <w:lang w:bidi="ar"/>
              </w:rPr>
              <w:t>完成与校方现有内控管理系统电子印章使用场景的平滑对接，方案中要提供与内控系统对接的技术实现路径，且投标报价应包含此部分对接费用并在签订合同前提供内控管理系统建设方公司的书面对接授权书。</w:t>
            </w:r>
          </w:p>
          <w:p>
            <w:pPr>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12.2</w:t>
            </w:r>
            <w:r>
              <w:rPr>
                <w:rFonts w:hint="eastAsia" w:ascii="宋体" w:hAnsi="宋体" w:cs="宋体"/>
                <w:color w:val="000000"/>
                <w:szCs w:val="21"/>
                <w:highlight w:val="none"/>
                <w:lang w:bidi="ar"/>
              </w:rPr>
              <w:t>实现系统间的数据传输，如将业务系统的审批结果传输给印章管理平台后，平台调用业务系统的数据，再将加盖电子印章材料传输至业务系统，同时通过文件中心进行保存。业务系统可直接调用文件查看接口，同时在业务系统中增加查看及下载按钮。</w:t>
            </w:r>
          </w:p>
          <w:p>
            <w:pPr>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12.3</w:t>
            </w:r>
            <w:r>
              <w:rPr>
                <w:rFonts w:hint="eastAsia" w:ascii="宋体" w:hAnsi="宋体" w:cs="宋体"/>
                <w:color w:val="000000"/>
                <w:szCs w:val="21"/>
                <w:highlight w:val="none"/>
                <w:lang w:bidi="ar"/>
              </w:rPr>
              <w:t>与学校统一认证平台对接，同步统一身份认证平台用户信息，避免用户进行二次登录，用户只需登录业务系统完成流程发起、审批、签署等相关操作。</w:t>
            </w:r>
          </w:p>
          <w:p>
            <w:pPr>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 xml:space="preserve">12.4 </w:t>
            </w:r>
            <w:r>
              <w:rPr>
                <w:rFonts w:hint="eastAsia" w:ascii="宋体" w:hAnsi="宋体" w:cs="宋体"/>
                <w:color w:val="000000"/>
                <w:szCs w:val="21"/>
                <w:highlight w:val="none"/>
                <w:lang w:bidi="ar"/>
              </w:rPr>
              <w:t>业务系统内嵌电子印章平台签署页面，电子印章平台管理员可在业务系统中点击“签署”按钮跳转到签署页面，对文件进行盖章；根据不同的业务类型，可以选择自动盖章、手动盖章两种方式。也可不跳转到签署界面，后台自动调用签章平台，盖完章传回业务系统。</w:t>
            </w:r>
          </w:p>
          <w:p>
            <w:pPr>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12.5</w:t>
            </w:r>
            <w:r>
              <w:rPr>
                <w:rFonts w:hint="eastAsia" w:ascii="宋体" w:hAnsi="宋体" w:cs="宋体"/>
                <w:color w:val="000000"/>
                <w:szCs w:val="21"/>
                <w:highlight w:val="none"/>
                <w:lang w:bidi="ar"/>
              </w:rPr>
              <w:t>业务系统审批流程中，每一个节点，涉及到校领导签字的，要在业务系统中的表单显示校领导的签名，表单中也要显示加盖的印章。</w:t>
            </w:r>
          </w:p>
          <w:p>
            <w:pPr>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12.6</w:t>
            </w:r>
            <w:r>
              <w:rPr>
                <w:rFonts w:hint="eastAsia" w:ascii="宋体" w:hAnsi="宋体" w:cs="宋体"/>
                <w:color w:val="000000"/>
                <w:szCs w:val="21"/>
                <w:highlight w:val="none"/>
                <w:lang w:bidi="ar"/>
              </w:rPr>
              <w:t>与校内办事大厅、融合门户等系统集成，实现用印发起及办理签署过程中的提醒消息和签署完成的消息统一入口。</w:t>
            </w:r>
          </w:p>
          <w:p>
            <w:pPr>
              <w:adjustRightInd w:val="0"/>
              <w:snapToGrid w:val="0"/>
              <w:spacing w:line="360" w:lineRule="auto"/>
              <w:rPr>
                <w:rFonts w:ascii="宋体" w:hAnsi="宋体" w:cs="宋体"/>
                <w:color w:val="000000"/>
                <w:szCs w:val="21"/>
                <w:highlight w:val="none"/>
                <w:lang w:bidi="ar"/>
              </w:rPr>
            </w:pPr>
            <w:r>
              <w:rPr>
                <w:rFonts w:ascii="宋体" w:hAnsi="宋体" w:cs="宋体"/>
                <w:color w:val="000000"/>
                <w:szCs w:val="21"/>
                <w:highlight w:val="none"/>
                <w:lang w:bidi="ar"/>
              </w:rPr>
              <w:t>12.7</w:t>
            </w:r>
            <w:r>
              <w:rPr>
                <w:rFonts w:hint="eastAsia" w:ascii="宋体" w:hAnsi="宋体" w:cs="宋体"/>
                <w:color w:val="000000"/>
                <w:szCs w:val="21"/>
                <w:highlight w:val="none"/>
                <w:lang w:bidi="ar"/>
              </w:rPr>
              <w:t>与学校移动端进行集成，实现电子签章移动端签署能力，移动端统一入口。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3</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外网验签平台</w:t>
            </w:r>
          </w:p>
        </w:tc>
        <w:tc>
          <w:tcPr>
            <w:tcW w:w="3662" w:type="pct"/>
          </w:tcPr>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13.1</w:t>
            </w:r>
            <w:r>
              <w:rPr>
                <w:rFonts w:hint="eastAsia" w:ascii="宋体" w:hAnsi="宋体" w:cs="宋体"/>
                <w:color w:val="000000"/>
                <w:szCs w:val="21"/>
                <w:highlight w:val="none"/>
              </w:rPr>
              <w:t>构建学校官方验真平台，任何一份具备电子签章的文件都可以在验真平台中进行验证，上传文件后系统自动校验签名是否真实有效，文件是否被篡改过。</w:t>
            </w:r>
          </w:p>
          <w:p>
            <w:pPr>
              <w:adjustRightInd w:val="0"/>
              <w:snapToGrid w:val="0"/>
              <w:spacing w:line="360" w:lineRule="auto"/>
              <w:rPr>
                <w:rFonts w:ascii="宋体" w:hAnsi="宋体" w:cs="宋体"/>
                <w:szCs w:val="21"/>
                <w:highlight w:val="none"/>
              </w:rPr>
            </w:pPr>
            <w:r>
              <w:rPr>
                <w:rFonts w:ascii="宋体" w:hAnsi="宋体" w:cs="宋体"/>
                <w:color w:val="000000"/>
                <w:szCs w:val="21"/>
                <w:highlight w:val="none"/>
              </w:rPr>
              <w:t>13.2</w:t>
            </w:r>
            <w:r>
              <w:rPr>
                <w:rFonts w:hint="eastAsia" w:ascii="宋体" w:hAnsi="宋体" w:cs="宋体"/>
                <w:color w:val="000000"/>
                <w:szCs w:val="21"/>
                <w:highlight w:val="none"/>
              </w:rPr>
              <w:t>提供证书验证功能，实现私有化环境证书验证。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4</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移动应用服务</w:t>
            </w:r>
          </w:p>
        </w:tc>
        <w:tc>
          <w:tcPr>
            <w:tcW w:w="3662" w:type="pct"/>
          </w:tcPr>
          <w:p>
            <w:pPr>
              <w:adjustRightInd w:val="0"/>
              <w:snapToGrid w:val="0"/>
              <w:spacing w:line="360" w:lineRule="auto"/>
              <w:rPr>
                <w:rFonts w:ascii="宋体" w:hAnsi="宋体" w:cs="宋体"/>
                <w:color w:val="000000"/>
                <w:szCs w:val="21"/>
                <w:highlight w:val="none"/>
              </w:rPr>
            </w:pPr>
            <w:r>
              <w:rPr>
                <w:rFonts w:ascii="宋体" w:hAnsi="宋体" w:cs="宋体"/>
                <w:color w:val="000000"/>
                <w:szCs w:val="21"/>
                <w:highlight w:val="none"/>
              </w:rPr>
              <w:t>14.1</w:t>
            </w:r>
            <w:r>
              <w:rPr>
                <w:rFonts w:hint="eastAsia" w:ascii="宋体" w:hAnsi="宋体" w:cs="宋体"/>
                <w:color w:val="000000"/>
                <w:szCs w:val="21"/>
                <w:highlight w:val="none"/>
              </w:rPr>
              <w:t>可以通过短信、学校微信、app等多种移动入口进入签署页面，实现移动端签署。</w:t>
            </w:r>
          </w:p>
          <w:p>
            <w:pPr>
              <w:adjustRightInd w:val="0"/>
              <w:snapToGrid w:val="0"/>
              <w:spacing w:line="360" w:lineRule="auto"/>
              <w:rPr>
                <w:rFonts w:ascii="宋体" w:hAnsi="宋体" w:cs="宋体"/>
                <w:color w:val="000000"/>
                <w:szCs w:val="21"/>
                <w:highlight w:val="none"/>
              </w:rPr>
            </w:pPr>
            <w:r>
              <w:rPr>
                <w:rFonts w:ascii="宋体" w:hAnsi="宋体" w:cs="宋体"/>
                <w:color w:val="000000"/>
                <w:szCs w:val="21"/>
                <w:highlight w:val="none"/>
              </w:rPr>
              <w:t>14.2</w:t>
            </w:r>
            <w:r>
              <w:rPr>
                <w:rFonts w:hint="eastAsia" w:ascii="宋体" w:hAnsi="宋体" w:cs="宋体"/>
                <w:color w:val="000000"/>
                <w:szCs w:val="21"/>
                <w:highlight w:val="none"/>
              </w:rPr>
              <w:t>实现所有主流的移动端操作系统，Android、IOS等。</w:t>
            </w:r>
          </w:p>
          <w:p>
            <w:pPr>
              <w:adjustRightInd w:val="0"/>
              <w:snapToGrid w:val="0"/>
              <w:spacing w:line="360" w:lineRule="auto"/>
              <w:rPr>
                <w:rFonts w:ascii="宋体" w:hAnsi="宋体" w:cs="宋体"/>
                <w:szCs w:val="21"/>
                <w:highlight w:val="none"/>
              </w:rPr>
            </w:pPr>
            <w:r>
              <w:rPr>
                <w:rFonts w:ascii="宋体" w:hAnsi="宋体" w:cs="宋体"/>
                <w:color w:val="000000"/>
                <w:szCs w:val="21"/>
                <w:highlight w:val="none"/>
              </w:rPr>
              <w:t>14.3</w:t>
            </w:r>
            <w:r>
              <w:rPr>
                <w:rFonts w:hint="eastAsia" w:ascii="宋体" w:hAnsi="宋体" w:cs="宋体"/>
                <w:color w:val="000000"/>
                <w:szCs w:val="21"/>
                <w:highlight w:val="none"/>
              </w:rPr>
              <w:t>可以打开签署链接后通过拖拽的方式完成移动端签署动作，签署后按需进行二次验证。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5</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统一文件安全存储</w:t>
            </w:r>
          </w:p>
        </w:tc>
        <w:tc>
          <w:tcPr>
            <w:tcW w:w="3662" w:type="pct"/>
          </w:tcPr>
          <w:p>
            <w:pPr>
              <w:adjustRightInd w:val="0"/>
              <w:snapToGrid w:val="0"/>
              <w:spacing w:line="360" w:lineRule="auto"/>
              <w:rPr>
                <w:rFonts w:ascii="宋体" w:hAnsi="宋体" w:cs="宋体"/>
                <w:color w:val="000000"/>
                <w:szCs w:val="21"/>
                <w:highlight w:val="none"/>
              </w:rPr>
            </w:pPr>
            <w:r>
              <w:rPr>
                <w:rFonts w:ascii="宋体" w:hAnsi="宋体" w:cs="宋体"/>
                <w:color w:val="000000"/>
                <w:szCs w:val="21"/>
                <w:highlight w:val="none"/>
              </w:rPr>
              <w:t>15.1</w:t>
            </w:r>
            <w:r>
              <w:rPr>
                <w:rFonts w:hint="eastAsia" w:ascii="宋体" w:hAnsi="宋体" w:cs="宋体"/>
                <w:color w:val="000000"/>
                <w:szCs w:val="21"/>
                <w:highlight w:val="none"/>
              </w:rPr>
              <w:t>文件存档</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（1）经过电子签章平台签署过后的文件，比如公文、报销单、成绩单、各类证明文件等，都在文件中心统一存档。</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（2）文件的签署详情在系统中全面记录，通过电子签名技术加密的文件在线查看。操作记录能直观反应文件来源、历史操作等详细情况，帮助管理人员追根溯源。</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（3）有权限的管理人员可以对电子文件进行转发、下载、打印等操作，特殊情况下还实现撤销、作废等操作。</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（4）签署的文件中都可以具备具有法律效力的电子签名，保证签章真实可靠的同时，使得文件具有防篡改的能力。</w:t>
            </w:r>
          </w:p>
          <w:p>
            <w:pPr>
              <w:adjustRightInd w:val="0"/>
              <w:snapToGrid w:val="0"/>
              <w:spacing w:line="360" w:lineRule="auto"/>
              <w:rPr>
                <w:rFonts w:ascii="宋体" w:hAnsi="宋体" w:cs="宋体"/>
                <w:color w:val="000000"/>
                <w:szCs w:val="21"/>
                <w:highlight w:val="none"/>
              </w:rPr>
            </w:pPr>
            <w:r>
              <w:rPr>
                <w:rFonts w:ascii="宋体" w:hAnsi="宋体" w:cs="宋体"/>
                <w:color w:val="000000"/>
                <w:szCs w:val="21"/>
                <w:highlight w:val="none"/>
              </w:rPr>
              <w:t>15.2</w:t>
            </w:r>
            <w:r>
              <w:rPr>
                <w:rFonts w:hint="eastAsia" w:ascii="宋体" w:hAnsi="宋体" w:cs="宋体"/>
                <w:color w:val="000000"/>
                <w:szCs w:val="21"/>
                <w:highlight w:val="none"/>
              </w:rPr>
              <w:t>文件查询</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（1）文件中心提供多维度查询条件：是哪个系统签署的、签署方是谁、签署时间、业务类型、印章名称等多种查询条件，实现自定义查询条件，不同状态和阶段的文件都能够快速检索。</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（2）实现查看和导出签约文件统计对应的签约明细。</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5</w:t>
            </w:r>
            <w:r>
              <w:rPr>
                <w:rFonts w:hint="eastAsia" w:ascii="宋体" w:hAnsi="宋体" w:cs="宋体"/>
                <w:color w:val="000000"/>
                <w:szCs w:val="21"/>
                <w:highlight w:val="none"/>
              </w:rPr>
              <w:t>.3文件统计</w:t>
            </w:r>
          </w:p>
          <w:p>
            <w:pPr>
              <w:adjustRightInd w:val="0"/>
              <w:snapToGrid w:val="0"/>
              <w:spacing w:line="360" w:lineRule="auto"/>
              <w:rPr>
                <w:rFonts w:ascii="宋体" w:hAnsi="宋体" w:cs="宋体"/>
                <w:color w:val="000000"/>
                <w:szCs w:val="21"/>
                <w:highlight w:val="none"/>
              </w:rPr>
            </w:pPr>
            <w:r>
              <w:rPr>
                <w:rFonts w:hint="eastAsia" w:ascii="宋体" w:hAnsi="宋体" w:cs="宋体"/>
                <w:color w:val="000000"/>
                <w:szCs w:val="21"/>
                <w:highlight w:val="none"/>
              </w:rPr>
              <w:t>（1）统计用印次数、各印章的使用次数、用印文件数量。</w:t>
            </w:r>
          </w:p>
          <w:p>
            <w:pPr>
              <w:adjustRightInd w:val="0"/>
              <w:snapToGrid w:val="0"/>
              <w:spacing w:line="360" w:lineRule="auto"/>
              <w:rPr>
                <w:rFonts w:ascii="宋体" w:hAnsi="宋体" w:cs="宋体"/>
                <w:szCs w:val="21"/>
                <w:highlight w:val="none"/>
              </w:rPr>
            </w:pPr>
            <w:r>
              <w:rPr>
                <w:rFonts w:hint="eastAsia" w:ascii="宋体" w:hAnsi="宋体" w:cs="宋体"/>
                <w:color w:val="000000"/>
                <w:szCs w:val="21"/>
                <w:highlight w:val="none"/>
              </w:rPr>
              <w:t>（2）可统计各分类下的文件签署情况。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6</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个人中心建设</w:t>
            </w:r>
          </w:p>
        </w:tc>
        <w:tc>
          <w:tcPr>
            <w:tcW w:w="3662" w:type="pct"/>
          </w:tcPr>
          <w:p>
            <w:pPr>
              <w:adjustRightInd w:val="0"/>
              <w:snapToGrid w:val="0"/>
              <w:spacing w:line="360" w:lineRule="auto"/>
              <w:rPr>
                <w:rFonts w:ascii="宋体" w:hAnsi="宋体" w:cs="宋体"/>
                <w:szCs w:val="21"/>
                <w:highlight w:val="none"/>
              </w:rPr>
            </w:pPr>
            <w:r>
              <w:rPr>
                <w:rFonts w:ascii="宋体" w:hAnsi="宋体" w:cs="宋体"/>
                <w:szCs w:val="21"/>
                <w:highlight w:val="none"/>
              </w:rPr>
              <w:t>16.1</w:t>
            </w:r>
            <w:r>
              <w:rPr>
                <w:rFonts w:hint="eastAsia" w:ascii="宋体" w:hAnsi="宋体" w:cs="宋体"/>
                <w:szCs w:val="21"/>
                <w:highlight w:val="none"/>
              </w:rPr>
              <w:t>个人中心信息展示</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显示个人头像、手机号等基本信息</w:t>
            </w:r>
          </w:p>
          <w:p>
            <w:pPr>
              <w:adjustRightInd w:val="0"/>
              <w:snapToGrid w:val="0"/>
              <w:spacing w:line="360" w:lineRule="auto"/>
              <w:rPr>
                <w:rFonts w:ascii="宋体" w:hAnsi="宋体" w:cs="宋体"/>
                <w:szCs w:val="21"/>
                <w:highlight w:val="none"/>
              </w:rPr>
            </w:pPr>
            <w:r>
              <w:rPr>
                <w:rFonts w:ascii="宋体" w:hAnsi="宋体" w:cs="宋体"/>
                <w:szCs w:val="21"/>
                <w:highlight w:val="none"/>
              </w:rPr>
              <w:t>16.2</w:t>
            </w:r>
            <w:r>
              <w:rPr>
                <w:rFonts w:hint="eastAsia" w:ascii="宋体" w:hAnsi="宋体" w:cs="宋体"/>
                <w:szCs w:val="21"/>
                <w:highlight w:val="none"/>
              </w:rPr>
              <w:t>我的印章</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显示我可使用的电子印章</w:t>
            </w:r>
          </w:p>
          <w:p>
            <w:pPr>
              <w:adjustRightInd w:val="0"/>
              <w:snapToGrid w:val="0"/>
              <w:spacing w:line="360" w:lineRule="auto"/>
              <w:rPr>
                <w:rFonts w:ascii="宋体" w:hAnsi="宋体" w:cs="宋体"/>
                <w:szCs w:val="21"/>
                <w:highlight w:val="none"/>
              </w:rPr>
            </w:pPr>
            <w:r>
              <w:rPr>
                <w:rFonts w:ascii="宋体" w:hAnsi="宋体" w:cs="宋体"/>
                <w:szCs w:val="21"/>
                <w:highlight w:val="none"/>
              </w:rPr>
              <w:t>16.3</w:t>
            </w:r>
            <w:r>
              <w:rPr>
                <w:rFonts w:hint="eastAsia" w:ascii="宋体" w:hAnsi="宋体" w:cs="宋体"/>
                <w:szCs w:val="21"/>
                <w:highlight w:val="none"/>
              </w:rPr>
              <w:t>我的办件</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通过文件名称、签署方、签署状态、签署时间段、印章名称等快速查找文件，提供持导出、批量下载，提供在线打印文件、存证报告、签署摘要信息等。</w:t>
            </w:r>
          </w:p>
          <w:p>
            <w:pPr>
              <w:adjustRightInd w:val="0"/>
              <w:snapToGrid w:val="0"/>
              <w:spacing w:line="360" w:lineRule="auto"/>
              <w:rPr>
                <w:rFonts w:ascii="宋体" w:hAnsi="宋体" w:cs="宋体"/>
                <w:szCs w:val="21"/>
                <w:highlight w:val="none"/>
              </w:rPr>
            </w:pPr>
            <w:r>
              <w:rPr>
                <w:rFonts w:ascii="宋体" w:hAnsi="宋体" w:cs="宋体"/>
                <w:szCs w:val="21"/>
                <w:highlight w:val="none"/>
              </w:rPr>
              <w:t>16.4</w:t>
            </w:r>
            <w:r>
              <w:rPr>
                <w:rFonts w:hint="eastAsia" w:ascii="宋体" w:hAnsi="宋体" w:cs="宋体"/>
                <w:szCs w:val="21"/>
                <w:highlight w:val="none"/>
              </w:rPr>
              <w:t>我的收藏</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针对签署过的重要文件可进行收藏、取消收藏操作</w:t>
            </w:r>
          </w:p>
          <w:p>
            <w:pPr>
              <w:adjustRightInd w:val="0"/>
              <w:snapToGrid w:val="0"/>
              <w:spacing w:line="360" w:lineRule="auto"/>
              <w:rPr>
                <w:rFonts w:ascii="宋体" w:hAnsi="宋体" w:cs="宋体"/>
                <w:szCs w:val="21"/>
                <w:highlight w:val="none"/>
              </w:rPr>
            </w:pPr>
            <w:r>
              <w:rPr>
                <w:rFonts w:ascii="宋体" w:hAnsi="宋体" w:cs="宋体"/>
                <w:szCs w:val="21"/>
                <w:highlight w:val="none"/>
              </w:rPr>
              <w:t>16.5</w:t>
            </w:r>
            <w:r>
              <w:rPr>
                <w:rFonts w:hint="eastAsia" w:ascii="宋体" w:hAnsi="宋体" w:cs="宋体"/>
                <w:szCs w:val="21"/>
                <w:highlight w:val="none"/>
              </w:rPr>
              <w:t>我的预警</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签署文件，设定到期期限，系统自动发送提醒；</w:t>
            </w:r>
          </w:p>
          <w:p>
            <w:pPr>
              <w:adjustRightInd w:val="0"/>
              <w:snapToGrid w:val="0"/>
              <w:spacing w:line="360" w:lineRule="auto"/>
              <w:rPr>
                <w:rFonts w:ascii="宋体" w:hAnsi="宋体" w:cs="宋体"/>
                <w:szCs w:val="21"/>
                <w:highlight w:val="none"/>
              </w:rPr>
            </w:pPr>
            <w:r>
              <w:rPr>
                <w:rFonts w:ascii="宋体" w:hAnsi="宋体" w:cs="宋体"/>
                <w:szCs w:val="21"/>
                <w:highlight w:val="none"/>
              </w:rPr>
              <w:t>16.6</w:t>
            </w:r>
            <w:r>
              <w:rPr>
                <w:rFonts w:hint="eastAsia" w:ascii="宋体" w:hAnsi="宋体" w:cs="宋体"/>
                <w:szCs w:val="21"/>
                <w:highlight w:val="none"/>
              </w:rPr>
              <w:t>我的验签</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登录后的验签除登录前的验签功能外，还提供全部历史验签文件、验签结果查询。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7</w:t>
            </w:r>
          </w:p>
        </w:tc>
        <w:tc>
          <w:tcPr>
            <w:tcW w:w="842" w:type="pct"/>
            <w:vAlign w:val="center"/>
          </w:tcPr>
          <w:p>
            <w:pPr>
              <w:adjustRightInd w:val="0"/>
              <w:snapToGrid w:val="0"/>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开放平台</w:t>
            </w:r>
          </w:p>
        </w:tc>
        <w:tc>
          <w:tcPr>
            <w:tcW w:w="3662" w:type="pct"/>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 xml:space="preserve">7.1 </w:t>
            </w:r>
            <w:r>
              <w:rPr>
                <w:rFonts w:hint="eastAsia" w:ascii="宋体" w:hAnsi="宋体" w:cs="宋体"/>
                <w:szCs w:val="21"/>
                <w:highlight w:val="none"/>
              </w:rPr>
              <w:t>通过标准API/SDK接口，为南信大轻松定制电子签署、实名认证、数据存证、时间戳等功能服务，不限制对接系统的个数。</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 xml:space="preserve">7.2 </w:t>
            </w:r>
            <w:r>
              <w:rPr>
                <w:rFonts w:hint="eastAsia" w:ascii="宋体" w:hAnsi="宋体" w:cs="宋体"/>
                <w:szCs w:val="21"/>
                <w:highlight w:val="none"/>
              </w:rPr>
              <w:t>私有化在线开放平台方便各系统对接签署服务，基于HTTPS协议，提供平台介绍、接入部署说明、QA汇总、常用的SDK下载，提供完整的各类API接口及其API说明。</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7.2</w:t>
            </w:r>
            <w:r>
              <w:rPr>
                <w:rFonts w:hint="eastAsia" w:ascii="宋体" w:hAnsi="宋体" w:cs="宋体"/>
                <w:szCs w:val="21"/>
                <w:highlight w:val="none"/>
              </w:rPr>
              <w:t>提供标准Restful风格的接口，实现不同语言（包括Java、.Net、PHP、Python等语言）开发的业务系统进行对接。</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17.3</w:t>
            </w:r>
            <w:r>
              <w:rPr>
                <w:rFonts w:hint="eastAsia" w:ascii="宋体" w:hAnsi="宋体" w:cs="宋体"/>
                <w:szCs w:val="21"/>
                <w:highlight w:val="none"/>
              </w:rPr>
              <w:t>提供签章平台自定义集成代码接入，实现主动与业务系统功能集成。提供全套的API接口或内部版开放平台，可实现全校各业务系统的无缝对接。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18</w:t>
            </w:r>
          </w:p>
        </w:tc>
        <w:tc>
          <w:tcPr>
            <w:tcW w:w="842" w:type="pct"/>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color w:val="000000"/>
                <w:szCs w:val="21"/>
                <w:highlight w:val="none"/>
              </w:rPr>
              <w:t>系统运维管理</w:t>
            </w:r>
          </w:p>
        </w:tc>
        <w:tc>
          <w:tcPr>
            <w:tcW w:w="3662" w:type="pct"/>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18.1提供系统日志功能，可在运维后台直接查看系统运行日志，无需远程到服务器下载和查看。</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18.2提供服务监控功能，可以实时查看电子印章平台服务器运行状况。</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18.3提供服务集群监控功能，若启用集群部署，可以实时查看集群各节点服务器信息和运行情况。</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▲18.4</w:t>
            </w:r>
            <w:r>
              <w:rPr>
                <w:rFonts w:hint="eastAsia" w:ascii="宋体" w:hAnsi="宋体" w:cs="宋体"/>
                <w:szCs w:val="21"/>
                <w:highlight w:val="none"/>
              </w:rPr>
              <w:t>提供</w:t>
            </w:r>
            <w:r>
              <w:rPr>
                <w:rFonts w:hint="eastAsia" w:ascii="宋体" w:hAnsi="宋体" w:cs="宋体"/>
                <w:color w:val="000000"/>
                <w:szCs w:val="21"/>
                <w:highlight w:val="none"/>
              </w:rPr>
              <w:t>可视化界面配置定时任务实现运维管理。</w:t>
            </w:r>
          </w:p>
          <w:p>
            <w:pPr>
              <w:spacing w:line="360" w:lineRule="auto"/>
              <w:rPr>
                <w:rFonts w:ascii="宋体" w:hAnsi="宋体" w:cs="宋体"/>
                <w:szCs w:val="21"/>
                <w:highlight w:val="none"/>
              </w:rPr>
            </w:pPr>
            <w:r>
              <w:rPr>
                <w:rFonts w:hint="eastAsia" w:ascii="宋体" w:hAnsi="宋体" w:cs="宋体"/>
                <w:color w:val="000000"/>
                <w:szCs w:val="21"/>
                <w:highlight w:val="none"/>
              </w:rPr>
              <w:t>18.5提供集成服务监控功能，可以实时查看集成接口调用服务运行情况，调用耗时和失败信息等。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9</w:t>
            </w:r>
          </w:p>
        </w:tc>
        <w:tc>
          <w:tcPr>
            <w:tcW w:w="842" w:type="pct"/>
            <w:vAlign w:val="center"/>
          </w:tcPr>
          <w:p>
            <w:pPr>
              <w:adjustRightInd w:val="0"/>
              <w:snapToGrid w:val="0"/>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督办管理</w:t>
            </w:r>
          </w:p>
        </w:tc>
        <w:tc>
          <w:tcPr>
            <w:tcW w:w="3662" w:type="pct"/>
            <w:vAlign w:val="center"/>
          </w:tcPr>
          <w:p>
            <w:pPr>
              <w:spacing w:line="360" w:lineRule="auto"/>
              <w:rPr>
                <w:rFonts w:ascii="宋体" w:hAnsi="宋体" w:cs="宋体"/>
                <w:color w:val="000000"/>
                <w:szCs w:val="21"/>
                <w:highlight w:val="none"/>
              </w:rPr>
            </w:pPr>
            <w:r>
              <w:rPr>
                <w:color w:val="000000" w:themeColor="text1"/>
                <w:kern w:val="0"/>
                <w:szCs w:val="21"/>
                <w:highlight w:val="none"/>
                <w14:textFill>
                  <w14:solidFill>
                    <w14:schemeClr w14:val="tx1"/>
                  </w14:solidFill>
                </w14:textFill>
              </w:rPr>
              <w:t>▲</w:t>
            </w:r>
            <w:r>
              <w:rPr>
                <w:rFonts w:hint="eastAsia" w:ascii="宋体" w:hAnsi="宋体" w:cs="宋体"/>
                <w:color w:val="000000"/>
                <w:szCs w:val="21"/>
                <w:highlight w:val="none"/>
              </w:rPr>
              <w:t>实现督办功能，包括督办流程的创建，督办卡片的建立，督办台账的生成，并根据拟完成日期，设定相关提醒。台账具有查询功能，所有信息实现导出，实现权限分配划分，多角度展示台账信息。同时实现手机端以下功能：</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1）和PC端，督办发起、流程审核、数据归档等基础功能保持一致，方便办公</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2）将督办台账按照PC的数据展示内容展示在手机端，同时做好权限划分</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3）督办卡片的建立，手机端需实现与PC端同样的展示效果，将督办卡片内容完整展示在手机上</w:t>
            </w:r>
          </w:p>
          <w:p>
            <w:pPr>
              <w:spacing w:line="360" w:lineRule="auto"/>
              <w:rPr>
                <w:rFonts w:ascii="宋体" w:hAnsi="宋体" w:cs="宋体"/>
                <w:color w:val="000000"/>
                <w:szCs w:val="21"/>
                <w:highlight w:val="none"/>
              </w:rPr>
            </w:pPr>
            <w:r>
              <w:rPr>
                <w:color w:val="000000" w:themeColor="text1"/>
                <w:kern w:val="0"/>
                <w:szCs w:val="21"/>
                <w:highlight w:val="none"/>
                <w14:textFill>
                  <w14:solidFill>
                    <w14:schemeClr w14:val="tx1"/>
                  </w14:solidFill>
                </w14:textFill>
              </w:rPr>
              <w:t>▲</w:t>
            </w:r>
            <w:r>
              <w:rPr>
                <w:rFonts w:hint="eastAsia" w:ascii="宋体" w:hAnsi="宋体" w:cs="宋体"/>
                <w:color w:val="000000"/>
                <w:szCs w:val="21"/>
                <w:highlight w:val="none"/>
              </w:rPr>
              <w:t>4）统计分析，各职能部门负责人能在手机微信企业号上查看本部门负责的督办事项的所有情况，如总数，已办理和未办理数量等。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5" w:type="pct"/>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0</w:t>
            </w:r>
          </w:p>
        </w:tc>
        <w:tc>
          <w:tcPr>
            <w:tcW w:w="842" w:type="pct"/>
            <w:vAlign w:val="center"/>
          </w:tcPr>
          <w:p>
            <w:pPr>
              <w:adjustRightInd w:val="0"/>
              <w:snapToGrid w:val="0"/>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其它要求</w:t>
            </w:r>
          </w:p>
        </w:tc>
        <w:tc>
          <w:tcPr>
            <w:tcW w:w="3662" w:type="pct"/>
            <w:vAlign w:val="center"/>
          </w:tcPr>
          <w:p>
            <w:pPr>
              <w:spacing w:line="360" w:lineRule="auto"/>
              <w:rPr>
                <w:rFonts w:ascii="宋体" w:hAnsi="宋体" w:cs="宋体"/>
                <w:color w:val="000000"/>
                <w:szCs w:val="21"/>
                <w:highlight w:val="none"/>
              </w:rPr>
            </w:pPr>
            <w:r>
              <w:rPr>
                <w:rFonts w:hint="eastAsia" w:ascii="微软雅黑" w:hAnsi="微软雅黑" w:eastAsia="微软雅黑"/>
                <w:color w:val="333333"/>
                <w:highlight w:val="none"/>
              </w:rPr>
              <w:t> </w:t>
            </w:r>
            <w:r>
              <w:rPr>
                <w:rFonts w:ascii="宋体" w:hAnsi="宋体" w:cs="宋体"/>
                <w:color w:val="000000"/>
                <w:szCs w:val="21"/>
                <w:highlight w:val="none"/>
              </w:rPr>
              <w:t>20.1</w:t>
            </w:r>
            <w:r>
              <w:rPr>
                <w:rFonts w:hint="eastAsia" w:ascii="宋体" w:hAnsi="宋体" w:cs="宋体"/>
                <w:color w:val="000000"/>
                <w:szCs w:val="21"/>
                <w:highlight w:val="none"/>
              </w:rPr>
              <w:t>业务系统元数据标准要求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系统涉及到的字典表数据公共部分应以《南京信息工程大学信息标准规范》为准，未在该标准中界定的字典，应符合相应国标和行标，个性化部分应符合学校业务发展需要，并协助学校将其制定为校标。</w:t>
            </w:r>
          </w:p>
          <w:p>
            <w:pPr>
              <w:spacing w:line="360" w:lineRule="auto"/>
              <w:rPr>
                <w:rFonts w:ascii="宋体" w:hAnsi="宋体" w:cs="宋体"/>
                <w:color w:val="000000"/>
                <w:szCs w:val="21"/>
                <w:highlight w:val="none"/>
              </w:rPr>
            </w:pPr>
            <w:r>
              <w:rPr>
                <w:rFonts w:ascii="宋体" w:hAnsi="宋体" w:cs="宋体"/>
                <w:color w:val="000000"/>
                <w:szCs w:val="21"/>
                <w:highlight w:val="none"/>
              </w:rPr>
              <w:t>20.2</w:t>
            </w:r>
            <w:r>
              <w:rPr>
                <w:rFonts w:hint="eastAsia" w:ascii="宋体" w:hAnsi="宋体" w:cs="宋体"/>
                <w:color w:val="000000"/>
                <w:szCs w:val="21"/>
                <w:highlight w:val="none"/>
              </w:rPr>
              <w:t>系统对接</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须根据网络信息中心要求，与我校统一身份认证系统对接，不允许使用系统自带的登录界面，不允许使用第二套用户账号及密码。根据校方使用需求，对接校园信息门户、企业微信号、消息统一发送平台等平台。</w:t>
            </w:r>
          </w:p>
          <w:p>
            <w:pPr>
              <w:spacing w:line="360" w:lineRule="auto"/>
              <w:rPr>
                <w:rFonts w:ascii="宋体" w:hAnsi="宋体" w:cs="宋体"/>
                <w:color w:val="000000"/>
                <w:szCs w:val="21"/>
                <w:highlight w:val="none"/>
              </w:rPr>
            </w:pPr>
            <w:r>
              <w:rPr>
                <w:rFonts w:ascii="宋体" w:hAnsi="宋体" w:cs="宋体"/>
                <w:color w:val="000000"/>
                <w:szCs w:val="21"/>
                <w:highlight w:val="none"/>
              </w:rPr>
              <w:t>20.3</w:t>
            </w:r>
            <w:r>
              <w:rPr>
                <w:rFonts w:hint="eastAsia" w:ascii="宋体" w:hAnsi="宋体" w:cs="宋体"/>
                <w:color w:val="000000"/>
                <w:szCs w:val="21"/>
                <w:highlight w:val="none"/>
              </w:rPr>
              <w:t>数据共享</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系统产生的所有业务数据实现通过webservice/API接口或数据库方式对接，包括但不限于数据库表、视图、数据库字段说明。对于学校实时数据集成要求需开放相关实时数据API接口及数据库相关权限。</w:t>
            </w:r>
          </w:p>
          <w:p>
            <w:pPr>
              <w:spacing w:line="360" w:lineRule="auto"/>
              <w:rPr>
                <w:rFonts w:ascii="宋体" w:hAnsi="宋体" w:cs="宋体"/>
                <w:color w:val="000000"/>
                <w:szCs w:val="21"/>
                <w:highlight w:val="none"/>
              </w:rPr>
            </w:pPr>
            <w:r>
              <w:rPr>
                <w:rFonts w:ascii="宋体" w:hAnsi="宋体" w:cs="宋体"/>
                <w:color w:val="000000"/>
                <w:szCs w:val="21"/>
                <w:highlight w:val="none"/>
              </w:rPr>
              <w:t>20.4</w:t>
            </w:r>
            <w:r>
              <w:rPr>
                <w:rFonts w:hint="eastAsia" w:ascii="宋体" w:hAnsi="宋体" w:cs="宋体"/>
                <w:color w:val="000000"/>
                <w:szCs w:val="21"/>
                <w:highlight w:val="none"/>
              </w:rPr>
              <w:t>日志功能</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系统须按照等保2.0要求存储日志，须存储不少于6个月的日志，日志数据与业务数据一并推送校数据中心。</w:t>
            </w:r>
          </w:p>
          <w:p>
            <w:pPr>
              <w:spacing w:line="360" w:lineRule="auto"/>
              <w:rPr>
                <w:rFonts w:ascii="宋体" w:hAnsi="宋体" w:cs="宋体"/>
                <w:color w:val="000000"/>
                <w:szCs w:val="21"/>
                <w:highlight w:val="none"/>
              </w:rPr>
            </w:pPr>
            <w:r>
              <w:rPr>
                <w:rFonts w:ascii="宋体" w:hAnsi="宋体" w:cs="宋体"/>
                <w:color w:val="000000"/>
                <w:szCs w:val="21"/>
                <w:highlight w:val="none"/>
              </w:rPr>
              <w:t>20.5</w:t>
            </w:r>
            <w:r>
              <w:rPr>
                <w:rFonts w:hint="eastAsia" w:ascii="宋体" w:hAnsi="宋体" w:cs="宋体"/>
                <w:color w:val="000000"/>
                <w:szCs w:val="21"/>
                <w:highlight w:val="none"/>
              </w:rPr>
              <w:t>系统安全</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系统需要按照等保2.0和校方相关要求，配置SSL证书，完成系统安全管控和人员配置。</w:t>
            </w:r>
          </w:p>
          <w:p>
            <w:pPr>
              <w:spacing w:line="360" w:lineRule="auto"/>
              <w:rPr>
                <w:rFonts w:ascii="宋体" w:hAnsi="宋体" w:cs="宋体"/>
                <w:color w:val="000000"/>
                <w:szCs w:val="21"/>
                <w:highlight w:val="none"/>
              </w:rPr>
            </w:pPr>
            <w:r>
              <w:rPr>
                <w:rFonts w:ascii="宋体" w:hAnsi="宋体" w:cs="宋体"/>
                <w:color w:val="000000"/>
                <w:szCs w:val="21"/>
                <w:highlight w:val="none"/>
              </w:rPr>
              <w:t>20.6</w:t>
            </w:r>
            <w:r>
              <w:rPr>
                <w:rFonts w:hint="eastAsia" w:ascii="宋体" w:hAnsi="宋体" w:cs="宋体"/>
                <w:color w:val="000000"/>
                <w:szCs w:val="21"/>
                <w:highlight w:val="none"/>
              </w:rPr>
              <w:t>备案制度</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系统上线前需完成新系统上线安全检测，并出具检测报告；并配合网络信息中心按照相关法律和文件要求对信息系统进行定级备案。</w:t>
            </w:r>
          </w:p>
          <w:p>
            <w:pPr>
              <w:spacing w:line="360" w:lineRule="auto"/>
              <w:rPr>
                <w:rFonts w:ascii="宋体" w:hAnsi="宋体" w:cs="宋体"/>
                <w:color w:val="000000"/>
                <w:szCs w:val="21"/>
                <w:highlight w:val="none"/>
              </w:rPr>
            </w:pPr>
            <w:r>
              <w:rPr>
                <w:rFonts w:ascii="宋体" w:hAnsi="宋体" w:cs="宋体"/>
                <w:color w:val="000000"/>
                <w:szCs w:val="21"/>
                <w:highlight w:val="none"/>
              </w:rPr>
              <w:t>20.7</w:t>
            </w:r>
            <w:r>
              <w:rPr>
                <w:rFonts w:hint="eastAsia" w:ascii="宋体" w:hAnsi="宋体" w:cs="宋体"/>
                <w:color w:val="000000"/>
                <w:szCs w:val="21"/>
                <w:highlight w:val="none"/>
              </w:rPr>
              <w:t>业务系统文档要求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提供系统相关文档，包含但不限于需求说明书、系统详细设计报告、数据库设计说明书、用户手册、系统管理员手册、简明实用手册、系统验收报告、系统试运行报告、系统部署方案、系统应急预案等文档。</w:t>
            </w:r>
          </w:p>
          <w:p>
            <w:pPr>
              <w:spacing w:line="360" w:lineRule="auto"/>
              <w:rPr>
                <w:rFonts w:ascii="宋体" w:hAnsi="宋体" w:cs="宋体"/>
                <w:color w:val="000000"/>
                <w:szCs w:val="21"/>
                <w:highlight w:val="none"/>
              </w:rPr>
            </w:pPr>
            <w:r>
              <w:rPr>
                <w:rFonts w:ascii="宋体" w:hAnsi="宋体" w:cs="宋体"/>
                <w:color w:val="000000"/>
                <w:szCs w:val="21"/>
                <w:highlight w:val="none"/>
              </w:rPr>
              <w:t>20.8</w:t>
            </w:r>
            <w:r>
              <w:rPr>
                <w:rFonts w:hint="eastAsia" w:ascii="宋体" w:hAnsi="宋体" w:cs="宋体"/>
                <w:color w:val="000000"/>
                <w:szCs w:val="21"/>
                <w:highlight w:val="none"/>
              </w:rPr>
              <w:t>其它要求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质保期内按照校方实际需要能及时免费修改身份认证对接、数据共享对接、SSL证书升级等工作。</w:t>
            </w:r>
          </w:p>
          <w:p>
            <w:pPr>
              <w:spacing w:line="360" w:lineRule="auto"/>
              <w:rPr>
                <w:rFonts w:ascii="宋体" w:hAnsi="宋体" w:cs="宋体"/>
                <w:color w:val="000000"/>
                <w:szCs w:val="21"/>
                <w:highlight w:val="none"/>
              </w:rPr>
            </w:pPr>
            <w:r>
              <w:rPr>
                <w:rFonts w:ascii="宋体" w:hAnsi="宋体" w:cs="宋体"/>
                <w:color w:val="000000"/>
                <w:szCs w:val="21"/>
                <w:highlight w:val="none"/>
              </w:rPr>
              <w:t>20.9</w:t>
            </w:r>
            <w:r>
              <w:rPr>
                <w:rFonts w:hint="eastAsia" w:ascii="宋体" w:hAnsi="宋体" w:cs="宋体"/>
                <w:color w:val="000000"/>
                <w:szCs w:val="21"/>
                <w:highlight w:val="none"/>
              </w:rPr>
              <w:t xml:space="preserve"> 示范案例建设</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建设电子印章示范流程案例：在职证明、收入证明、职称聘任证明。</w:t>
            </w:r>
          </w:p>
        </w:tc>
      </w:tr>
    </w:tbl>
    <w:p>
      <w:pPr>
        <w:widowControl/>
        <w:jc w:val="left"/>
        <w:rPr>
          <w:b/>
          <w:bCs/>
          <w:szCs w:val="21"/>
          <w:highlight w:val="none"/>
          <w:lang w:bidi="ar"/>
        </w:rPr>
      </w:pPr>
      <w:r>
        <w:rPr>
          <w:rFonts w:hAnsi="宋体"/>
          <w:b/>
          <w:sz w:val="28"/>
          <w:szCs w:val="28"/>
          <w:highlight w:val="none"/>
        </w:rPr>
        <w:t>四</w:t>
      </w:r>
      <w:r>
        <w:rPr>
          <w:rFonts w:hint="eastAsia" w:hAnsi="宋体"/>
          <w:b/>
          <w:sz w:val="28"/>
          <w:szCs w:val="28"/>
          <w:highlight w:val="none"/>
        </w:rPr>
        <w:t>、</w:t>
      </w:r>
      <w:r>
        <w:rPr>
          <w:rFonts w:hint="eastAsia"/>
          <w:b/>
          <w:bCs/>
          <w:szCs w:val="21"/>
          <w:highlight w:val="none"/>
          <w:lang w:bidi="ar"/>
        </w:rPr>
        <w:t>工程实施服务要求</w:t>
      </w:r>
    </w:p>
    <w:p>
      <w:pPr>
        <w:spacing w:line="360" w:lineRule="auto"/>
        <w:rPr>
          <w:b/>
          <w:bCs/>
          <w:szCs w:val="21"/>
          <w:highlight w:val="none"/>
        </w:rPr>
      </w:pPr>
      <w:bookmarkStart w:id="16" w:name="_Toc38476659"/>
      <w:r>
        <w:rPr>
          <w:b/>
          <w:bCs/>
          <w:szCs w:val="21"/>
          <w:highlight w:val="none"/>
        </w:rPr>
        <w:t>4.1</w:t>
      </w:r>
      <w:r>
        <w:rPr>
          <w:rFonts w:hint="eastAsia"/>
          <w:b/>
          <w:bCs/>
          <w:szCs w:val="21"/>
          <w:highlight w:val="none"/>
        </w:rPr>
        <w:t>时间进度要求</w:t>
      </w:r>
      <w:bookmarkEnd w:id="16"/>
    </w:p>
    <w:p>
      <w:pPr>
        <w:spacing w:line="360" w:lineRule="auto"/>
        <w:ind w:firstLine="420" w:firstLineChars="200"/>
        <w:rPr>
          <w:szCs w:val="21"/>
          <w:highlight w:val="none"/>
          <w:lang w:val="zh-CN"/>
        </w:rPr>
      </w:pPr>
      <w:r>
        <w:rPr>
          <w:rFonts w:hint="eastAsia"/>
          <w:szCs w:val="21"/>
          <w:highlight w:val="none"/>
          <w:lang w:val="zh-CN"/>
        </w:rPr>
        <w:t>本次项目须严格按工期部署完成，并达到采购人的要求。投标方需要在投标文件中给出预实施工期进度表。采购人要求签订合同后</w:t>
      </w:r>
      <w:r>
        <w:rPr>
          <w:szCs w:val="21"/>
          <w:highlight w:val="none"/>
          <w:lang w:val="zh-CN"/>
        </w:rPr>
        <w:t>2</w:t>
      </w:r>
      <w:r>
        <w:rPr>
          <w:rFonts w:hint="eastAsia"/>
          <w:szCs w:val="21"/>
          <w:highlight w:val="none"/>
          <w:lang w:val="zh-CN"/>
        </w:rPr>
        <w:t>个月内完成项目建设工作。</w:t>
      </w:r>
    </w:p>
    <w:p>
      <w:pPr>
        <w:spacing w:line="360" w:lineRule="auto"/>
        <w:ind w:firstLine="420" w:firstLineChars="200"/>
        <w:rPr>
          <w:szCs w:val="21"/>
          <w:highlight w:val="none"/>
          <w:lang w:val="zh-CN"/>
        </w:rPr>
      </w:pPr>
      <w:r>
        <w:rPr>
          <w:rFonts w:hint="eastAsia"/>
          <w:szCs w:val="21"/>
          <w:highlight w:val="none"/>
          <w:lang w:val="zh-CN"/>
        </w:rPr>
        <w:t>到货及安装地点：南京信息工程大学校内。运费、装卸费等各种费用由中标人自行承担。</w:t>
      </w:r>
    </w:p>
    <w:p>
      <w:pPr>
        <w:spacing w:line="360" w:lineRule="auto"/>
        <w:rPr>
          <w:b/>
          <w:bCs/>
          <w:szCs w:val="21"/>
          <w:highlight w:val="none"/>
        </w:rPr>
      </w:pPr>
      <w:bookmarkStart w:id="17" w:name="_Toc38476660"/>
      <w:r>
        <w:rPr>
          <w:b/>
          <w:bCs/>
          <w:szCs w:val="21"/>
          <w:highlight w:val="none"/>
        </w:rPr>
        <w:t>4.2</w:t>
      </w:r>
      <w:r>
        <w:rPr>
          <w:rFonts w:hint="eastAsia"/>
          <w:b/>
          <w:bCs/>
          <w:szCs w:val="21"/>
          <w:highlight w:val="none"/>
        </w:rPr>
        <w:t>实施方案</w:t>
      </w:r>
      <w:bookmarkEnd w:id="17"/>
    </w:p>
    <w:p>
      <w:pPr>
        <w:spacing w:line="360" w:lineRule="auto"/>
        <w:ind w:firstLine="420" w:firstLineChars="200"/>
        <w:rPr>
          <w:szCs w:val="21"/>
          <w:highlight w:val="none"/>
          <w:lang w:val="zh-CN"/>
        </w:rPr>
      </w:pPr>
      <w:r>
        <w:rPr>
          <w:rFonts w:hint="eastAsia"/>
          <w:szCs w:val="21"/>
          <w:highlight w:val="none"/>
          <w:lang w:val="zh-CN"/>
        </w:rPr>
        <w:t>该项目规模较大，系统需求复杂，涉及部门、环节多，为了保证实施过程顺利有序，投标人必须作出详尽慎密的实施方案，主要内容应包括以下几个方面：</w:t>
      </w:r>
    </w:p>
    <w:p>
      <w:pPr>
        <w:spacing w:line="360" w:lineRule="auto"/>
        <w:rPr>
          <w:b/>
          <w:bCs/>
          <w:szCs w:val="21"/>
          <w:highlight w:val="none"/>
          <w:lang w:val="zh-CN"/>
        </w:rPr>
      </w:pPr>
      <w:r>
        <w:rPr>
          <w:b/>
          <w:bCs/>
          <w:szCs w:val="21"/>
          <w:highlight w:val="none"/>
        </w:rPr>
        <w:t>4.2.1</w:t>
      </w:r>
      <w:r>
        <w:rPr>
          <w:rFonts w:hint="eastAsia"/>
          <w:b/>
          <w:bCs/>
          <w:szCs w:val="21"/>
          <w:highlight w:val="none"/>
          <w:lang w:val="zh-CN"/>
        </w:rPr>
        <w:t>组织架构与职责</w:t>
      </w:r>
    </w:p>
    <w:p>
      <w:pPr>
        <w:spacing w:line="360" w:lineRule="auto"/>
        <w:ind w:firstLine="420" w:firstLineChars="200"/>
        <w:rPr>
          <w:szCs w:val="21"/>
          <w:highlight w:val="none"/>
          <w:lang w:val="zh-CN"/>
        </w:rPr>
      </w:pPr>
      <w:r>
        <w:rPr>
          <w:szCs w:val="21"/>
          <w:highlight w:val="none"/>
          <w:lang w:val="zh-CN"/>
        </w:rPr>
        <w:t>1</w:t>
      </w:r>
      <w:r>
        <w:rPr>
          <w:rFonts w:hint="eastAsia"/>
          <w:szCs w:val="21"/>
          <w:highlight w:val="none"/>
          <w:lang w:val="zh-CN"/>
        </w:rPr>
        <w:t>、描述项目成员的组成，以及成员的职责。</w:t>
      </w:r>
    </w:p>
    <w:p>
      <w:pPr>
        <w:spacing w:line="360" w:lineRule="auto"/>
        <w:ind w:firstLine="420" w:firstLineChars="200"/>
        <w:rPr>
          <w:szCs w:val="21"/>
          <w:highlight w:val="none"/>
          <w:lang w:val="zh-CN"/>
        </w:rPr>
      </w:pPr>
      <w:r>
        <w:rPr>
          <w:szCs w:val="21"/>
          <w:highlight w:val="none"/>
          <w:lang w:val="zh-CN"/>
        </w:rPr>
        <w:t>2</w:t>
      </w:r>
      <w:r>
        <w:rPr>
          <w:rFonts w:hint="eastAsia"/>
          <w:szCs w:val="21"/>
          <w:highlight w:val="none"/>
          <w:lang w:val="zh-CN"/>
        </w:rPr>
        <w:t>、提供项目经理一人，负责全程跟踪项目的开发与实施，直至该项目验收。</w:t>
      </w:r>
    </w:p>
    <w:p>
      <w:pPr>
        <w:spacing w:line="360" w:lineRule="auto"/>
        <w:ind w:firstLine="420" w:firstLineChars="200"/>
        <w:rPr>
          <w:szCs w:val="21"/>
          <w:highlight w:val="none"/>
          <w:lang w:val="zh-CN"/>
        </w:rPr>
      </w:pPr>
      <w:r>
        <w:rPr>
          <w:szCs w:val="21"/>
          <w:highlight w:val="none"/>
          <w:lang w:val="zh-CN"/>
        </w:rPr>
        <w:t>3</w:t>
      </w:r>
      <w:r>
        <w:rPr>
          <w:rFonts w:hint="eastAsia"/>
          <w:szCs w:val="21"/>
          <w:highlight w:val="none"/>
          <w:lang w:val="zh-CN"/>
        </w:rPr>
        <w:t>、项目组其他实施人员应满足项目开发和实施的需要，项目组成人员应</w:t>
      </w:r>
      <w:r>
        <w:rPr>
          <w:rFonts w:hint="eastAsia"/>
          <w:b/>
          <w:bCs/>
          <w:szCs w:val="21"/>
          <w:highlight w:val="none"/>
          <w:lang w:val="zh-CN"/>
        </w:rPr>
        <w:t>不少于</w:t>
      </w:r>
      <w:r>
        <w:rPr>
          <w:b/>
          <w:bCs/>
          <w:szCs w:val="21"/>
          <w:highlight w:val="none"/>
        </w:rPr>
        <w:t>4</w:t>
      </w:r>
      <w:r>
        <w:rPr>
          <w:rFonts w:hint="eastAsia"/>
          <w:b/>
          <w:bCs/>
          <w:szCs w:val="21"/>
          <w:highlight w:val="none"/>
          <w:lang w:val="zh-CN"/>
        </w:rPr>
        <w:t>人</w:t>
      </w:r>
    </w:p>
    <w:p>
      <w:pPr>
        <w:spacing w:line="360" w:lineRule="auto"/>
        <w:ind w:firstLine="420" w:firstLineChars="200"/>
        <w:rPr>
          <w:szCs w:val="21"/>
          <w:highlight w:val="none"/>
          <w:lang w:val="zh-CN"/>
        </w:rPr>
      </w:pPr>
      <w:r>
        <w:rPr>
          <w:szCs w:val="21"/>
          <w:highlight w:val="none"/>
          <w:lang w:val="zh-CN"/>
        </w:rPr>
        <w:t>4</w:t>
      </w:r>
      <w:r>
        <w:rPr>
          <w:rFonts w:hint="eastAsia"/>
          <w:szCs w:val="21"/>
          <w:highlight w:val="none"/>
          <w:lang w:val="zh-CN"/>
        </w:rPr>
        <w:t>、项目实施期内，至少</w:t>
      </w:r>
      <w:r>
        <w:rPr>
          <w:szCs w:val="21"/>
          <w:highlight w:val="none"/>
          <w:lang w:val="zh-CN"/>
        </w:rPr>
        <w:t>1</w:t>
      </w:r>
      <w:r>
        <w:rPr>
          <w:rFonts w:hint="eastAsia"/>
          <w:szCs w:val="21"/>
          <w:highlight w:val="none"/>
          <w:lang w:val="zh-CN"/>
        </w:rPr>
        <w:t>人（项目经理）驻场。</w:t>
      </w:r>
    </w:p>
    <w:p>
      <w:pPr>
        <w:spacing w:line="360" w:lineRule="auto"/>
        <w:rPr>
          <w:b/>
          <w:bCs/>
          <w:szCs w:val="21"/>
          <w:highlight w:val="none"/>
          <w:lang w:val="zh-CN"/>
        </w:rPr>
      </w:pPr>
      <w:r>
        <w:rPr>
          <w:b/>
          <w:bCs/>
          <w:szCs w:val="21"/>
          <w:highlight w:val="none"/>
        </w:rPr>
        <w:t>4.2.2</w:t>
      </w:r>
      <w:r>
        <w:rPr>
          <w:rFonts w:hint="eastAsia"/>
          <w:b/>
          <w:bCs/>
          <w:szCs w:val="21"/>
          <w:highlight w:val="none"/>
          <w:lang w:val="zh-CN"/>
        </w:rPr>
        <w:t>实施阶段划分</w:t>
      </w:r>
    </w:p>
    <w:p>
      <w:pPr>
        <w:spacing w:line="360" w:lineRule="auto"/>
        <w:ind w:firstLine="420" w:firstLineChars="200"/>
        <w:rPr>
          <w:szCs w:val="21"/>
          <w:highlight w:val="none"/>
          <w:lang w:val="zh-CN"/>
        </w:rPr>
      </w:pPr>
      <w:r>
        <w:rPr>
          <w:rFonts w:hint="eastAsia"/>
          <w:szCs w:val="21"/>
          <w:highlight w:val="none"/>
          <w:lang w:val="zh-CN"/>
        </w:rPr>
        <w:t>描述各个实施阶段的工作范围、内容、人力投入、过程、责任、交付成果等。</w:t>
      </w:r>
    </w:p>
    <w:p>
      <w:pPr>
        <w:spacing w:line="360" w:lineRule="auto"/>
        <w:rPr>
          <w:b/>
          <w:bCs/>
          <w:szCs w:val="21"/>
          <w:highlight w:val="none"/>
          <w:lang w:val="zh-CN"/>
        </w:rPr>
      </w:pPr>
      <w:r>
        <w:rPr>
          <w:b/>
          <w:bCs/>
          <w:szCs w:val="21"/>
          <w:highlight w:val="none"/>
        </w:rPr>
        <w:t>4.2.3</w:t>
      </w:r>
      <w:r>
        <w:rPr>
          <w:rFonts w:hint="eastAsia"/>
          <w:b/>
          <w:bCs/>
          <w:szCs w:val="21"/>
          <w:highlight w:val="none"/>
          <w:lang w:val="zh-CN"/>
        </w:rPr>
        <w:t>项目管理要求</w:t>
      </w:r>
    </w:p>
    <w:p>
      <w:pPr>
        <w:spacing w:line="360" w:lineRule="auto"/>
        <w:ind w:firstLine="420" w:firstLineChars="200"/>
        <w:rPr>
          <w:szCs w:val="21"/>
          <w:highlight w:val="none"/>
          <w:lang w:val="zh-CN"/>
        </w:rPr>
      </w:pPr>
      <w:r>
        <w:rPr>
          <w:rFonts w:hint="eastAsia"/>
          <w:szCs w:val="21"/>
          <w:highlight w:val="none"/>
          <w:lang w:val="zh-CN"/>
        </w:rPr>
        <w:t>投标方必须提出对项目的建设进行科学严格的管理方案与措施，保证项目全面顺利实施。</w:t>
      </w:r>
    </w:p>
    <w:p>
      <w:pPr>
        <w:spacing w:line="360" w:lineRule="auto"/>
        <w:rPr>
          <w:b/>
          <w:bCs/>
          <w:szCs w:val="21"/>
          <w:highlight w:val="none"/>
          <w:lang w:val="zh-CN"/>
        </w:rPr>
      </w:pPr>
      <w:r>
        <w:rPr>
          <w:b/>
          <w:bCs/>
          <w:szCs w:val="21"/>
          <w:highlight w:val="none"/>
        </w:rPr>
        <w:t>4.2.4</w:t>
      </w:r>
      <w:r>
        <w:rPr>
          <w:rFonts w:hint="eastAsia"/>
          <w:b/>
          <w:bCs/>
          <w:szCs w:val="21"/>
          <w:highlight w:val="none"/>
          <w:lang w:val="zh-CN"/>
        </w:rPr>
        <w:t>项目配置管理</w:t>
      </w:r>
    </w:p>
    <w:p>
      <w:pPr>
        <w:spacing w:line="360" w:lineRule="auto"/>
        <w:ind w:firstLine="420" w:firstLineChars="200"/>
        <w:rPr>
          <w:szCs w:val="21"/>
          <w:highlight w:val="none"/>
          <w:lang w:val="zh-CN"/>
        </w:rPr>
      </w:pPr>
      <w:r>
        <w:rPr>
          <w:rFonts w:hint="eastAsia"/>
          <w:szCs w:val="21"/>
          <w:highlight w:val="none"/>
          <w:lang w:val="zh-CN"/>
        </w:rPr>
        <w:t>在项目的建设过程中以及交付使用后，会产生大量文档和程序，如：需求分析说明、设计说明、可执行码、用户手册、测试用例、测试结果等技术性文档以及合同、计划、会议记录、报告等管理文档，而且文档的版本在不断变迁和修改中，势必产生一个庞大、动态的信息集合。因此，必须建设相应的配置管理系统，通过一系列技术、方法和手段来维护产品的历史，鉴别和定位产品独有的版本，在产品开发和发布阶段控制变化，制定规范的配置管理工作计划和流程，沟通交流配置管理工作情况，从而使管理制度化、有效减少重复性工作、保证产品的质量和效率和系统的后续升级和维护。</w:t>
      </w:r>
    </w:p>
    <w:p>
      <w:pPr>
        <w:spacing w:line="360" w:lineRule="auto"/>
        <w:rPr>
          <w:b/>
          <w:bCs/>
          <w:szCs w:val="21"/>
          <w:highlight w:val="none"/>
          <w:lang w:val="zh-CN"/>
        </w:rPr>
      </w:pPr>
      <w:r>
        <w:rPr>
          <w:b/>
          <w:bCs/>
          <w:szCs w:val="21"/>
          <w:highlight w:val="none"/>
        </w:rPr>
        <w:t>4.2.5</w:t>
      </w:r>
      <w:r>
        <w:rPr>
          <w:rFonts w:hint="eastAsia"/>
          <w:b/>
          <w:bCs/>
          <w:szCs w:val="21"/>
          <w:highlight w:val="none"/>
          <w:lang w:val="zh-CN"/>
        </w:rPr>
        <w:t>项目管理规范和手段</w:t>
      </w:r>
    </w:p>
    <w:p>
      <w:pPr>
        <w:spacing w:line="360" w:lineRule="auto"/>
        <w:ind w:firstLine="420" w:firstLineChars="200"/>
        <w:rPr>
          <w:szCs w:val="21"/>
          <w:highlight w:val="none"/>
          <w:lang w:val="zh-CN"/>
        </w:rPr>
      </w:pPr>
      <w:r>
        <w:rPr>
          <w:rFonts w:hint="eastAsia"/>
          <w:szCs w:val="21"/>
          <w:highlight w:val="none"/>
          <w:lang w:val="zh-CN"/>
        </w:rPr>
        <w:t>根据项目的实施方案，在实施过程中，为了保证用户方、开发方等各方能够对项目建设实施进行监控，及时发现和解决的问题，必须建立相应的项目管理规范，包括项目执行监控流程、执行监控的方法、执行监控的责任等，使管理和监控工作流程化、规范化，管理和监控工作责任明确。</w:t>
      </w:r>
    </w:p>
    <w:p>
      <w:pPr>
        <w:spacing w:line="360" w:lineRule="auto"/>
        <w:rPr>
          <w:b/>
          <w:bCs/>
          <w:szCs w:val="21"/>
          <w:highlight w:val="none"/>
          <w:lang w:val="zh-CN"/>
        </w:rPr>
      </w:pPr>
      <w:r>
        <w:rPr>
          <w:b/>
          <w:bCs/>
          <w:szCs w:val="21"/>
          <w:highlight w:val="none"/>
        </w:rPr>
        <w:t>4.2.6</w:t>
      </w:r>
      <w:r>
        <w:rPr>
          <w:rFonts w:hint="eastAsia"/>
          <w:b/>
          <w:bCs/>
          <w:szCs w:val="21"/>
          <w:highlight w:val="none"/>
          <w:lang w:val="zh-CN"/>
        </w:rPr>
        <w:t>项目管理控制</w:t>
      </w:r>
    </w:p>
    <w:p>
      <w:pPr>
        <w:spacing w:line="360" w:lineRule="auto"/>
        <w:ind w:firstLine="420" w:firstLineChars="200"/>
        <w:rPr>
          <w:szCs w:val="21"/>
          <w:highlight w:val="none"/>
          <w:lang w:val="zh-CN"/>
        </w:rPr>
      </w:pPr>
      <w:r>
        <w:rPr>
          <w:rFonts w:hint="eastAsia"/>
          <w:szCs w:val="21"/>
          <w:highlight w:val="none"/>
          <w:lang w:val="zh-CN"/>
        </w:rPr>
        <w:t>项目的管理控制包含多个方面：项目范围、风险、进度、质量、变更管理控制，贯穿项目开发建设的始终，必须做到对项目建设范围准确定义，一旦范围发生变更，要有相应的变更控制和应对措施。</w:t>
      </w:r>
    </w:p>
    <w:p>
      <w:pPr>
        <w:spacing w:line="360" w:lineRule="auto"/>
        <w:rPr>
          <w:b/>
          <w:bCs/>
          <w:szCs w:val="21"/>
          <w:highlight w:val="none"/>
          <w:lang w:val="zh-CN"/>
        </w:rPr>
      </w:pPr>
      <w:r>
        <w:rPr>
          <w:b/>
          <w:bCs/>
          <w:szCs w:val="21"/>
          <w:highlight w:val="none"/>
        </w:rPr>
        <w:t>4.2.7</w:t>
      </w:r>
      <w:r>
        <w:rPr>
          <w:rFonts w:hint="eastAsia"/>
          <w:b/>
          <w:bCs/>
          <w:szCs w:val="21"/>
          <w:highlight w:val="none"/>
          <w:lang w:val="zh-CN"/>
        </w:rPr>
        <w:t>风险管理</w:t>
      </w:r>
    </w:p>
    <w:p>
      <w:pPr>
        <w:spacing w:line="360" w:lineRule="auto"/>
        <w:ind w:firstLine="420" w:firstLineChars="200"/>
        <w:rPr>
          <w:szCs w:val="21"/>
          <w:highlight w:val="none"/>
          <w:lang w:val="zh-CN"/>
        </w:rPr>
      </w:pPr>
      <w:r>
        <w:rPr>
          <w:rFonts w:hint="eastAsia"/>
          <w:szCs w:val="21"/>
          <w:highlight w:val="none"/>
          <w:lang w:val="zh-CN"/>
        </w:rPr>
        <w:t>项目风险管理是对项目风险从识别到分析到应对措施的一个过程，包括风险识别、风险量化、风险对策、风险对策实施控制四个方面。项目在实施过程中会出项各种各样的风险，必须做到充分、有效识别风险，应对风险和控制风险，在项目实施之初必须制定风险预测和规避风险的对策。</w:t>
      </w:r>
    </w:p>
    <w:p>
      <w:pPr>
        <w:spacing w:line="360" w:lineRule="auto"/>
        <w:rPr>
          <w:b/>
          <w:bCs/>
          <w:szCs w:val="21"/>
          <w:highlight w:val="none"/>
        </w:rPr>
      </w:pPr>
      <w:bookmarkStart w:id="18" w:name="_Toc38476662"/>
      <w:r>
        <w:rPr>
          <w:b/>
          <w:bCs/>
          <w:szCs w:val="21"/>
          <w:highlight w:val="none"/>
        </w:rPr>
        <w:t>4.3</w:t>
      </w:r>
      <w:r>
        <w:rPr>
          <w:rFonts w:hint="eastAsia"/>
          <w:b/>
          <w:bCs/>
          <w:szCs w:val="21"/>
          <w:highlight w:val="none"/>
        </w:rPr>
        <w:t>验收交付要求</w:t>
      </w:r>
      <w:bookmarkEnd w:id="18"/>
    </w:p>
    <w:p>
      <w:pPr>
        <w:spacing w:line="360" w:lineRule="auto"/>
        <w:ind w:firstLine="420" w:firstLineChars="200"/>
        <w:rPr>
          <w:szCs w:val="21"/>
          <w:highlight w:val="none"/>
          <w:lang w:val="zh-CN"/>
        </w:rPr>
      </w:pPr>
      <w:r>
        <w:rPr>
          <w:rFonts w:hint="eastAsia"/>
          <w:szCs w:val="21"/>
          <w:highlight w:val="none"/>
          <w:lang w:val="zh-CN"/>
        </w:rPr>
        <w:t>在本期项目的开发过程中和交付使用后，要求将各个阶段产生的全面、规范的成果和文档资料交付给采购方，而且需要提供明确的交付清单。同时，成果和文档资料必须符合软件工程的相关要求。要交付的成果和文档资料需要包括以下部分：</w:t>
      </w:r>
    </w:p>
    <w:p>
      <w:pPr>
        <w:spacing w:line="360" w:lineRule="auto"/>
        <w:ind w:firstLine="420" w:firstLineChars="200"/>
        <w:rPr>
          <w:szCs w:val="21"/>
          <w:highlight w:val="none"/>
          <w:lang w:val="zh-CN"/>
        </w:rPr>
      </w:pPr>
      <w:r>
        <w:rPr>
          <w:szCs w:val="21"/>
          <w:highlight w:val="none"/>
          <w:lang w:val="zh-CN"/>
        </w:rPr>
        <w:t>1</w:t>
      </w:r>
      <w:r>
        <w:rPr>
          <w:rFonts w:hint="eastAsia"/>
          <w:szCs w:val="21"/>
          <w:highlight w:val="none"/>
          <w:lang w:val="zh-CN"/>
        </w:rPr>
        <w:t>、可运行的系统</w:t>
      </w:r>
    </w:p>
    <w:p>
      <w:pPr>
        <w:spacing w:line="360" w:lineRule="auto"/>
        <w:ind w:firstLine="420" w:firstLineChars="200"/>
        <w:rPr>
          <w:szCs w:val="21"/>
          <w:highlight w:val="none"/>
          <w:lang w:val="zh-CN"/>
        </w:rPr>
      </w:pPr>
      <w:r>
        <w:rPr>
          <w:szCs w:val="21"/>
          <w:highlight w:val="none"/>
          <w:lang w:val="zh-CN"/>
        </w:rPr>
        <w:t>2</w:t>
      </w:r>
      <w:r>
        <w:rPr>
          <w:rFonts w:hint="eastAsia"/>
          <w:szCs w:val="21"/>
          <w:highlight w:val="none"/>
          <w:lang w:val="zh-CN"/>
        </w:rPr>
        <w:t>、技术文档</w:t>
      </w:r>
    </w:p>
    <w:p>
      <w:pPr>
        <w:spacing w:line="360" w:lineRule="auto"/>
        <w:ind w:firstLine="420" w:firstLineChars="200"/>
        <w:rPr>
          <w:szCs w:val="21"/>
          <w:highlight w:val="none"/>
          <w:lang w:val="zh-CN"/>
        </w:rPr>
      </w:pPr>
      <w:r>
        <w:rPr>
          <w:rFonts w:hint="eastAsia"/>
          <w:szCs w:val="21"/>
          <w:highlight w:val="none"/>
          <w:lang w:val="zh-CN"/>
        </w:rPr>
        <w:t>包括项目开发中的各种技术文档，如开发环境配置说明、软件工具清单、需求分析说明、变更说明、系统设计说明、用户手册、测试用例、测试结果、系统维护说明、系统培训资料以及有关系统接口的技术说明等。</w:t>
      </w:r>
    </w:p>
    <w:p>
      <w:pPr>
        <w:spacing w:line="360" w:lineRule="auto"/>
        <w:ind w:firstLine="420" w:firstLineChars="200"/>
        <w:rPr>
          <w:szCs w:val="21"/>
          <w:highlight w:val="none"/>
          <w:lang w:val="zh-CN"/>
        </w:rPr>
      </w:pPr>
      <w:r>
        <w:rPr>
          <w:szCs w:val="21"/>
          <w:highlight w:val="none"/>
          <w:lang w:val="zh-CN"/>
        </w:rPr>
        <w:t>3</w:t>
      </w:r>
      <w:r>
        <w:rPr>
          <w:rFonts w:hint="eastAsia"/>
          <w:szCs w:val="21"/>
          <w:highlight w:val="none"/>
          <w:lang w:val="zh-CN"/>
        </w:rPr>
        <w:t>、管理文档</w:t>
      </w:r>
    </w:p>
    <w:p>
      <w:pPr>
        <w:spacing w:line="360" w:lineRule="auto"/>
        <w:ind w:firstLine="420" w:firstLineChars="200"/>
        <w:rPr>
          <w:szCs w:val="21"/>
          <w:highlight w:val="none"/>
          <w:lang w:val="zh-CN"/>
        </w:rPr>
      </w:pPr>
      <w:r>
        <w:rPr>
          <w:rFonts w:hint="eastAsia"/>
          <w:szCs w:val="21"/>
          <w:highlight w:val="none"/>
          <w:lang w:val="zh-CN"/>
        </w:rPr>
        <w:t>包括项目开发中的一些工作文档，如，计划、报告、讨论纲要、会议记录等。</w:t>
      </w:r>
    </w:p>
    <w:p>
      <w:pPr>
        <w:spacing w:line="360" w:lineRule="auto"/>
        <w:rPr>
          <w:b/>
          <w:bCs/>
          <w:szCs w:val="21"/>
          <w:highlight w:val="none"/>
        </w:rPr>
      </w:pPr>
      <w:bookmarkStart w:id="19" w:name="_Toc38476663"/>
      <w:r>
        <w:rPr>
          <w:b/>
          <w:bCs/>
          <w:szCs w:val="21"/>
          <w:highlight w:val="none"/>
        </w:rPr>
        <w:t>4.4</w:t>
      </w:r>
      <w:r>
        <w:rPr>
          <w:rFonts w:hint="eastAsia"/>
          <w:b/>
          <w:bCs/>
          <w:szCs w:val="21"/>
          <w:highlight w:val="none"/>
        </w:rPr>
        <w:t>培训要求</w:t>
      </w:r>
      <w:bookmarkEnd w:id="19"/>
    </w:p>
    <w:p>
      <w:pPr>
        <w:spacing w:line="360" w:lineRule="auto"/>
        <w:ind w:firstLine="420" w:firstLineChars="200"/>
        <w:rPr>
          <w:szCs w:val="21"/>
          <w:highlight w:val="none"/>
          <w:lang w:val="zh-CN"/>
        </w:rPr>
      </w:pPr>
      <w:r>
        <w:rPr>
          <w:szCs w:val="21"/>
          <w:highlight w:val="none"/>
          <w:lang w:val="zh-CN"/>
        </w:rPr>
        <w:t>1</w:t>
      </w:r>
      <w:r>
        <w:rPr>
          <w:rFonts w:hint="eastAsia"/>
          <w:szCs w:val="21"/>
          <w:highlight w:val="none"/>
          <w:lang w:val="zh-CN"/>
        </w:rPr>
        <w:t>、在项目合同中将具体规定培训内容、培训时间和培训名额等。</w:t>
      </w:r>
    </w:p>
    <w:p>
      <w:pPr>
        <w:spacing w:line="360" w:lineRule="auto"/>
        <w:ind w:firstLine="420" w:firstLineChars="200"/>
        <w:rPr>
          <w:szCs w:val="21"/>
          <w:highlight w:val="none"/>
          <w:lang w:val="zh-CN"/>
        </w:rPr>
      </w:pPr>
      <w:r>
        <w:rPr>
          <w:szCs w:val="21"/>
          <w:highlight w:val="none"/>
          <w:lang w:val="zh-CN"/>
        </w:rPr>
        <w:t>2</w:t>
      </w:r>
      <w:r>
        <w:rPr>
          <w:rFonts w:hint="eastAsia"/>
          <w:szCs w:val="21"/>
          <w:highlight w:val="none"/>
          <w:lang w:val="zh-CN"/>
        </w:rPr>
        <w:t>、投标人派出的培训教员应具有丰富的同类课程的教学经验和应用经验；所有的培训教员必须用中文授课；投标人必须为所有被培训人员提供培训用文字资料和讲义等相关材料。</w:t>
      </w:r>
    </w:p>
    <w:p>
      <w:pPr>
        <w:spacing w:line="360" w:lineRule="auto"/>
        <w:ind w:firstLine="420" w:firstLineChars="200"/>
        <w:rPr>
          <w:szCs w:val="21"/>
          <w:highlight w:val="none"/>
          <w:lang w:val="zh-CN"/>
        </w:rPr>
      </w:pPr>
      <w:r>
        <w:rPr>
          <w:szCs w:val="21"/>
          <w:highlight w:val="none"/>
          <w:lang w:val="zh-CN"/>
        </w:rPr>
        <w:t>3</w:t>
      </w:r>
      <w:r>
        <w:rPr>
          <w:rFonts w:hint="eastAsia"/>
          <w:szCs w:val="21"/>
          <w:highlight w:val="none"/>
          <w:lang w:val="zh-CN"/>
        </w:rPr>
        <w:t>、投标人应按合同规定安排培训时间和培训名额，在实施过程中，针对系统管理人员提供培训，保证培训的效果，让系统管理人员都能熟练掌握系统的使用方法。</w:t>
      </w:r>
    </w:p>
    <w:p>
      <w:pPr>
        <w:spacing w:line="360" w:lineRule="auto"/>
        <w:rPr>
          <w:b/>
          <w:bCs/>
          <w:szCs w:val="21"/>
          <w:highlight w:val="none"/>
          <w:lang w:bidi="ar"/>
        </w:rPr>
      </w:pPr>
      <w:bookmarkStart w:id="20" w:name="_Toc38476664"/>
      <w:r>
        <w:rPr>
          <w:b/>
          <w:bCs/>
          <w:szCs w:val="21"/>
          <w:highlight w:val="none"/>
          <w:lang w:bidi="ar"/>
        </w:rPr>
        <w:t>五</w:t>
      </w:r>
      <w:r>
        <w:rPr>
          <w:rFonts w:hint="eastAsia"/>
          <w:b/>
          <w:bCs/>
          <w:szCs w:val="21"/>
          <w:highlight w:val="none"/>
          <w:lang w:bidi="ar"/>
        </w:rPr>
        <w:t>、售后服务要求</w:t>
      </w:r>
      <w:bookmarkEnd w:id="20"/>
    </w:p>
    <w:p>
      <w:pPr>
        <w:spacing w:line="360" w:lineRule="auto"/>
        <w:ind w:firstLine="420" w:firstLineChars="200"/>
        <w:rPr>
          <w:szCs w:val="21"/>
          <w:highlight w:val="none"/>
          <w:lang w:val="zh-CN"/>
        </w:rPr>
      </w:pPr>
      <w:r>
        <w:rPr>
          <w:szCs w:val="21"/>
          <w:highlight w:val="none"/>
          <w:lang w:val="zh-CN"/>
        </w:rPr>
        <w:t>5.1.</w:t>
      </w:r>
      <w:r>
        <w:rPr>
          <w:rFonts w:hint="eastAsia"/>
          <w:szCs w:val="21"/>
          <w:highlight w:val="none"/>
          <w:lang w:val="zh-CN"/>
        </w:rPr>
        <w:t>投标人应具备完整的售后服务保障能力，包含（但不限于）以下服务要求：</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1</w:t>
      </w:r>
      <w:r>
        <w:rPr>
          <w:rFonts w:hint="eastAsia"/>
          <w:szCs w:val="21"/>
          <w:highlight w:val="none"/>
          <w:lang w:val="zh-CN"/>
        </w:rPr>
        <w:t>）提供自系统验收之日起</w:t>
      </w:r>
      <w:r>
        <w:rPr>
          <w:szCs w:val="21"/>
          <w:highlight w:val="none"/>
          <w:lang w:val="zh-CN"/>
        </w:rPr>
        <w:t>三</w:t>
      </w:r>
      <w:r>
        <w:rPr>
          <w:rFonts w:hint="eastAsia"/>
          <w:szCs w:val="21"/>
          <w:highlight w:val="none"/>
          <w:lang w:val="zh-CN"/>
        </w:rPr>
        <w:t>年的免费售后服务；</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2</w:t>
      </w:r>
      <w:r>
        <w:rPr>
          <w:rFonts w:hint="eastAsia"/>
          <w:szCs w:val="21"/>
          <w:highlight w:val="none"/>
          <w:lang w:val="zh-CN"/>
        </w:rPr>
        <w:t>）须明确服务响应级别，并出具详细的方案和事件升级策略；</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3</w:t>
      </w:r>
      <w:r>
        <w:rPr>
          <w:rFonts w:hint="eastAsia"/>
          <w:szCs w:val="21"/>
          <w:highlight w:val="none"/>
          <w:lang w:val="zh-CN"/>
        </w:rPr>
        <w:t>）须提供多种服务受理通道，包括但不限于线上、电话、邮件等；</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4</w:t>
      </w:r>
      <w:r>
        <w:rPr>
          <w:rFonts w:hint="eastAsia"/>
          <w:szCs w:val="21"/>
          <w:highlight w:val="none"/>
          <w:lang w:val="zh-CN"/>
        </w:rPr>
        <w:t>）须提供详细的线上服务流程说明，线上报修须能够做到问题登记、问题处理、加急处理、问题关闭与评价，常见问题案例库，消息通知等。要求提供服务网站地址及各个模块的功能截图或功能演示；</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5</w:t>
      </w:r>
      <w:r>
        <w:rPr>
          <w:rFonts w:hint="eastAsia"/>
          <w:szCs w:val="21"/>
          <w:highlight w:val="none"/>
          <w:lang w:val="zh-CN"/>
        </w:rPr>
        <w:t>）要求在服务响应过程中，须有运营专员参与，全程跟踪服务过程，协调解决服务过程中的问题，须在方案中说明运营保障内容，提供详细服务方案；</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7</w:t>
      </w:r>
      <w:r>
        <w:rPr>
          <w:rFonts w:hint="eastAsia"/>
          <w:szCs w:val="21"/>
          <w:highlight w:val="none"/>
          <w:lang w:val="zh-CN"/>
        </w:rPr>
        <w:t>）须提供线上服务申诉通道，要求可针对服务人员、服务流程等进行投诉。须提供投诉的功能截图或演示材料；</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8</w:t>
      </w:r>
      <w:r>
        <w:rPr>
          <w:rFonts w:hint="eastAsia"/>
          <w:szCs w:val="21"/>
          <w:highlight w:val="none"/>
          <w:lang w:val="zh-CN"/>
        </w:rPr>
        <w:t>）须提供本项目服务团队组织说明，包含项目成员和职责。</w:t>
      </w:r>
    </w:p>
    <w:p>
      <w:pPr>
        <w:spacing w:line="360" w:lineRule="auto"/>
        <w:ind w:firstLine="420" w:firstLineChars="200"/>
        <w:rPr>
          <w:szCs w:val="21"/>
          <w:highlight w:val="none"/>
          <w:lang w:val="zh-CN"/>
        </w:rPr>
      </w:pPr>
      <w:r>
        <w:rPr>
          <w:rFonts w:hint="eastAsia"/>
          <w:highlight w:val="none"/>
          <w:lang w:val="zh-CN"/>
        </w:rPr>
        <w:t>（9）</w:t>
      </w:r>
      <w:r>
        <w:rPr>
          <w:rFonts w:hint="eastAsia"/>
          <w:szCs w:val="21"/>
          <w:highlight w:val="none"/>
          <w:lang w:val="zh-CN"/>
        </w:rPr>
        <w:t>中标人需提供全年</w:t>
      </w:r>
      <w:r>
        <w:rPr>
          <w:szCs w:val="21"/>
          <w:highlight w:val="none"/>
          <w:lang w:val="zh-CN"/>
        </w:rPr>
        <w:t>7×12</w:t>
      </w:r>
      <w:r>
        <w:rPr>
          <w:rFonts w:hint="eastAsia"/>
          <w:szCs w:val="21"/>
          <w:highlight w:val="none"/>
          <w:lang w:val="zh-CN"/>
        </w:rPr>
        <w:t>小时的售后服务。提供包括但不限于故障排除、性能调优、功能适应性修改、完善性修改、技术咨询等服务内容；并处理和协调好与各相关系统软件、硬件等供应商的关系。中标人必须提供详细的技术实现和服务方案。</w:t>
      </w:r>
    </w:p>
    <w:p>
      <w:pPr>
        <w:spacing w:line="360" w:lineRule="auto"/>
        <w:ind w:firstLine="420" w:firstLineChars="200"/>
        <w:rPr>
          <w:highlight w:val="none"/>
          <w:lang w:val="zh-CN"/>
        </w:rPr>
      </w:pPr>
    </w:p>
    <w:p>
      <w:pPr>
        <w:spacing w:line="360" w:lineRule="auto"/>
        <w:ind w:firstLine="420" w:firstLineChars="200"/>
        <w:rPr>
          <w:szCs w:val="21"/>
          <w:highlight w:val="none"/>
          <w:lang w:val="zh-CN"/>
        </w:rPr>
      </w:pPr>
      <w:r>
        <w:rPr>
          <w:szCs w:val="21"/>
          <w:highlight w:val="none"/>
          <w:lang w:val="zh-CN"/>
        </w:rPr>
        <w:t>5.2.</w:t>
      </w:r>
      <w:r>
        <w:rPr>
          <w:rFonts w:hint="eastAsia"/>
          <w:szCs w:val="21"/>
          <w:highlight w:val="none"/>
          <w:lang w:val="zh-CN"/>
        </w:rPr>
        <w:t>投标人应提供本次投标产品的售后服务，包含（但不限于）以下服务要求：</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1</w:t>
      </w:r>
      <w:r>
        <w:rPr>
          <w:rFonts w:hint="eastAsia"/>
          <w:szCs w:val="21"/>
          <w:highlight w:val="none"/>
          <w:lang w:val="zh-CN"/>
        </w:rPr>
        <w:t>）</w:t>
      </w:r>
      <w:r>
        <w:rPr>
          <w:szCs w:val="21"/>
          <w:highlight w:val="none"/>
          <w:lang w:val="zh-CN"/>
        </w:rPr>
        <w:t>BUG</w:t>
      </w:r>
      <w:r>
        <w:rPr>
          <w:rFonts w:hint="eastAsia"/>
          <w:szCs w:val="21"/>
          <w:highlight w:val="none"/>
          <w:lang w:val="zh-CN"/>
        </w:rPr>
        <w:t>处理：如投标人交付的业务系统存在</w:t>
      </w:r>
      <w:r>
        <w:rPr>
          <w:szCs w:val="21"/>
          <w:highlight w:val="none"/>
          <w:lang w:val="zh-CN"/>
        </w:rPr>
        <w:t>BUG</w:t>
      </w:r>
      <w:r>
        <w:rPr>
          <w:rFonts w:hint="eastAsia"/>
          <w:szCs w:val="21"/>
          <w:highlight w:val="none"/>
          <w:lang w:val="zh-CN"/>
        </w:rPr>
        <w:t>，投标人须提供修正与消缺服务，如有修复</w:t>
      </w:r>
      <w:r>
        <w:rPr>
          <w:szCs w:val="21"/>
          <w:highlight w:val="none"/>
          <w:lang w:val="zh-CN"/>
        </w:rPr>
        <w:t>BUG</w:t>
      </w:r>
      <w:r>
        <w:rPr>
          <w:rFonts w:hint="eastAsia"/>
          <w:szCs w:val="21"/>
          <w:highlight w:val="none"/>
          <w:lang w:val="zh-CN"/>
        </w:rPr>
        <w:t>的补丁，应提供升级服务。</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2</w:t>
      </w:r>
      <w:r>
        <w:rPr>
          <w:rFonts w:hint="eastAsia"/>
          <w:szCs w:val="21"/>
          <w:highlight w:val="none"/>
          <w:lang w:val="zh-CN"/>
        </w:rPr>
        <w:t>）故障处理：如投标人交付的系统上线运行时，出现问题导致业务中断时，投标方应对故障进行处理。</w:t>
      </w:r>
    </w:p>
    <w:p>
      <w:pPr>
        <w:spacing w:line="360" w:lineRule="auto"/>
        <w:ind w:firstLine="420" w:firstLineChars="200"/>
        <w:rPr>
          <w:szCs w:val="21"/>
          <w:highlight w:val="none"/>
          <w:lang w:val="zh-CN"/>
        </w:rPr>
      </w:pPr>
      <w:r>
        <w:rPr>
          <w:rFonts w:hint="eastAsia"/>
          <w:szCs w:val="21"/>
          <w:highlight w:val="none"/>
          <w:lang w:val="zh-CN"/>
        </w:rPr>
        <w:t>由于非计划掉电导致系统故障时，投标方应配合系统恢复。</w:t>
      </w:r>
    </w:p>
    <w:p>
      <w:pPr>
        <w:spacing w:line="360" w:lineRule="auto"/>
        <w:ind w:firstLine="420" w:firstLineChars="200"/>
        <w:rPr>
          <w:szCs w:val="21"/>
          <w:highlight w:val="none"/>
          <w:lang w:val="zh-CN"/>
        </w:rPr>
      </w:pPr>
      <w:r>
        <w:rPr>
          <w:rFonts w:hint="eastAsia"/>
          <w:szCs w:val="21"/>
          <w:highlight w:val="none"/>
          <w:lang w:val="zh-CN"/>
        </w:rPr>
        <w:t>由于系统资源不足导致系统故障时，投标方应配合学校系统恢复。</w:t>
      </w:r>
    </w:p>
    <w:p>
      <w:pPr>
        <w:spacing w:line="360" w:lineRule="auto"/>
        <w:ind w:firstLine="420" w:firstLineChars="200"/>
        <w:rPr>
          <w:szCs w:val="21"/>
          <w:highlight w:val="none"/>
          <w:lang w:val="zh-CN"/>
        </w:rPr>
      </w:pPr>
      <w:r>
        <w:rPr>
          <w:rFonts w:hint="eastAsia"/>
          <w:szCs w:val="21"/>
          <w:highlight w:val="none"/>
          <w:lang w:val="zh-CN"/>
        </w:rPr>
        <w:t>由于硬件故障时，投标方应在学校数据还原后，配合学校系统恢复。</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3</w:t>
      </w:r>
      <w:r>
        <w:rPr>
          <w:rFonts w:hint="eastAsia"/>
          <w:szCs w:val="21"/>
          <w:highlight w:val="none"/>
          <w:lang w:val="zh-CN"/>
        </w:rPr>
        <w:t>）运行实现：投标方应对系统运行过程中系统管理员及业务管理员的问题提供解答和问题解决跟踪。</w:t>
      </w:r>
    </w:p>
    <w:p>
      <w:pPr>
        <w:spacing w:line="360" w:lineRule="auto"/>
        <w:ind w:firstLine="420" w:firstLineChars="200"/>
        <w:rPr>
          <w:szCs w:val="21"/>
          <w:highlight w:val="none"/>
          <w:lang w:val="zh-CN"/>
        </w:rPr>
      </w:pPr>
      <w:r>
        <w:rPr>
          <w:rFonts w:hint="eastAsia"/>
          <w:szCs w:val="21"/>
          <w:highlight w:val="none"/>
          <w:lang w:val="zh-CN"/>
        </w:rPr>
        <w:t>（</w:t>
      </w:r>
      <w:r>
        <w:rPr>
          <w:szCs w:val="21"/>
          <w:highlight w:val="none"/>
          <w:lang w:val="zh-CN"/>
        </w:rPr>
        <w:t>4</w:t>
      </w:r>
      <w:r>
        <w:rPr>
          <w:rFonts w:hint="eastAsia"/>
          <w:szCs w:val="21"/>
          <w:highlight w:val="none"/>
          <w:lang w:val="zh-CN"/>
        </w:rPr>
        <w:t>）在项目质保期内，因为软件系统本身原因导致系统不可用，投标方应全程跟踪解决，确保问题快速解决，因为操作系统、服务器、网络设备及其他硬件设备导致系统不可用时，投标人应配合招标人排查故障，提供解决方法供招标人选择，配合招标人解决问题。</w:t>
      </w:r>
    </w:p>
    <w:p>
      <w:pPr>
        <w:spacing w:line="360" w:lineRule="auto"/>
        <w:rPr>
          <w:b/>
          <w:bCs/>
          <w:szCs w:val="21"/>
          <w:highlight w:val="none"/>
          <w:lang w:bidi="ar"/>
        </w:rPr>
      </w:pPr>
      <w:r>
        <w:rPr>
          <w:b/>
          <w:bCs/>
          <w:szCs w:val="21"/>
          <w:highlight w:val="none"/>
          <w:lang w:bidi="ar"/>
        </w:rPr>
        <w:t>六</w:t>
      </w:r>
      <w:r>
        <w:rPr>
          <w:rFonts w:hint="eastAsia"/>
          <w:b/>
          <w:bCs/>
          <w:szCs w:val="21"/>
          <w:highlight w:val="none"/>
          <w:lang w:bidi="ar"/>
        </w:rPr>
        <w:t>、商务服务要求</w:t>
      </w:r>
    </w:p>
    <w:p>
      <w:pPr>
        <w:spacing w:line="360" w:lineRule="auto"/>
        <w:ind w:firstLine="420" w:firstLineChars="200"/>
        <w:rPr>
          <w:szCs w:val="21"/>
          <w:highlight w:val="none"/>
          <w:lang w:val="zh-CN"/>
        </w:rPr>
      </w:pPr>
      <w:r>
        <w:rPr>
          <w:szCs w:val="21"/>
          <w:highlight w:val="none"/>
          <w:lang w:val="zh-CN"/>
        </w:rPr>
        <w:t>6.1</w:t>
      </w:r>
      <w:r>
        <w:rPr>
          <w:rFonts w:hint="eastAsia"/>
          <w:szCs w:val="21"/>
          <w:highlight w:val="none"/>
          <w:lang w:val="zh-CN"/>
        </w:rPr>
        <w:t>培训要求</w:t>
      </w:r>
    </w:p>
    <w:p>
      <w:pPr>
        <w:spacing w:line="360" w:lineRule="auto"/>
        <w:ind w:firstLine="420" w:firstLineChars="200"/>
        <w:rPr>
          <w:szCs w:val="21"/>
          <w:highlight w:val="none"/>
          <w:lang w:val="zh-CN"/>
        </w:rPr>
      </w:pPr>
      <w:r>
        <w:rPr>
          <w:rFonts w:hint="eastAsia"/>
          <w:szCs w:val="21"/>
          <w:highlight w:val="none"/>
          <w:lang w:val="zh-CN"/>
        </w:rPr>
        <w:t>根据采购需求制定培训计划，使采购人熟练掌握使用方法；</w:t>
      </w:r>
    </w:p>
    <w:p>
      <w:pPr>
        <w:spacing w:line="360" w:lineRule="auto"/>
        <w:ind w:firstLine="420" w:firstLineChars="200"/>
        <w:rPr>
          <w:szCs w:val="21"/>
          <w:highlight w:val="none"/>
          <w:lang w:val="zh-CN"/>
        </w:rPr>
      </w:pPr>
      <w:r>
        <w:rPr>
          <w:rFonts w:hint="eastAsia"/>
          <w:szCs w:val="21"/>
          <w:highlight w:val="none"/>
          <w:lang w:val="zh-CN"/>
        </w:rPr>
        <w:t>针对项目特点提供详细的培训计划，包括安装培训、维护培训、使用操作培训等。供应商应向采购人管理人员、技术人员、普通教师等应用使用对象提供相关培训，保证采购人能够进行软件的运行管理、操作、维护，故障分析处理等工作，并提供培训教材。</w:t>
      </w:r>
    </w:p>
    <w:p>
      <w:pPr>
        <w:spacing w:line="360" w:lineRule="auto"/>
        <w:ind w:firstLine="420" w:firstLineChars="200"/>
        <w:rPr>
          <w:b/>
          <w:bCs/>
          <w:szCs w:val="21"/>
          <w:highlight w:val="none"/>
          <w:lang w:val="zh-CN"/>
        </w:rPr>
      </w:pPr>
      <w:r>
        <w:rPr>
          <w:szCs w:val="21"/>
          <w:highlight w:val="none"/>
          <w:lang w:val="zh-CN"/>
        </w:rPr>
        <w:t>6.2</w:t>
      </w:r>
      <w:r>
        <w:rPr>
          <w:rFonts w:ascii="Segoe UI Symbol" w:hAnsi="Segoe UI Symbol" w:cs="Segoe UI Symbol"/>
          <w:b/>
          <w:bCs/>
          <w:szCs w:val="21"/>
          <w:highlight w:val="none"/>
          <w:lang w:val="zh-CN"/>
        </w:rPr>
        <w:t>★</w:t>
      </w:r>
      <w:r>
        <w:rPr>
          <w:rFonts w:hint="eastAsia"/>
          <w:b/>
          <w:bCs/>
          <w:szCs w:val="21"/>
          <w:highlight w:val="none"/>
          <w:lang w:val="zh-CN"/>
        </w:rPr>
        <w:t>付款条件：</w:t>
      </w:r>
      <w:r>
        <w:rPr>
          <w:b/>
          <w:bCs/>
          <w:szCs w:val="21"/>
          <w:highlight w:val="none"/>
          <w:lang w:val="zh-CN"/>
        </w:rPr>
        <w:t xml:space="preserve"> </w:t>
      </w:r>
    </w:p>
    <w:p>
      <w:pPr>
        <w:snapToGrid w:val="0"/>
        <w:spacing w:line="360" w:lineRule="auto"/>
        <w:ind w:firstLine="420" w:firstLineChars="200"/>
        <w:rPr>
          <w:szCs w:val="21"/>
          <w:highlight w:val="none"/>
          <w:lang w:val="zh-CN"/>
        </w:rPr>
      </w:pPr>
      <w:bookmarkStart w:id="21" w:name="_Hlk78617521"/>
      <w:r>
        <w:rPr>
          <w:rFonts w:hint="eastAsia"/>
          <w:szCs w:val="21"/>
          <w:highlight w:val="none"/>
          <w:lang w:val="zh-CN"/>
        </w:rPr>
        <w:t>履约保证金：合同签订前，供应商向采购人缴纳合同总价</w:t>
      </w:r>
      <w:r>
        <w:rPr>
          <w:szCs w:val="21"/>
          <w:highlight w:val="none"/>
          <w:lang w:val="zh-CN"/>
        </w:rPr>
        <w:t>5%</w:t>
      </w:r>
      <w:r>
        <w:rPr>
          <w:rFonts w:hint="eastAsia"/>
          <w:szCs w:val="21"/>
          <w:highlight w:val="none"/>
          <w:lang w:val="zh-CN"/>
        </w:rPr>
        <w:t>的履约保证金，履约保证金的有效期至设备通过最终验收合格之日止，并自动转为质量保证金，未能按招标文件要求提供产品、服务及验收不合格的将扣除履约保证金。</w:t>
      </w:r>
    </w:p>
    <w:p>
      <w:pPr>
        <w:spacing w:line="360" w:lineRule="auto"/>
        <w:ind w:firstLine="420" w:firstLineChars="200"/>
        <w:rPr>
          <w:szCs w:val="21"/>
          <w:highlight w:val="none"/>
          <w:lang w:val="zh-CN"/>
        </w:rPr>
      </w:pPr>
      <w:r>
        <w:rPr>
          <w:rFonts w:hint="eastAsia"/>
          <w:szCs w:val="21"/>
          <w:highlight w:val="none"/>
          <w:lang w:val="zh-CN"/>
        </w:rPr>
        <w:t>付款方式：合同须签三方合同，签署周期较长。</w:t>
      </w:r>
    </w:p>
    <w:p>
      <w:pPr>
        <w:spacing w:line="360" w:lineRule="auto"/>
        <w:ind w:firstLine="420" w:firstLineChars="200"/>
        <w:rPr>
          <w:szCs w:val="21"/>
          <w:highlight w:val="none"/>
          <w:lang w:val="zh-CN"/>
        </w:rPr>
      </w:pPr>
      <w:r>
        <w:rPr>
          <w:rFonts w:hint="eastAsia"/>
          <w:szCs w:val="21"/>
          <w:highlight w:val="none"/>
        </w:rPr>
        <w:t>项目初步验收后（</w:t>
      </w:r>
      <w:r>
        <w:rPr>
          <w:rFonts w:hint="eastAsia" w:ascii="宋体" w:hAnsi="宋体" w:cs="仿宋"/>
          <w:bCs/>
          <w:color w:val="000000"/>
          <w:kern w:val="0"/>
          <w:szCs w:val="21"/>
          <w:highlight w:val="none"/>
        </w:rPr>
        <w:t>验收内容包括:电子印章平台部署到位、调试完毕并达到试运行效果</w:t>
      </w:r>
      <w:r>
        <w:rPr>
          <w:rFonts w:hint="eastAsia"/>
          <w:szCs w:val="21"/>
          <w:highlight w:val="none"/>
        </w:rPr>
        <w:t>），</w:t>
      </w:r>
      <w:r>
        <w:rPr>
          <w:rFonts w:hint="eastAsia"/>
          <w:szCs w:val="21"/>
          <w:highlight w:val="none"/>
          <w:lang w:val="zh-CN"/>
        </w:rPr>
        <w:t>凭招标人签字和盖章的初验报告，招标方合作银行（中国农业银行股份有限公司江北新区分行）根据其资金计划向丙方支付不超过合同总价的</w:t>
      </w:r>
      <w:r>
        <w:rPr>
          <w:rFonts w:hint="eastAsia"/>
          <w:szCs w:val="21"/>
          <w:highlight w:val="none"/>
        </w:rPr>
        <w:t>6</w:t>
      </w:r>
      <w:r>
        <w:rPr>
          <w:szCs w:val="21"/>
          <w:highlight w:val="none"/>
        </w:rPr>
        <w:t>0%</w:t>
      </w:r>
      <w:r>
        <w:rPr>
          <w:rFonts w:hint="eastAsia"/>
          <w:szCs w:val="21"/>
          <w:highlight w:val="none"/>
          <w:lang w:val="zh-CN"/>
        </w:rPr>
        <w:t>货款。</w:t>
      </w:r>
    </w:p>
    <w:p>
      <w:pPr>
        <w:spacing w:line="360" w:lineRule="auto"/>
        <w:ind w:firstLine="420" w:firstLineChars="200"/>
        <w:rPr>
          <w:szCs w:val="21"/>
          <w:highlight w:val="none"/>
          <w:lang w:val="zh-CN"/>
        </w:rPr>
      </w:pPr>
      <w:r>
        <w:rPr>
          <w:rFonts w:hint="eastAsia"/>
          <w:szCs w:val="21"/>
          <w:highlight w:val="none"/>
        </w:rPr>
        <w:t>项目终验</w:t>
      </w:r>
      <w:r>
        <w:rPr>
          <w:rFonts w:hint="eastAsia"/>
          <w:szCs w:val="21"/>
          <w:highlight w:val="none"/>
          <w:lang w:val="zh-CN"/>
        </w:rPr>
        <w:t>合格后，凭招标人签字和盖章的验收报告，招标方合作银行（中国农业银行股份有限公司江北新区分行）根据其资金计划向丙方支付合同全部余款。</w:t>
      </w:r>
    </w:p>
    <w:p>
      <w:pPr>
        <w:spacing w:line="360" w:lineRule="auto"/>
        <w:ind w:firstLine="420" w:firstLineChars="200"/>
        <w:rPr>
          <w:szCs w:val="21"/>
          <w:highlight w:val="none"/>
          <w:lang w:val="zh-CN"/>
        </w:rPr>
      </w:pPr>
      <w:r>
        <w:rPr>
          <w:rFonts w:hint="eastAsia"/>
          <w:szCs w:val="21"/>
          <w:highlight w:val="none"/>
          <w:lang w:val="zh-CN"/>
        </w:rPr>
        <w:t>三年质保期满后</w:t>
      </w:r>
      <w:r>
        <w:rPr>
          <w:rFonts w:hint="eastAsia"/>
          <w:szCs w:val="21"/>
          <w:highlight w:val="none"/>
        </w:rPr>
        <w:t>且</w:t>
      </w:r>
      <w:r>
        <w:rPr>
          <w:rFonts w:hint="eastAsia"/>
          <w:szCs w:val="21"/>
          <w:highlight w:val="none"/>
          <w:lang w:val="zh-CN"/>
        </w:rPr>
        <w:t>经有关单位确认无质量问题后，无息退还质保金。具体以签订合同为准。</w:t>
      </w:r>
    </w:p>
    <w:bookmarkEnd w:id="21"/>
    <w:p>
      <w:pPr>
        <w:spacing w:line="360" w:lineRule="auto"/>
        <w:ind w:firstLine="420" w:firstLineChars="200"/>
        <w:rPr>
          <w:szCs w:val="21"/>
          <w:highlight w:val="none"/>
          <w:lang w:val="zh-CN"/>
        </w:rPr>
      </w:pPr>
      <w:r>
        <w:rPr>
          <w:rFonts w:hint="eastAsia"/>
          <w:szCs w:val="21"/>
          <w:highlight w:val="none"/>
          <w:lang w:val="zh-CN"/>
        </w:rPr>
        <w:t>具体付款时间、开票内容均以招标方合作银行（中国农业银行股份有限公司江北新区分行）和校方要求为准。</w:t>
      </w:r>
    </w:p>
    <w:p>
      <w:pPr>
        <w:spacing w:line="360" w:lineRule="auto"/>
        <w:ind w:firstLine="420" w:firstLineChars="200"/>
        <w:rPr>
          <w:szCs w:val="21"/>
          <w:highlight w:val="none"/>
          <w:lang w:val="zh-CN"/>
        </w:rPr>
      </w:pPr>
      <w:r>
        <w:rPr>
          <w:szCs w:val="21"/>
          <w:highlight w:val="none"/>
          <w:lang w:val="zh-CN"/>
        </w:rPr>
        <w:t>6.3</w:t>
      </w:r>
      <w:r>
        <w:rPr>
          <w:rFonts w:hint="eastAsia"/>
          <w:szCs w:val="21"/>
          <w:highlight w:val="none"/>
          <w:lang w:val="zh-CN"/>
        </w:rPr>
        <w:t>服务地点：供应商负责将货物运到采购人指定地点（南京信息工程大学）。</w:t>
      </w:r>
    </w:p>
    <w:p>
      <w:pPr>
        <w:pStyle w:val="4"/>
        <w:rPr>
          <w:highlight w:val="none"/>
          <w:lang w:val="zh-CN"/>
        </w:rPr>
      </w:pPr>
      <w:r>
        <w:rPr>
          <w:rFonts w:hint="eastAsia" w:ascii="宋体" w:eastAsia="宋体"/>
          <w:b/>
          <w:bCs/>
          <w:color w:val="auto"/>
          <w:sz w:val="24"/>
          <w:szCs w:val="24"/>
          <w:highlight w:val="none"/>
        </w:rPr>
        <w:t>（本部分内容由南京信息工程大学信息化建设与管理处提供并负责）</w:t>
      </w:r>
    </w:p>
    <w:p>
      <w:pPr>
        <w:rPr>
          <w:highlight w:val="none"/>
          <w:lang w:val="zh-CN"/>
        </w:rPr>
      </w:pPr>
    </w:p>
    <w:p>
      <w:pPr>
        <w:pStyle w:val="4"/>
        <w:rPr>
          <w:highlight w:val="none"/>
          <w:lang w:val="zh-CN"/>
        </w:rPr>
      </w:pPr>
    </w:p>
    <w:p>
      <w:pPr>
        <w:rPr>
          <w:highlight w:val="none"/>
          <w:lang w:val="zh-CN"/>
        </w:rPr>
      </w:pPr>
    </w:p>
    <w:p>
      <w:pPr>
        <w:pStyle w:val="4"/>
        <w:rPr>
          <w:highlight w:val="none"/>
          <w:lang w:val="zh-CN"/>
        </w:rPr>
      </w:pPr>
    </w:p>
    <w:p>
      <w:pPr>
        <w:rPr>
          <w:highlight w:val="none"/>
          <w:lang w:val="zh-CN"/>
        </w:rPr>
      </w:pPr>
    </w:p>
    <w:p>
      <w:pPr>
        <w:pStyle w:val="4"/>
        <w:rPr>
          <w:highlight w:val="none"/>
          <w:lang w:val="zh-CN"/>
        </w:rPr>
      </w:pPr>
    </w:p>
    <w:p>
      <w:pPr>
        <w:rPr>
          <w:highlight w:val="none"/>
          <w:lang w:val="zh-CN"/>
        </w:rPr>
      </w:pPr>
    </w:p>
    <w:p>
      <w:pPr>
        <w:rPr>
          <w:highlight w:val="none"/>
          <w:lang w:val="zh-CN"/>
        </w:rPr>
      </w:pPr>
    </w:p>
    <w:p>
      <w:pPr>
        <w:pStyle w:val="4"/>
        <w:rPr>
          <w:highlight w:val="none"/>
          <w:lang w:val="zh-CN"/>
        </w:rPr>
      </w:pPr>
    </w:p>
    <w:p>
      <w:pPr>
        <w:rPr>
          <w:highlight w:val="none"/>
          <w:lang w:val="zh-CN"/>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autoSpaceDE w:val="0"/>
        <w:autoSpaceDN w:val="0"/>
        <w:adjustRightInd w:val="0"/>
        <w:spacing w:line="360" w:lineRule="exact"/>
        <w:ind w:firstLine="723" w:firstLineChars="200"/>
        <w:jc w:val="center"/>
        <w:rPr>
          <w:rFonts w:ascii="宋体" w:hAnsi="宋体"/>
          <w:b/>
          <w:sz w:val="36"/>
          <w:szCs w:val="36"/>
          <w:highlight w:val="none"/>
          <w:lang w:val="zh-CN"/>
        </w:rPr>
      </w:pPr>
      <w:bookmarkStart w:id="22" w:name="_Hlk9862420"/>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22"/>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rPr>
          <w:rFonts w:ascii="宋体" w:hAnsi="宋体"/>
          <w:sz w:val="24"/>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5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248"/>
        <w:gridCol w:w="791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序号</w:t>
            </w:r>
          </w:p>
        </w:tc>
        <w:tc>
          <w:tcPr>
            <w:tcW w:w="567" w:type="pct"/>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评审因素</w:t>
            </w:r>
          </w:p>
        </w:tc>
        <w:tc>
          <w:tcPr>
            <w:tcW w:w="3593" w:type="pct"/>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评审标准</w:t>
            </w:r>
          </w:p>
        </w:tc>
        <w:tc>
          <w:tcPr>
            <w:tcW w:w="488" w:type="pct"/>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1</w:t>
            </w:r>
          </w:p>
        </w:tc>
        <w:tc>
          <w:tcPr>
            <w:tcW w:w="567" w:type="pct"/>
            <w:tcBorders>
              <w:top w:val="single" w:color="auto" w:sz="4" w:space="0"/>
              <w:left w:val="nil"/>
              <w:bottom w:val="single" w:color="auto" w:sz="4" w:space="0"/>
              <w:right w:val="single" w:color="auto" w:sz="4" w:space="0"/>
            </w:tcBorders>
            <w:vAlign w:val="center"/>
          </w:tcPr>
          <w:p>
            <w:pPr>
              <w:widowControl/>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价格</w:t>
            </w:r>
          </w:p>
        </w:tc>
        <w:tc>
          <w:tcPr>
            <w:tcW w:w="3593" w:type="pct"/>
            <w:tcBorders>
              <w:top w:val="single" w:color="auto" w:sz="4" w:space="0"/>
              <w:left w:val="nil"/>
              <w:bottom w:val="single" w:color="auto" w:sz="4" w:space="0"/>
              <w:right w:val="single" w:color="auto" w:sz="4" w:space="0"/>
            </w:tcBorders>
            <w:vAlign w:val="center"/>
          </w:tcPr>
          <w:p>
            <w:pPr>
              <w:spacing w:line="360" w:lineRule="auto"/>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价格分采用低价优先法计算，即满足招标文件要求且投标价格最低的投标报价为评标基准价，其价格分为满分30分。其他投标人的价格分按照下列公式计算：</w:t>
            </w:r>
          </w:p>
          <w:p>
            <w:pPr>
              <w:spacing w:line="360" w:lineRule="auto"/>
              <w:rPr>
                <w:szCs w:val="21"/>
                <w:highlight w:val="none"/>
              </w:rPr>
            </w:pPr>
            <w:r>
              <w:rPr>
                <w:rFonts w:hint="eastAsia"/>
                <w:color w:val="000000" w:themeColor="text1"/>
                <w:kern w:val="0"/>
                <w:szCs w:val="21"/>
                <w:highlight w:val="none"/>
                <w14:textFill>
                  <w14:solidFill>
                    <w14:schemeClr w14:val="tx1"/>
                  </w14:solidFill>
                </w14:textFill>
              </w:rPr>
              <w:t>投标报价得分=（评标基准价／投标报价）×30（精确到小数点后两位）</w:t>
            </w:r>
          </w:p>
        </w:tc>
        <w:tc>
          <w:tcPr>
            <w:tcW w:w="488" w:type="pct"/>
            <w:tcBorders>
              <w:top w:val="single" w:color="auto" w:sz="4" w:space="0"/>
              <w:left w:val="nil"/>
              <w:bottom w:val="single" w:color="auto" w:sz="4" w:space="0"/>
              <w:right w:val="single" w:color="auto" w:sz="4" w:space="0"/>
            </w:tcBorders>
            <w:vAlign w:val="center"/>
          </w:tcPr>
          <w:p>
            <w:pPr>
              <w:widowControl/>
              <w:spacing w:line="36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52" w:type="pct"/>
            <w:tcBorders>
              <w:top w:val="single" w:color="auto" w:sz="4" w:space="0"/>
              <w:left w:val="single" w:color="auto" w:sz="4" w:space="0"/>
              <w:right w:val="single" w:color="auto" w:sz="4" w:space="0"/>
            </w:tcBorders>
            <w:vAlign w:val="center"/>
          </w:tcPr>
          <w:p>
            <w:pPr>
              <w:widowControl/>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2</w:t>
            </w:r>
          </w:p>
        </w:tc>
        <w:tc>
          <w:tcPr>
            <w:tcW w:w="567" w:type="pct"/>
            <w:tcBorders>
              <w:top w:val="nil"/>
              <w:left w:val="nil"/>
              <w:bottom w:val="single" w:color="auto" w:sz="4" w:space="0"/>
              <w:right w:val="single" w:color="auto" w:sz="4" w:space="0"/>
            </w:tcBorders>
            <w:vAlign w:val="center"/>
          </w:tcPr>
          <w:p>
            <w:pPr>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技术响应</w:t>
            </w:r>
          </w:p>
        </w:tc>
        <w:tc>
          <w:tcPr>
            <w:tcW w:w="3593" w:type="pct"/>
            <w:tcBorders>
              <w:top w:val="single" w:color="auto" w:sz="4" w:space="0"/>
              <w:left w:val="nil"/>
              <w:bottom w:val="single" w:color="auto" w:sz="4" w:space="0"/>
              <w:right w:val="single" w:color="auto" w:sz="4" w:space="0"/>
            </w:tcBorders>
            <w:vAlign w:val="center"/>
          </w:tcPr>
          <w:p>
            <w:pPr>
              <w:spacing w:line="360" w:lineRule="auto"/>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产品</w:t>
            </w:r>
            <w:r>
              <w:rPr>
                <w:color w:val="000000" w:themeColor="text1"/>
                <w:szCs w:val="21"/>
                <w:highlight w:val="none"/>
                <w14:textFill>
                  <w14:solidFill>
                    <w14:schemeClr w14:val="tx1"/>
                  </w14:solidFill>
                </w14:textFill>
              </w:rPr>
              <w:t>技术参数全部满足招标要求的得满分</w:t>
            </w:r>
            <w:r>
              <w:rPr>
                <w:rFonts w:hint="eastAsia"/>
                <w:color w:val="000000" w:themeColor="text1"/>
                <w:kern w:val="0"/>
                <w:szCs w:val="21"/>
                <w:highlight w:val="none"/>
                <w14:textFill>
                  <w14:solidFill>
                    <w14:schemeClr w14:val="tx1"/>
                  </w14:solidFill>
                </w14:textFill>
              </w:rPr>
              <w:t>4</w:t>
            </w:r>
            <w:r>
              <w:rPr>
                <w:color w:val="000000" w:themeColor="text1"/>
                <w:kern w:val="0"/>
                <w:szCs w:val="21"/>
                <w:highlight w:val="none"/>
                <w14:textFill>
                  <w14:solidFill>
                    <w14:schemeClr w14:val="tx1"/>
                  </w14:solidFill>
                </w14:textFill>
              </w:rPr>
              <w:t>0</w:t>
            </w:r>
            <w:r>
              <w:rPr>
                <w:color w:val="000000" w:themeColor="text1"/>
                <w:szCs w:val="21"/>
                <w:highlight w:val="none"/>
                <w14:textFill>
                  <w14:solidFill>
                    <w14:schemeClr w14:val="tx1"/>
                  </w14:solidFill>
                </w14:textFill>
              </w:rPr>
              <w:t>分；</w:t>
            </w:r>
            <w:r>
              <w:rPr>
                <w:color w:val="000000" w:themeColor="text1"/>
                <w:kern w:val="0"/>
                <w:szCs w:val="21"/>
                <w:highlight w:val="none"/>
                <w14:textFill>
                  <w14:solidFill>
                    <w14:schemeClr w14:val="tx1"/>
                  </w14:solidFill>
                </w14:textFill>
              </w:rPr>
              <w:t>在此基础上，招标文件中标注“▲”的内容为实质性要求，对这些重要参数负偏离的，则每项扣3分，其他非重要参数负偏离的，则每项扣2分</w:t>
            </w:r>
            <w:r>
              <w:rPr>
                <w:rFonts w:hint="eastAsia"/>
                <w:color w:val="000000" w:themeColor="text1"/>
                <w:kern w:val="0"/>
                <w:szCs w:val="21"/>
                <w:highlight w:val="none"/>
                <w14:textFill>
                  <w14:solidFill>
                    <w14:schemeClr w14:val="tx1"/>
                  </w14:solidFill>
                </w14:textFill>
              </w:rPr>
              <w:t>，扣完为止</w:t>
            </w:r>
            <w:r>
              <w:rPr>
                <w:color w:val="000000" w:themeColor="text1"/>
                <w:kern w:val="0"/>
                <w:szCs w:val="21"/>
                <w:highlight w:val="none"/>
                <w:lang w:eastAsia="zh-Hans"/>
                <w14:textFill>
                  <w14:solidFill>
                    <w14:schemeClr w14:val="tx1"/>
                  </w14:solidFill>
                </w14:textFill>
              </w:rPr>
              <w:t>。</w:t>
            </w:r>
          </w:p>
          <w:p>
            <w:pPr>
              <w:pStyle w:val="6"/>
              <w:spacing w:line="360" w:lineRule="auto"/>
              <w:rPr>
                <w:szCs w:val="21"/>
                <w:highlight w:val="none"/>
              </w:rPr>
            </w:pPr>
            <w:r>
              <w:rPr>
                <w:szCs w:val="21"/>
                <w:highlight w:val="none"/>
              </w:rPr>
              <w:t>★为必须满足项，否则视为无效投标。</w:t>
            </w:r>
          </w:p>
          <w:p>
            <w:pPr>
              <w:spacing w:line="360" w:lineRule="auto"/>
              <w:rPr>
                <w:b/>
                <w:bCs/>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招标文件标注“</w:t>
            </w:r>
            <w:bookmarkStart w:id="23" w:name="OLE_LINK3"/>
            <w:bookmarkStart w:id="24" w:name="OLE_LINK4"/>
            <w:r>
              <w:rPr>
                <w:color w:val="000000" w:themeColor="text1"/>
                <w:kern w:val="0"/>
                <w:szCs w:val="21"/>
                <w:highlight w:val="none"/>
                <w14:textFill>
                  <w14:solidFill>
                    <w14:schemeClr w14:val="tx1"/>
                  </w14:solidFill>
                </w14:textFill>
              </w:rPr>
              <w:t>▲</w:t>
            </w:r>
            <w:bookmarkEnd w:id="23"/>
            <w:bookmarkEnd w:id="24"/>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的内容</w:t>
            </w:r>
            <w:r>
              <w:rPr>
                <w:color w:val="000000" w:themeColor="text1"/>
                <w:szCs w:val="21"/>
                <w:highlight w:val="none"/>
                <w14:textFill>
                  <w14:solidFill>
                    <w14:schemeClr w14:val="tx1"/>
                  </w14:solidFill>
                </w14:textFill>
              </w:rPr>
              <w:t>需如实填写所投产品参数并按照要求提供相应彩页或截图等证明材料，并在评审索引表中详细标明所在投标文件中的页码位置。</w:t>
            </w:r>
          </w:p>
        </w:tc>
        <w:tc>
          <w:tcPr>
            <w:tcW w:w="488" w:type="pct"/>
            <w:tcBorders>
              <w:top w:val="single" w:color="auto" w:sz="4" w:space="0"/>
              <w:left w:val="nil"/>
              <w:right w:val="single" w:color="auto" w:sz="4" w:space="0"/>
            </w:tcBorders>
            <w:vAlign w:val="center"/>
          </w:tcPr>
          <w:p>
            <w:pPr>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352" w:type="pct"/>
            <w:tcBorders>
              <w:left w:val="single" w:color="auto" w:sz="4" w:space="0"/>
              <w:right w:val="single" w:color="auto" w:sz="4" w:space="0"/>
            </w:tcBorders>
            <w:vAlign w:val="center"/>
          </w:tcPr>
          <w:p>
            <w:pPr>
              <w:widowControl/>
              <w:spacing w:line="360" w:lineRule="auto"/>
              <w:ind w:right="211"/>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3</w:t>
            </w:r>
          </w:p>
        </w:tc>
        <w:tc>
          <w:tcPr>
            <w:tcW w:w="567" w:type="pct"/>
            <w:tcBorders>
              <w:left w:val="nil"/>
              <w:right w:val="single" w:color="auto" w:sz="4" w:space="0"/>
            </w:tcBorders>
            <w:vAlign w:val="center"/>
          </w:tcPr>
          <w:p>
            <w:pPr>
              <w:adjustRightInd w:val="0"/>
              <w:snapToGrid w:val="0"/>
              <w:spacing w:line="360" w:lineRule="auto"/>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设计方案</w:t>
            </w:r>
          </w:p>
        </w:tc>
        <w:tc>
          <w:tcPr>
            <w:tcW w:w="3593" w:type="pct"/>
            <w:tcBorders>
              <w:top w:val="single" w:color="auto" w:sz="4" w:space="0"/>
              <w:left w:val="nil"/>
              <w:bottom w:val="single" w:color="auto" w:sz="4" w:space="0"/>
              <w:right w:val="single" w:color="auto" w:sz="4" w:space="0"/>
            </w:tcBorders>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综合考虑投标人所提供功能需求响应方案（总体功能设计方案、功能完善性、与现有内控管理系统场景的对接等）进行评分。响应方案完全符合招标要求得8分，基本满足招标要求得5分，需求响应方案不满足或不提供的得0分。</w:t>
            </w:r>
          </w:p>
        </w:tc>
        <w:tc>
          <w:tcPr>
            <w:tcW w:w="48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pPr>
              <w:widowControl/>
              <w:spacing w:line="360" w:lineRule="auto"/>
              <w:ind w:right="211"/>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4</w:t>
            </w:r>
          </w:p>
        </w:tc>
        <w:tc>
          <w:tcPr>
            <w:tcW w:w="567" w:type="pct"/>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实施方案</w:t>
            </w:r>
          </w:p>
        </w:tc>
        <w:tc>
          <w:tcPr>
            <w:tcW w:w="3593" w:type="pct"/>
            <w:tcBorders>
              <w:top w:val="single" w:color="auto" w:sz="4" w:space="0"/>
              <w:left w:val="nil"/>
              <w:bottom w:val="single" w:color="auto" w:sz="4" w:space="0"/>
              <w:right w:val="single" w:color="auto" w:sz="4" w:space="0"/>
            </w:tcBorders>
            <w:vAlign w:val="center"/>
          </w:tcPr>
          <w:p>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评委根据实施方案是否贴近用户实际需求给分，实施方案具体、可实施性强、</w:t>
            </w:r>
            <w:r>
              <w:rPr>
                <w:rFonts w:hint="eastAsia"/>
                <w:color w:val="000000" w:themeColor="text1"/>
                <w:szCs w:val="21"/>
                <w:highlight w:val="none"/>
                <w14:textFill>
                  <w14:solidFill>
                    <w14:schemeClr w14:val="tx1"/>
                  </w14:solidFill>
                </w14:textFill>
              </w:rPr>
              <w:t>完全</w:t>
            </w:r>
            <w:r>
              <w:rPr>
                <w:color w:val="000000" w:themeColor="text1"/>
                <w:szCs w:val="21"/>
                <w:highlight w:val="none"/>
                <w14:textFill>
                  <w14:solidFill>
                    <w14:schemeClr w14:val="tx1"/>
                  </w14:solidFill>
                </w14:textFill>
              </w:rPr>
              <w:t>贴近用户需求</w:t>
            </w:r>
            <w:r>
              <w:rPr>
                <w:rFonts w:hint="eastAsia"/>
                <w:color w:val="000000" w:themeColor="text1"/>
                <w:szCs w:val="21"/>
                <w:highlight w:val="none"/>
                <w14:textFill>
                  <w14:solidFill>
                    <w14:schemeClr w14:val="tx1"/>
                  </w14:solidFill>
                </w14:textFill>
              </w:rPr>
              <w:t>得</w:t>
            </w:r>
            <w:r>
              <w:rPr>
                <w:color w:val="000000" w:themeColor="text1"/>
                <w:szCs w:val="21"/>
                <w:highlight w:val="none"/>
                <w14:textFill>
                  <w14:solidFill>
                    <w14:schemeClr w14:val="tx1"/>
                  </w14:solidFill>
                </w14:textFill>
              </w:rPr>
              <w:t>3分，</w:t>
            </w:r>
            <w:r>
              <w:rPr>
                <w:rFonts w:hint="eastAsia"/>
                <w:color w:val="000000" w:themeColor="text1"/>
                <w:szCs w:val="21"/>
                <w:highlight w:val="none"/>
                <w14:textFill>
                  <w14:solidFill>
                    <w14:schemeClr w14:val="tx1"/>
                  </w14:solidFill>
                </w14:textFill>
              </w:rPr>
              <w:t>部分</w:t>
            </w:r>
            <w:r>
              <w:rPr>
                <w:color w:val="000000" w:themeColor="text1"/>
                <w:szCs w:val="21"/>
                <w:highlight w:val="none"/>
                <w14:textFill>
                  <w14:solidFill>
                    <w14:schemeClr w14:val="tx1"/>
                  </w14:solidFill>
                </w14:textFill>
              </w:rPr>
              <w:t>贴近用户需求</w:t>
            </w:r>
            <w:r>
              <w:rPr>
                <w:rFonts w:hint="eastAsia"/>
                <w:color w:val="000000" w:themeColor="text1"/>
                <w:szCs w:val="21"/>
                <w:highlight w:val="none"/>
                <w14:textFill>
                  <w14:solidFill>
                    <w14:schemeClr w14:val="tx1"/>
                  </w14:solidFill>
                </w14:textFill>
              </w:rPr>
              <w:t>得</w:t>
            </w:r>
            <w:r>
              <w:rPr>
                <w:color w:val="000000" w:themeColor="text1"/>
                <w:kern w:val="0"/>
                <w:szCs w:val="21"/>
                <w:highlight w:val="none"/>
                <w14:textFill>
                  <w14:solidFill>
                    <w14:schemeClr w14:val="tx1"/>
                  </w14:solidFill>
                </w14:textFill>
              </w:rPr>
              <w:t>2</w:t>
            </w:r>
            <w:r>
              <w:rPr>
                <w:color w:val="000000" w:themeColor="text1"/>
                <w:szCs w:val="21"/>
                <w:highlight w:val="none"/>
                <w14:textFill>
                  <w14:solidFill>
                    <w14:schemeClr w14:val="tx1"/>
                  </w14:solidFill>
                </w14:textFill>
              </w:rPr>
              <w:t>分，一般得1分，</w:t>
            </w:r>
            <w:r>
              <w:rPr>
                <w:rFonts w:hint="eastAsia" w:ascii="宋体" w:hAnsi="宋体" w:cs="宋体"/>
                <w:kern w:val="0"/>
                <w:szCs w:val="21"/>
                <w:highlight w:val="none"/>
              </w:rPr>
              <w:t>不满足需求或不提供实施方案得</w:t>
            </w:r>
            <w:r>
              <w:rPr>
                <w:color w:val="000000" w:themeColor="text1"/>
                <w:kern w:val="0"/>
                <w:szCs w:val="21"/>
                <w:highlight w:val="none"/>
                <w14:textFill>
                  <w14:solidFill>
                    <w14:schemeClr w14:val="tx1"/>
                  </w14:solidFill>
                </w14:textFill>
              </w:rPr>
              <w:t>0</w:t>
            </w:r>
            <w:r>
              <w:rPr>
                <w:color w:val="000000" w:themeColor="text1"/>
                <w:szCs w:val="21"/>
                <w:highlight w:val="none"/>
                <w14:textFill>
                  <w14:solidFill>
                    <w14:schemeClr w14:val="tx1"/>
                  </w14:solidFill>
                </w14:textFill>
              </w:rPr>
              <w:t>分。</w:t>
            </w:r>
          </w:p>
        </w:tc>
        <w:tc>
          <w:tcPr>
            <w:tcW w:w="48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pPr>
              <w:widowControl/>
              <w:spacing w:line="360" w:lineRule="auto"/>
              <w:ind w:right="211"/>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5</w:t>
            </w:r>
          </w:p>
        </w:tc>
        <w:tc>
          <w:tcPr>
            <w:tcW w:w="567" w:type="pct"/>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培训及售后服务</w:t>
            </w:r>
          </w:p>
        </w:tc>
        <w:tc>
          <w:tcPr>
            <w:tcW w:w="3593" w:type="pct"/>
            <w:tcBorders>
              <w:top w:val="single" w:color="auto" w:sz="4" w:space="0"/>
              <w:left w:val="nil"/>
              <w:bottom w:val="single" w:color="auto" w:sz="4" w:space="0"/>
              <w:right w:val="single" w:color="auto" w:sz="4" w:space="0"/>
            </w:tcBorders>
            <w:vAlign w:val="center"/>
          </w:tcPr>
          <w:p>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投标人提供培训方案完善、培训时间合理、培训内容完整的得2分；培训方案较完善、培训时间较合理、培训内容较完整的得1分；培训方案不完整、培训时间不合理、培训内容不完整得</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分。</w:t>
            </w:r>
          </w:p>
          <w:p>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投标人提供的售后服务方案（如服务体系、服务内容、故障解决方案、响应时间、专业技术人员保障及服务电话等）完善且贴近采购人需求的得</w:t>
            </w: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分，比较完善得</w:t>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分，一般得1分，未描述不得分。</w:t>
            </w:r>
          </w:p>
        </w:tc>
        <w:tc>
          <w:tcPr>
            <w:tcW w:w="48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pPr>
              <w:widowControl/>
              <w:spacing w:line="360" w:lineRule="auto"/>
              <w:ind w:right="211"/>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6</w:t>
            </w:r>
          </w:p>
        </w:tc>
        <w:tc>
          <w:tcPr>
            <w:tcW w:w="567" w:type="pct"/>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投标人的履约能力</w:t>
            </w:r>
          </w:p>
        </w:tc>
        <w:tc>
          <w:tcPr>
            <w:tcW w:w="3593" w:type="pct"/>
            <w:tcBorders>
              <w:top w:val="single" w:color="auto" w:sz="4" w:space="0"/>
              <w:left w:val="nil"/>
              <w:bottom w:val="single" w:color="auto" w:sz="4" w:space="0"/>
              <w:right w:val="single" w:color="auto" w:sz="4" w:space="0"/>
            </w:tcBorders>
            <w:vAlign w:val="center"/>
          </w:tcPr>
          <w:p>
            <w:pPr>
              <w:spacing w:line="360" w:lineRule="auto"/>
              <w:rPr>
                <w:highlight w:val="none"/>
              </w:rPr>
            </w:pPr>
            <w:r>
              <w:rPr>
                <w:rFonts w:hint="eastAsia"/>
                <w:highlight w:val="none"/>
              </w:rPr>
              <w:t>投标人具有有效期内的ISO9001质量体系认证、CMMI5，每提供1个得2分，没有不得分，最多得4分。（复印件加盖单位公章）</w:t>
            </w:r>
          </w:p>
          <w:p>
            <w:pPr>
              <w:spacing w:line="360" w:lineRule="auto"/>
              <w:rPr>
                <w:highlight w:val="none"/>
              </w:rPr>
            </w:pPr>
            <w:r>
              <w:rPr>
                <w:rFonts w:hint="eastAsia" w:ascii="宋体" w:hAnsi="宋体" w:cs="宋体"/>
                <w:szCs w:val="21"/>
                <w:highlight w:val="none"/>
              </w:rPr>
              <w:t>投标人具有统一电子签章印章平台软件著作权，提供相关证书得</w:t>
            </w:r>
            <w:r>
              <w:rPr>
                <w:rFonts w:ascii="宋体" w:hAnsi="宋体" w:cs="宋体"/>
                <w:szCs w:val="21"/>
                <w:highlight w:val="none"/>
              </w:rPr>
              <w:t>1</w:t>
            </w:r>
            <w:r>
              <w:rPr>
                <w:rFonts w:hint="eastAsia" w:ascii="宋体" w:hAnsi="宋体" w:cs="宋体"/>
                <w:szCs w:val="21"/>
                <w:highlight w:val="none"/>
              </w:rPr>
              <w:t>分，没有得0分。</w:t>
            </w:r>
            <w:r>
              <w:rPr>
                <w:rFonts w:hint="eastAsia"/>
                <w:highlight w:val="none"/>
              </w:rPr>
              <w:t>（复印件加盖单位公章）</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项目团队的组成结构合理, 项目经理、技术总监、系统分析、设计、测试人员配备齐全得</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分，不足得0分。项目负责人要求：具备项目经理资质认证（信息系统项目管理师或PMP），有相关证书得2分，没有不得分。</w:t>
            </w:r>
          </w:p>
        </w:tc>
        <w:tc>
          <w:tcPr>
            <w:tcW w:w="488" w:type="pct"/>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pPr>
              <w:widowControl/>
              <w:spacing w:line="360" w:lineRule="auto"/>
              <w:ind w:right="21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7</w:t>
            </w:r>
          </w:p>
        </w:tc>
        <w:tc>
          <w:tcPr>
            <w:tcW w:w="567" w:type="pct"/>
            <w:tcBorders>
              <w:top w:val="single" w:color="auto" w:sz="4" w:space="0"/>
              <w:left w:val="nil"/>
              <w:bottom w:val="single" w:color="auto" w:sz="4" w:space="0"/>
              <w:right w:val="single" w:color="auto" w:sz="4" w:space="0"/>
            </w:tcBorders>
            <w:vAlign w:val="center"/>
          </w:tcPr>
          <w:p>
            <w:pPr>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业绩</w:t>
            </w:r>
          </w:p>
        </w:tc>
        <w:tc>
          <w:tcPr>
            <w:tcW w:w="3593" w:type="pct"/>
            <w:tcBorders>
              <w:top w:val="single" w:color="auto" w:sz="4" w:space="0"/>
              <w:left w:val="nil"/>
              <w:bottom w:val="single" w:color="auto" w:sz="4" w:space="0"/>
              <w:right w:val="single" w:color="auto" w:sz="4" w:space="0"/>
            </w:tcBorders>
            <w:vAlign w:val="center"/>
          </w:tcPr>
          <w:p>
            <w:pPr>
              <w:spacing w:line="360" w:lineRule="auto"/>
              <w:rPr>
                <w:highlight w:val="none"/>
              </w:rPr>
            </w:pPr>
            <w:r>
              <w:rPr>
                <w:rFonts w:hint="eastAsia" w:ascii="宋体" w:hAnsi="宋体" w:cs="宋体"/>
                <w:szCs w:val="21"/>
                <w:highlight w:val="none"/>
              </w:rPr>
              <w:t>依据投标人自201</w:t>
            </w:r>
            <w:r>
              <w:rPr>
                <w:rFonts w:ascii="宋体" w:hAnsi="宋体" w:cs="宋体"/>
                <w:szCs w:val="21"/>
                <w:highlight w:val="none"/>
              </w:rPr>
              <w:t>8</w:t>
            </w:r>
            <w:r>
              <w:rPr>
                <w:rFonts w:hint="eastAsia" w:ascii="宋体" w:hAnsi="宋体" w:cs="宋体"/>
                <w:szCs w:val="21"/>
                <w:highlight w:val="none"/>
              </w:rPr>
              <w:t>年1</w:t>
            </w:r>
            <w:r>
              <w:rPr>
                <w:rFonts w:ascii="宋体" w:hAnsi="宋体" w:cs="宋体"/>
                <w:szCs w:val="21"/>
                <w:highlight w:val="none"/>
              </w:rPr>
              <w:t>0</w:t>
            </w:r>
            <w:r>
              <w:rPr>
                <w:rFonts w:hint="eastAsia" w:ascii="宋体" w:hAnsi="宋体" w:cs="宋体"/>
                <w:szCs w:val="21"/>
                <w:highlight w:val="none"/>
              </w:rPr>
              <w:t>月1日以来完成过同类高校项目案例，每提供一个得</w:t>
            </w:r>
            <w:r>
              <w:rPr>
                <w:rFonts w:ascii="宋体" w:hAnsi="宋体" w:cs="宋体"/>
                <w:szCs w:val="21"/>
                <w:highlight w:val="none"/>
              </w:rPr>
              <w:t>1</w:t>
            </w:r>
            <w:r>
              <w:rPr>
                <w:rFonts w:hint="eastAsia" w:ascii="宋体" w:hAnsi="宋体" w:cs="宋体"/>
                <w:szCs w:val="21"/>
                <w:highlight w:val="none"/>
              </w:rPr>
              <w:t>分，最多4分。须提供有效的合同（时间以合同签订日期为准）。（复印件加盖公章，原件备查）。</w:t>
            </w:r>
          </w:p>
        </w:tc>
        <w:tc>
          <w:tcPr>
            <w:tcW w:w="488" w:type="pct"/>
            <w:tcBorders>
              <w:top w:val="single" w:color="auto" w:sz="4" w:space="0"/>
              <w:left w:val="nil"/>
              <w:bottom w:val="single" w:color="auto" w:sz="4" w:space="0"/>
              <w:right w:val="single" w:color="auto" w:sz="4" w:space="0"/>
            </w:tcBorders>
            <w:vAlign w:val="center"/>
          </w:tcPr>
          <w:p>
            <w:pPr>
              <w:widowControl/>
              <w:spacing w:line="360" w:lineRule="auto"/>
              <w:jc w:val="center"/>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pPr>
              <w:widowControl/>
              <w:spacing w:line="360" w:lineRule="auto"/>
              <w:ind w:right="211"/>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8</w:t>
            </w:r>
          </w:p>
        </w:tc>
        <w:tc>
          <w:tcPr>
            <w:tcW w:w="567" w:type="pct"/>
            <w:tcBorders>
              <w:top w:val="single" w:color="auto" w:sz="4" w:space="0"/>
              <w:left w:val="nil"/>
              <w:bottom w:val="single" w:color="auto" w:sz="4" w:space="0"/>
              <w:right w:val="single" w:color="auto" w:sz="4" w:space="0"/>
            </w:tcBorders>
            <w:vAlign w:val="center"/>
          </w:tcPr>
          <w:p>
            <w:pPr>
              <w:spacing w:line="360" w:lineRule="auto"/>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投标文件完整和规范性</w:t>
            </w:r>
          </w:p>
        </w:tc>
        <w:tc>
          <w:tcPr>
            <w:tcW w:w="3593" w:type="pct"/>
            <w:tcBorders>
              <w:top w:val="single" w:color="auto" w:sz="4" w:space="0"/>
              <w:left w:val="nil"/>
              <w:bottom w:val="single" w:color="auto" w:sz="4" w:space="0"/>
              <w:right w:val="single" w:color="auto" w:sz="4" w:space="0"/>
            </w:tcBorders>
            <w:vAlign w:val="center"/>
          </w:tcPr>
          <w:p>
            <w:pPr>
              <w:spacing w:line="360" w:lineRule="auto"/>
              <w:rPr>
                <w:color w:val="000000" w:themeColor="text1"/>
                <w:kern w:val="0"/>
                <w:szCs w:val="21"/>
                <w:highlight w:val="none"/>
                <w14:textFill>
                  <w14:solidFill>
                    <w14:schemeClr w14:val="tx1"/>
                  </w14:solidFill>
                </w14:textFill>
              </w:rPr>
            </w:pPr>
            <w:r>
              <w:rPr>
                <w:snapToGrid w:val="0"/>
                <w:color w:val="000000" w:themeColor="text1"/>
                <w:kern w:val="0"/>
                <w:szCs w:val="21"/>
                <w:highlight w:val="none"/>
                <w14:textFill>
                  <w14:solidFill>
                    <w14:schemeClr w14:val="tx1"/>
                  </w14:solidFill>
                </w14:textFill>
              </w:rPr>
              <w:t>根据投标文件的完整性及响应招标文件情况打分，文件完整、美观、页码清晰得2分，文件较为完整得1分，文件制作粗糙得0分。</w:t>
            </w:r>
          </w:p>
        </w:tc>
        <w:tc>
          <w:tcPr>
            <w:tcW w:w="488" w:type="pct"/>
            <w:tcBorders>
              <w:top w:val="single" w:color="auto" w:sz="4" w:space="0"/>
              <w:left w:val="nil"/>
              <w:bottom w:val="single" w:color="auto" w:sz="4" w:space="0"/>
              <w:right w:val="single" w:color="auto" w:sz="4" w:space="0"/>
            </w:tcBorders>
            <w:vAlign w:val="center"/>
          </w:tcPr>
          <w:p>
            <w:pPr>
              <w:widowControl/>
              <w:spacing w:line="360" w:lineRule="auto"/>
              <w:jc w:val="center"/>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2</w:t>
            </w:r>
          </w:p>
        </w:tc>
      </w:tr>
    </w:tbl>
    <w:p>
      <w:pPr>
        <w:rPr>
          <w:highlight w:val="none"/>
        </w:rPr>
      </w:pPr>
    </w:p>
    <w:p>
      <w:pPr>
        <w:spacing w:line="360" w:lineRule="auto"/>
        <w:rPr>
          <w:b/>
          <w:sz w:val="28"/>
          <w:szCs w:val="28"/>
          <w:highlight w:val="none"/>
        </w:rPr>
      </w:pPr>
    </w:p>
    <w:p>
      <w:pPr>
        <w:pStyle w:val="4"/>
        <w:rPr>
          <w:highlight w:val="none"/>
          <w:lang w:val="zh-CN"/>
        </w:rPr>
      </w:pPr>
      <w:r>
        <w:rPr>
          <w:rFonts w:hint="eastAsia" w:ascii="宋体" w:eastAsia="宋体"/>
          <w:b/>
          <w:bCs/>
          <w:color w:val="auto"/>
          <w:sz w:val="24"/>
          <w:szCs w:val="24"/>
          <w:highlight w:val="none"/>
        </w:rPr>
        <w:t>（本部分内容由南京信息工程大学信息化建设与管理处提供并负责）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spacing w:line="360" w:lineRule="auto"/>
        <w:rPr>
          <w:b/>
          <w:sz w:val="28"/>
          <w:szCs w:val="28"/>
          <w:highlight w:val="none"/>
        </w:rPr>
      </w:pPr>
    </w:p>
    <w:p>
      <w:pPr>
        <w:pStyle w:val="2"/>
        <w:ind w:firstLine="0"/>
        <w:rPr>
          <w:b/>
          <w:sz w:val="28"/>
          <w:szCs w:val="28"/>
          <w:highlight w:val="none"/>
        </w:rPr>
      </w:pPr>
    </w:p>
    <w:p>
      <w:pPr>
        <w:pStyle w:val="2"/>
        <w:ind w:firstLine="0"/>
        <w:rPr>
          <w:highlight w:val="none"/>
        </w:rPr>
      </w:pPr>
    </w:p>
    <w:p>
      <w:pPr>
        <w:spacing w:line="360" w:lineRule="auto"/>
        <w:ind w:firstLine="562" w:firstLineChars="200"/>
        <w:jc w:val="left"/>
        <w:outlineLvl w:val="0"/>
        <w:rPr>
          <w:szCs w:val="21"/>
          <w:highlight w:val="none"/>
        </w:rPr>
      </w:pPr>
      <w:bookmarkStart w:id="25" w:name="_Toc1594"/>
      <w:bookmarkStart w:id="26" w:name="_Toc24736"/>
      <w:r>
        <w:rPr>
          <w:rFonts w:eastAsia="黑体"/>
          <w:b/>
          <w:sz w:val="28"/>
          <w:szCs w:val="28"/>
          <w:highlight w:val="none"/>
        </w:rPr>
        <w:t>附件</w:t>
      </w:r>
      <w:r>
        <w:rPr>
          <w:rFonts w:hint="eastAsia" w:eastAsia="黑体"/>
          <w:b/>
          <w:sz w:val="28"/>
          <w:szCs w:val="28"/>
          <w:highlight w:val="none"/>
        </w:rPr>
        <w:t>6</w:t>
      </w:r>
      <w:r>
        <w:rPr>
          <w:rFonts w:eastAsia="黑体"/>
          <w:b/>
          <w:sz w:val="28"/>
          <w:szCs w:val="28"/>
          <w:highlight w:val="none"/>
        </w:rPr>
        <w:t xml:space="preserve">  </w:t>
      </w:r>
      <w:r>
        <w:rPr>
          <w:rFonts w:hint="eastAsia" w:eastAsia="黑体"/>
          <w:b/>
          <w:sz w:val="28"/>
          <w:szCs w:val="28"/>
          <w:highlight w:val="none"/>
        </w:rPr>
        <w:t>拟签订的合同文本</w:t>
      </w:r>
      <w:bookmarkEnd w:id="25"/>
      <w:bookmarkEnd w:id="26"/>
    </w:p>
    <w:p>
      <w:pPr>
        <w:spacing w:line="440" w:lineRule="exact"/>
        <w:jc w:val="center"/>
        <w:rPr>
          <w:rFonts w:eastAsia="黑体"/>
          <w:b/>
          <w:sz w:val="28"/>
          <w:szCs w:val="28"/>
          <w:highlight w:val="none"/>
        </w:rPr>
      </w:pPr>
      <w:bookmarkStart w:id="27" w:name="_Toc6085"/>
      <w:r>
        <w:rPr>
          <w:rFonts w:hint="eastAsia" w:eastAsia="黑体"/>
          <w:b/>
          <w:sz w:val="28"/>
          <w:szCs w:val="28"/>
          <w:highlight w:val="none"/>
        </w:rPr>
        <w:t>（</w:t>
      </w:r>
      <w:r>
        <w:rPr>
          <w:rFonts w:hint="eastAsia"/>
          <w:bCs/>
          <w:sz w:val="28"/>
          <w:szCs w:val="28"/>
          <w:highlight w:val="none"/>
          <w:lang w:bidi="ar"/>
        </w:rPr>
        <w:t>参考格式，本合同内容条款在正式签署前可具体补充细化，仅作参考，最终合同以采购人审查通过的版本为准</w:t>
      </w:r>
      <w:r>
        <w:rPr>
          <w:rFonts w:hint="eastAsia" w:eastAsia="黑体"/>
          <w:b/>
          <w:sz w:val="28"/>
          <w:szCs w:val="28"/>
          <w:highlight w:val="none"/>
        </w:rPr>
        <w:t>）</w:t>
      </w:r>
      <w:bookmarkEnd w:id="27"/>
    </w:p>
    <w:p>
      <w:pPr>
        <w:spacing w:line="440" w:lineRule="exact"/>
        <w:jc w:val="center"/>
        <w:rPr>
          <w:rFonts w:eastAsia="黑体"/>
          <w:b/>
          <w:sz w:val="36"/>
          <w:highlight w:val="none"/>
        </w:rPr>
      </w:pPr>
      <w:bookmarkStart w:id="28" w:name="_Toc19"/>
      <w:bookmarkStart w:id="29" w:name="_Toc11219"/>
      <w:r>
        <w:rPr>
          <w:b/>
          <w:szCs w:val="21"/>
          <w:highlight w:val="none"/>
        </w:rPr>
        <w:t xml:space="preserve">    </w:t>
      </w:r>
    </w:p>
    <w:p>
      <w:pPr>
        <w:tabs>
          <w:tab w:val="left" w:pos="720"/>
        </w:tabs>
        <w:spacing w:line="360" w:lineRule="auto"/>
        <w:jc w:val="center"/>
        <w:rPr>
          <w:rFonts w:ascii="Adobe 宋体 Std L" w:hAnsi="Adobe 宋体 Std L" w:eastAsia="Adobe 宋体 Std L"/>
          <w:sz w:val="52"/>
          <w:szCs w:val="52"/>
          <w:highlight w:val="none"/>
        </w:rPr>
      </w:pPr>
      <w:r>
        <w:rPr>
          <w:b/>
          <w:szCs w:val="21"/>
          <w:highlight w:val="none"/>
        </w:rPr>
        <w:t xml:space="preserve">  </w:t>
      </w:r>
      <w:r>
        <w:rPr>
          <w:rFonts w:hint="eastAsia" w:ascii="Adobe 宋体 Std L" w:hAnsi="Adobe 宋体 Std L" w:eastAsia="Adobe 宋体 Std L"/>
          <w:sz w:val="52"/>
          <w:szCs w:val="52"/>
          <w:highlight w:val="none"/>
        </w:rPr>
        <w:t>南京信息工程大学</w:t>
      </w:r>
    </w:p>
    <w:p>
      <w:pPr>
        <w:tabs>
          <w:tab w:val="left" w:pos="720"/>
        </w:tabs>
        <w:spacing w:line="360" w:lineRule="auto"/>
        <w:jc w:val="center"/>
        <w:rPr>
          <w:rFonts w:ascii="Adobe 宋体 Std L" w:hAnsi="Adobe 宋体 Std L" w:eastAsia="Adobe 宋体 Std L"/>
          <w:sz w:val="52"/>
          <w:szCs w:val="52"/>
          <w:highlight w:val="none"/>
        </w:rPr>
      </w:pPr>
      <w:r>
        <w:rPr>
          <w:rFonts w:hint="eastAsia" w:ascii="Adobe 宋体 Std L" w:hAnsi="Adobe 宋体 Std L" w:eastAsia="Adobe 宋体 Std L"/>
          <w:sz w:val="52"/>
          <w:szCs w:val="52"/>
          <w:highlight w:val="none"/>
        </w:rPr>
        <w:t>电子印章管理平台</w:t>
      </w:r>
    </w:p>
    <w:p>
      <w:pPr>
        <w:jc w:val="center"/>
        <w:rPr>
          <w:rFonts w:ascii="Adobe 宋体 Std L" w:hAnsi="Adobe 宋体 Std L" w:eastAsia="Adobe 宋体 Std L"/>
          <w:sz w:val="52"/>
          <w:highlight w:val="none"/>
        </w:rPr>
      </w:pPr>
    </w:p>
    <w:p>
      <w:pPr>
        <w:tabs>
          <w:tab w:val="left" w:pos="720"/>
        </w:tabs>
        <w:spacing w:line="360" w:lineRule="auto"/>
        <w:jc w:val="center"/>
        <w:rPr>
          <w:rFonts w:ascii="Adobe 宋体 Std L" w:hAnsi="Adobe 宋体 Std L" w:eastAsia="Adobe 宋体 Std L"/>
          <w:sz w:val="72"/>
          <w:szCs w:val="72"/>
          <w:highlight w:val="none"/>
        </w:rPr>
      </w:pPr>
      <w:r>
        <w:rPr>
          <w:rFonts w:hint="eastAsia" w:ascii="Adobe 宋体 Std L" w:hAnsi="Adobe 宋体 Std L" w:eastAsia="Adobe 宋体 Std L"/>
          <w:sz w:val="72"/>
          <w:szCs w:val="72"/>
          <w:highlight w:val="none"/>
        </w:rPr>
        <w:t>合同书</w:t>
      </w:r>
    </w:p>
    <w:p>
      <w:pPr>
        <w:adjustRightInd w:val="0"/>
        <w:snapToGrid w:val="0"/>
        <w:spacing w:line="400" w:lineRule="atLeast"/>
        <w:jc w:val="center"/>
        <w:rPr>
          <w:rFonts w:ascii="Adobe 宋体 Std L" w:hAnsi="Adobe 宋体 Std L" w:eastAsia="Adobe 宋体 Std L" w:cs="Tahoma"/>
          <w:b/>
          <w:spacing w:val="200"/>
          <w:sz w:val="52"/>
          <w:szCs w:val="52"/>
          <w:highlight w:val="none"/>
        </w:rPr>
      </w:pPr>
    </w:p>
    <w:p>
      <w:pPr>
        <w:adjustRightInd w:val="0"/>
        <w:snapToGrid w:val="0"/>
        <w:spacing w:line="400" w:lineRule="atLeast"/>
        <w:jc w:val="center"/>
        <w:rPr>
          <w:rFonts w:ascii="Adobe 宋体 Std L" w:hAnsi="Adobe 宋体 Std L" w:eastAsia="Adobe 宋体 Std L" w:cs="Tahoma"/>
          <w:sz w:val="32"/>
          <w:highlight w:val="none"/>
        </w:rPr>
      </w:pPr>
    </w:p>
    <w:p>
      <w:pPr>
        <w:adjustRightInd w:val="0"/>
        <w:snapToGrid w:val="0"/>
        <w:spacing w:line="400" w:lineRule="atLeast"/>
        <w:jc w:val="center"/>
        <w:rPr>
          <w:rFonts w:ascii="Adobe 宋体 Std L" w:hAnsi="Adobe 宋体 Std L" w:eastAsia="Adobe 宋体 Std L" w:cs="Tahoma"/>
          <w:sz w:val="32"/>
          <w:highlight w:val="none"/>
        </w:rPr>
      </w:pPr>
    </w:p>
    <w:p>
      <w:pPr>
        <w:adjustRightInd w:val="0"/>
        <w:snapToGrid w:val="0"/>
        <w:spacing w:line="400" w:lineRule="atLeast"/>
        <w:rPr>
          <w:rFonts w:ascii="Adobe 宋体 Std L" w:hAnsi="Adobe 宋体 Std L" w:eastAsia="Adobe 宋体 Std L" w:cs="Tahoma"/>
          <w:sz w:val="32"/>
          <w:highlight w:val="none"/>
        </w:rPr>
      </w:pPr>
    </w:p>
    <w:p>
      <w:pPr>
        <w:adjustRightInd w:val="0"/>
        <w:snapToGrid w:val="0"/>
        <w:spacing w:line="400" w:lineRule="atLeast"/>
        <w:rPr>
          <w:rFonts w:ascii="Adobe 宋体 Std L" w:hAnsi="Adobe 宋体 Std L" w:eastAsia="Adobe 宋体 Std L" w:cs="Tahoma"/>
          <w:sz w:val="30"/>
          <w:szCs w:val="30"/>
          <w:highlight w:val="none"/>
        </w:rPr>
      </w:pPr>
    </w:p>
    <w:p>
      <w:pPr>
        <w:adjustRightInd w:val="0"/>
        <w:snapToGrid w:val="0"/>
        <w:spacing w:line="400" w:lineRule="atLeast"/>
        <w:ind w:firstLine="900" w:firstLineChars="300"/>
        <w:rPr>
          <w:rFonts w:ascii="Adobe 宋体 Std L" w:hAnsi="Adobe 宋体 Std L" w:eastAsia="Adobe 宋体 Std L" w:cs="Tahoma"/>
          <w:sz w:val="30"/>
          <w:szCs w:val="30"/>
          <w:highlight w:val="none"/>
        </w:rPr>
      </w:pPr>
    </w:p>
    <w:p>
      <w:pPr>
        <w:adjustRightInd w:val="0"/>
        <w:snapToGrid w:val="0"/>
        <w:spacing w:line="400" w:lineRule="atLeast"/>
        <w:rPr>
          <w:rFonts w:ascii="Adobe 宋体 Std L" w:hAnsi="Adobe 宋体 Std L" w:eastAsia="Adobe 宋体 Std L" w:cs="Tahoma"/>
          <w:sz w:val="30"/>
          <w:szCs w:val="30"/>
          <w:highlight w:val="none"/>
        </w:rPr>
      </w:pPr>
    </w:p>
    <w:p>
      <w:pPr>
        <w:adjustRightInd w:val="0"/>
        <w:snapToGrid w:val="0"/>
        <w:spacing w:line="400" w:lineRule="atLeast"/>
        <w:ind w:firstLine="900" w:firstLineChars="300"/>
        <w:rPr>
          <w:rFonts w:ascii="Adobe 宋体 Std L" w:hAnsi="Adobe 宋体 Std L" w:eastAsia="Adobe 宋体 Std L" w:cs="Tahoma"/>
          <w:sz w:val="30"/>
          <w:szCs w:val="30"/>
          <w:highlight w:val="none"/>
        </w:rPr>
      </w:pPr>
    </w:p>
    <w:p>
      <w:pPr>
        <w:adjustRightInd w:val="0"/>
        <w:snapToGrid w:val="0"/>
        <w:spacing w:line="400" w:lineRule="atLeast"/>
        <w:ind w:firstLine="900" w:firstLineChars="300"/>
        <w:rPr>
          <w:rFonts w:ascii="Adobe 宋体 Std L" w:hAnsi="Adobe 宋体 Std L" w:eastAsia="Adobe 宋体 Std L" w:cs="Tahoma"/>
          <w:sz w:val="30"/>
          <w:szCs w:val="30"/>
          <w:highlight w:val="none"/>
        </w:rPr>
      </w:pPr>
    </w:p>
    <w:p>
      <w:pPr>
        <w:rPr>
          <w:highlight w:val="none"/>
        </w:rPr>
      </w:pPr>
    </w:p>
    <w:p>
      <w:pPr>
        <w:rPr>
          <w:highlight w:val="none"/>
        </w:rPr>
      </w:pPr>
    </w:p>
    <w:p>
      <w:pPr>
        <w:adjustRightInd w:val="0"/>
        <w:snapToGrid w:val="0"/>
        <w:spacing w:line="400" w:lineRule="atLeast"/>
        <w:ind w:firstLine="640" w:firstLineChars="200"/>
        <w:rPr>
          <w:rFonts w:ascii="Adobe 宋体 Std L" w:hAnsi="Adobe 宋体 Std L" w:eastAsia="Adobe 宋体 Std L" w:cs="Tahoma"/>
          <w:sz w:val="32"/>
          <w:szCs w:val="32"/>
          <w:highlight w:val="none"/>
        </w:rPr>
      </w:pPr>
      <w:r>
        <w:rPr>
          <w:rFonts w:hint="eastAsia" w:ascii="Adobe 宋体 Std L" w:hAnsi="Adobe 宋体 Std L" w:eastAsia="Adobe 宋体 Std L" w:cs="Tahoma"/>
          <w:sz w:val="32"/>
          <w:szCs w:val="32"/>
          <w:highlight w:val="none"/>
        </w:rPr>
        <w:t>项目编号：</w:t>
      </w:r>
    </w:p>
    <w:p>
      <w:pPr>
        <w:adjustRightInd w:val="0"/>
        <w:snapToGrid w:val="0"/>
        <w:spacing w:line="400" w:lineRule="atLeast"/>
        <w:rPr>
          <w:rFonts w:ascii="Adobe 宋体 Std L" w:hAnsi="Adobe 宋体 Std L" w:eastAsia="Adobe 宋体 Std L" w:cs="Tahoma"/>
          <w:sz w:val="30"/>
          <w:szCs w:val="30"/>
          <w:highlight w:val="none"/>
        </w:rPr>
      </w:pPr>
    </w:p>
    <w:p>
      <w:pPr>
        <w:adjustRightInd w:val="0"/>
        <w:snapToGrid w:val="0"/>
        <w:spacing w:line="400" w:lineRule="atLeast"/>
        <w:ind w:firstLine="640" w:firstLineChars="200"/>
        <w:rPr>
          <w:rFonts w:ascii="Adobe 宋体 Std L" w:hAnsi="Adobe 宋体 Std L" w:eastAsia="Adobe 宋体 Std L" w:cs="Tahoma"/>
          <w:sz w:val="32"/>
          <w:szCs w:val="32"/>
          <w:highlight w:val="none"/>
        </w:rPr>
      </w:pPr>
      <w:r>
        <w:rPr>
          <w:rFonts w:hint="eastAsia" w:ascii="Adobe 宋体 Std L" w:hAnsi="Adobe 宋体 Std L" w:eastAsia="Adobe 宋体 Std L" w:cs="Tahoma"/>
          <w:sz w:val="32"/>
          <w:szCs w:val="32"/>
          <w:highlight w:val="none"/>
        </w:rPr>
        <w:t>项目名称：</w:t>
      </w:r>
    </w:p>
    <w:p>
      <w:pPr>
        <w:rPr>
          <w:highlight w:val="none"/>
        </w:rPr>
      </w:pPr>
      <w:r>
        <w:rPr>
          <w:highlight w:val="none"/>
        </w:rPr>
        <w:br w:type="page"/>
      </w:r>
    </w:p>
    <w:tbl>
      <w:tblPr>
        <w:tblStyle w:val="17"/>
        <w:tblW w:w="8946" w:type="dxa"/>
        <w:tblInd w:w="0" w:type="dxa"/>
        <w:tblLayout w:type="fixed"/>
        <w:tblCellMar>
          <w:top w:w="0" w:type="dxa"/>
          <w:left w:w="108" w:type="dxa"/>
          <w:bottom w:w="0" w:type="dxa"/>
          <w:right w:w="108" w:type="dxa"/>
        </w:tblCellMar>
      </w:tblPr>
      <w:tblGrid>
        <w:gridCol w:w="8946"/>
      </w:tblGrid>
      <w:tr>
        <w:tblPrEx>
          <w:tblCellMar>
            <w:top w:w="0" w:type="dxa"/>
            <w:left w:w="108" w:type="dxa"/>
            <w:bottom w:w="0" w:type="dxa"/>
            <w:right w:w="108" w:type="dxa"/>
          </w:tblCellMar>
        </w:tblPrEx>
        <w:tc>
          <w:tcPr>
            <w:tcW w:w="8946" w:type="dxa"/>
          </w:tcPr>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甲方：南京信息工程大学</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电话：</w:t>
            </w:r>
            <w:r>
              <w:rPr>
                <w:rFonts w:ascii="Times New Roman" w:hAnsi="Times New Roman"/>
                <w:szCs w:val="21"/>
                <w:highlight w:val="none"/>
              </w:rPr>
              <w:t>025-58235180</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传真：</w:t>
            </w:r>
            <w:r>
              <w:rPr>
                <w:rFonts w:ascii="Times New Roman" w:hAnsi="Times New Roman"/>
                <w:szCs w:val="21"/>
                <w:highlight w:val="none"/>
              </w:rPr>
              <w:t>025-58235180</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地址：南京市浦口区宁六路</w:t>
            </w:r>
            <w:r>
              <w:rPr>
                <w:rFonts w:ascii="Times New Roman" w:hAnsi="Times New Roman"/>
                <w:szCs w:val="21"/>
                <w:highlight w:val="none"/>
              </w:rPr>
              <w:t>219</w:t>
            </w:r>
            <w:r>
              <w:rPr>
                <w:rFonts w:hint="eastAsia" w:ascii="Times New Roman" w:hAnsi="Times New Roman"/>
                <w:szCs w:val="21"/>
                <w:highlight w:val="none"/>
              </w:rPr>
              <w:t>号</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p>
        </w:tc>
      </w:tr>
      <w:tr>
        <w:tblPrEx>
          <w:tblCellMar>
            <w:top w:w="0" w:type="dxa"/>
            <w:left w:w="108" w:type="dxa"/>
            <w:bottom w:w="0" w:type="dxa"/>
            <w:right w:w="108" w:type="dxa"/>
          </w:tblCellMar>
        </w:tblPrEx>
        <w:tc>
          <w:tcPr>
            <w:tcW w:w="8946" w:type="dxa"/>
          </w:tcPr>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乙方：</w:t>
            </w:r>
            <w:r>
              <w:rPr>
                <w:rFonts w:ascii="Times New Roman" w:hAnsi="Times New Roman"/>
                <w:szCs w:val="21"/>
                <w:highlight w:val="none"/>
              </w:rPr>
              <w:t xml:space="preserve"> </w:t>
            </w:r>
            <w:r>
              <w:rPr>
                <w:rFonts w:hint="eastAsia" w:hAnsi="宋体" w:cs="宋体"/>
                <w:b/>
                <w:szCs w:val="21"/>
                <w:highlight w:val="none"/>
              </w:rPr>
              <w:t>中国农业银行股份有限公司江北新区分行</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电话：</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传真：</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地址：</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丙方：</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电话：</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传真：</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地址：</w:t>
            </w:r>
            <w:r>
              <w:rPr>
                <w:rFonts w:ascii="Times New Roman" w:hAnsi="Times New Roman"/>
                <w:szCs w:val="21"/>
                <w:highlight w:val="none"/>
              </w:rPr>
              <w:t xml:space="preserve">  </w:t>
            </w:r>
          </w:p>
        </w:tc>
      </w:tr>
    </w:tbl>
    <w:p>
      <w:pPr>
        <w:pStyle w:val="10"/>
        <w:adjustRightInd w:val="0"/>
        <w:snapToGrid w:val="0"/>
        <w:spacing w:before="120" w:after="120" w:line="360" w:lineRule="auto"/>
        <w:ind w:firstLine="482"/>
        <w:rPr>
          <w:rFonts w:ascii="Times New Roman" w:hAnsi="Times New Roman"/>
          <w:szCs w:val="21"/>
          <w:highlight w:val="none"/>
        </w:rPr>
      </w:pPr>
      <w:r>
        <w:rPr>
          <w:rFonts w:hint="eastAsia" w:ascii="Times New Roman" w:hAnsi="Times New Roman"/>
          <w:szCs w:val="21"/>
          <w:highlight w:val="none"/>
        </w:rPr>
        <w:t>本着南京信息工程大学和</w:t>
      </w:r>
      <w:r>
        <w:rPr>
          <w:rFonts w:ascii="Times New Roman" w:hAnsi="Times New Roman"/>
          <w:szCs w:val="21"/>
          <w:highlight w:val="none"/>
          <w:u w:val="single"/>
        </w:rPr>
        <w:t xml:space="preserve">                     </w:t>
      </w:r>
      <w:r>
        <w:rPr>
          <w:rFonts w:hint="eastAsia" w:ascii="Times New Roman" w:hAnsi="Times New Roman"/>
          <w:szCs w:val="21"/>
          <w:highlight w:val="none"/>
        </w:rPr>
        <w:t>、</w:t>
      </w:r>
      <w:r>
        <w:rPr>
          <w:rFonts w:ascii="Times New Roman" w:hAnsi="Times New Roman"/>
          <w:szCs w:val="21"/>
          <w:highlight w:val="none"/>
          <w:u w:val="single"/>
        </w:rPr>
        <w:t xml:space="preserve">                   </w:t>
      </w:r>
      <w:r>
        <w:rPr>
          <w:rFonts w:hint="eastAsia" w:ascii="Times New Roman" w:hAnsi="Times New Roman"/>
          <w:szCs w:val="21"/>
          <w:highlight w:val="none"/>
        </w:rPr>
        <w:t>三方合作共赢的目的，经甲、乙、丙三方充分协商一致，签订本合同，内容如下：</w:t>
      </w:r>
    </w:p>
    <w:p>
      <w:pPr>
        <w:pStyle w:val="10"/>
        <w:adjustRightInd w:val="0"/>
        <w:snapToGrid w:val="0"/>
        <w:spacing w:before="120" w:after="120" w:line="360" w:lineRule="auto"/>
        <w:ind w:firstLine="482"/>
        <w:rPr>
          <w:rFonts w:ascii="Times New Roman" w:hAnsi="Times New Roman"/>
          <w:szCs w:val="21"/>
          <w:highlight w:val="none"/>
        </w:rPr>
      </w:pPr>
      <w:r>
        <w:rPr>
          <w:rFonts w:hint="eastAsia" w:ascii="Times New Roman" w:hAnsi="Times New Roman"/>
          <w:b/>
          <w:szCs w:val="21"/>
          <w:highlight w:val="none"/>
        </w:rPr>
        <w:t>一、合同标的</w:t>
      </w:r>
    </w:p>
    <w:p>
      <w:pPr>
        <w:pStyle w:val="10"/>
        <w:adjustRightInd w:val="0"/>
        <w:snapToGrid w:val="0"/>
        <w:spacing w:before="120" w:after="120" w:line="360" w:lineRule="auto"/>
        <w:ind w:left="1470" w:leftChars="100" w:hanging="1260" w:hangingChars="600"/>
        <w:rPr>
          <w:rFonts w:ascii="Times New Roman" w:hAnsi="Times New Roman"/>
          <w:szCs w:val="21"/>
          <w:highlight w:val="none"/>
        </w:rPr>
      </w:pPr>
      <w:r>
        <w:rPr>
          <w:rFonts w:hint="eastAsia" w:ascii="Times New Roman" w:hAnsi="Times New Roman"/>
          <w:szCs w:val="21"/>
          <w:highlight w:val="none"/>
        </w:rPr>
        <w:t>甲、乙双方选择丙方为甲方</w:t>
      </w:r>
      <w:r>
        <w:rPr>
          <w:rFonts w:ascii="Times New Roman" w:hAnsi="Times New Roman"/>
          <w:szCs w:val="21"/>
          <w:highlight w:val="none"/>
        </w:rPr>
        <w:t>“</w:t>
      </w:r>
      <w:r>
        <w:rPr>
          <w:rFonts w:ascii="Times New Roman" w:hAnsi="Times New Roman"/>
          <w:szCs w:val="21"/>
          <w:highlight w:val="none"/>
          <w:u w:val="single"/>
        </w:rPr>
        <w:t xml:space="preserve">                </w:t>
      </w:r>
      <w:r>
        <w:rPr>
          <w:rFonts w:ascii="Times New Roman" w:hAnsi="Times New Roman"/>
          <w:szCs w:val="21"/>
          <w:highlight w:val="none"/>
        </w:rPr>
        <w:t xml:space="preserve"> ”</w:t>
      </w:r>
      <w:r>
        <w:rPr>
          <w:rFonts w:hint="eastAsia" w:ascii="Times New Roman" w:hAnsi="Times New Roman"/>
          <w:szCs w:val="21"/>
          <w:highlight w:val="none"/>
        </w:rPr>
        <w:t>项目服务的实施方；同时根据南京信息工程大学和</w:t>
      </w:r>
    </w:p>
    <w:p>
      <w:pPr>
        <w:pStyle w:val="10"/>
        <w:adjustRightInd w:val="0"/>
        <w:snapToGrid w:val="0"/>
        <w:spacing w:before="120" w:after="120" w:line="360" w:lineRule="auto"/>
        <w:ind w:left="1470" w:leftChars="100" w:hanging="1260" w:hangingChars="600"/>
        <w:rPr>
          <w:rFonts w:ascii="Times New Roman" w:hAnsi="Times New Roman"/>
          <w:szCs w:val="21"/>
          <w:highlight w:val="none"/>
        </w:rPr>
      </w:pPr>
      <w:r>
        <w:rPr>
          <w:rFonts w:ascii="Times New Roman" w:hAnsi="Times New Roman"/>
          <w:szCs w:val="21"/>
          <w:highlight w:val="none"/>
          <w:u w:val="single"/>
        </w:rPr>
        <w:t xml:space="preserve">                     </w:t>
      </w:r>
      <w:r>
        <w:rPr>
          <w:rFonts w:hint="eastAsia" w:ascii="Times New Roman" w:hAnsi="Times New Roman"/>
          <w:szCs w:val="21"/>
          <w:highlight w:val="none"/>
        </w:rPr>
        <w:t>的约定，由乙方承担项目整体费用。</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b/>
          <w:szCs w:val="21"/>
          <w:highlight w:val="none"/>
        </w:rPr>
        <w:t>二、合同金额</w:t>
      </w:r>
    </w:p>
    <w:p>
      <w:pPr>
        <w:pStyle w:val="10"/>
        <w:adjustRightInd w:val="0"/>
        <w:snapToGrid w:val="0"/>
        <w:spacing w:before="120" w:after="120" w:line="360" w:lineRule="auto"/>
        <w:ind w:firstLine="420" w:firstLineChars="200"/>
        <w:rPr>
          <w:rFonts w:ascii="Times New Roman" w:hAnsi="Times New Roman"/>
          <w:szCs w:val="21"/>
          <w:highlight w:val="none"/>
        </w:rPr>
      </w:pPr>
      <w:r>
        <w:rPr>
          <w:rFonts w:hint="eastAsia" w:ascii="Times New Roman" w:hAnsi="Times New Roman"/>
          <w:szCs w:val="21"/>
          <w:highlight w:val="none"/>
        </w:rPr>
        <w:t>本合同总价款为（大写）：</w:t>
      </w:r>
      <w:r>
        <w:rPr>
          <w:rFonts w:ascii="Times New Roman" w:hAnsi="Times New Roman"/>
          <w:szCs w:val="21"/>
          <w:highlight w:val="none"/>
          <w:u w:val="single"/>
        </w:rPr>
        <w:t xml:space="preserve">      </w:t>
      </w:r>
      <w:r>
        <w:rPr>
          <w:rFonts w:ascii="Times New Roman" w:hAnsi="Times New Roman"/>
          <w:szCs w:val="21"/>
          <w:highlight w:val="none"/>
        </w:rPr>
        <w:t xml:space="preserve"> </w:t>
      </w:r>
      <w:r>
        <w:rPr>
          <w:rFonts w:hint="eastAsia" w:ascii="Times New Roman" w:hAnsi="Times New Roman"/>
          <w:szCs w:val="21"/>
          <w:highlight w:val="none"/>
        </w:rPr>
        <w:t>（小写）：</w:t>
      </w:r>
      <w:r>
        <w:rPr>
          <w:rFonts w:ascii="Times New Roman" w:hAnsi="Times New Roman"/>
          <w:szCs w:val="21"/>
          <w:highlight w:val="none"/>
          <w:u w:val="single"/>
        </w:rPr>
        <w:t xml:space="preserve">       </w:t>
      </w:r>
      <w:r>
        <w:rPr>
          <w:rFonts w:hint="eastAsia" w:ascii="Times New Roman" w:hAnsi="Times New Roman"/>
          <w:szCs w:val="21"/>
          <w:highlight w:val="none"/>
          <w:u w:val="single"/>
        </w:rPr>
        <w:t>元（含税）</w:t>
      </w:r>
      <w:r>
        <w:rPr>
          <w:rFonts w:hint="eastAsia" w:ascii="Times New Roman" w:hAnsi="Times New Roman"/>
          <w:szCs w:val="21"/>
          <w:highlight w:val="none"/>
        </w:rPr>
        <w:t>。</w:t>
      </w:r>
    </w:p>
    <w:p>
      <w:pPr>
        <w:pStyle w:val="10"/>
        <w:adjustRightInd w:val="0"/>
        <w:snapToGrid w:val="0"/>
        <w:spacing w:before="120" w:after="120" w:line="360" w:lineRule="auto"/>
        <w:ind w:firstLine="420" w:firstLineChars="200"/>
        <w:rPr>
          <w:rFonts w:ascii="Times New Roman" w:hAnsi="Times New Roman"/>
          <w:szCs w:val="21"/>
          <w:highlight w:val="none"/>
          <w:lang w:val="zh-CN"/>
        </w:rPr>
      </w:pPr>
      <w:r>
        <w:rPr>
          <w:rFonts w:hint="eastAsia" w:ascii="Times New Roman" w:hAnsi="Times New Roman"/>
          <w:szCs w:val="21"/>
          <w:highlight w:val="none"/>
          <w:lang w:val="zh-CN"/>
        </w:rPr>
        <w:t>本合同总价款</w:t>
      </w:r>
      <w:r>
        <w:rPr>
          <w:rFonts w:hint="eastAsia" w:ascii="Times New Roman" w:hAnsi="Times New Roman"/>
          <w:szCs w:val="21"/>
          <w:highlight w:val="none"/>
        </w:rPr>
        <w:t>为全包价，包括了本项目需求中要求的</w:t>
      </w:r>
      <w:r>
        <w:rPr>
          <w:rFonts w:hint="eastAsia" w:ascii="Times New Roman" w:hAnsi="Times New Roman"/>
          <w:szCs w:val="21"/>
          <w:highlight w:val="none"/>
          <w:lang w:val="zh-CN"/>
        </w:rPr>
        <w:t>开发、制造、运输、成本、仓储、运杂、装卸、安装、调试、专用工具、包装、税费、部署、运维、培训辅导、质保期售后服务、全额含税发票等费用。</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b/>
          <w:szCs w:val="21"/>
          <w:highlight w:val="none"/>
        </w:rPr>
        <w:t>三、供货标准</w:t>
      </w:r>
    </w:p>
    <w:p>
      <w:pPr>
        <w:autoSpaceDE w:val="0"/>
        <w:autoSpaceDN w:val="0"/>
        <w:adjustRightInd w:val="0"/>
        <w:spacing w:line="360" w:lineRule="auto"/>
        <w:ind w:firstLine="420"/>
        <w:jc w:val="left"/>
        <w:rPr>
          <w:kern w:val="0"/>
          <w:szCs w:val="21"/>
          <w:highlight w:val="none"/>
        </w:rPr>
      </w:pPr>
      <w:r>
        <w:rPr>
          <w:kern w:val="0"/>
          <w:szCs w:val="21"/>
          <w:highlight w:val="none"/>
        </w:rPr>
        <w:t>1</w:t>
      </w:r>
      <w:r>
        <w:rPr>
          <w:rFonts w:hint="eastAsia"/>
          <w:kern w:val="0"/>
          <w:szCs w:val="21"/>
          <w:highlight w:val="none"/>
        </w:rPr>
        <w:t>、项目交付内容交付包括但不限于运行稳定且符合甲方要求的软件产品、用户手册（含功能模块描述、数据字典、界面设计、接口描述等）和系统培训手册。</w:t>
      </w:r>
    </w:p>
    <w:p>
      <w:pPr>
        <w:autoSpaceDE w:val="0"/>
        <w:autoSpaceDN w:val="0"/>
        <w:adjustRightInd w:val="0"/>
        <w:spacing w:line="360" w:lineRule="auto"/>
        <w:ind w:firstLine="420"/>
        <w:jc w:val="left"/>
        <w:rPr>
          <w:kern w:val="0"/>
          <w:szCs w:val="21"/>
          <w:highlight w:val="none"/>
        </w:rPr>
      </w:pPr>
      <w:r>
        <w:rPr>
          <w:kern w:val="0"/>
          <w:szCs w:val="21"/>
          <w:highlight w:val="none"/>
        </w:rPr>
        <w:t>2</w:t>
      </w:r>
      <w:r>
        <w:rPr>
          <w:rFonts w:hint="eastAsia"/>
          <w:kern w:val="0"/>
          <w:szCs w:val="21"/>
          <w:highlight w:val="none"/>
        </w:rPr>
        <w:t>、丙方提供的软件和服务须满足采购文件中的技术需求、规格说明（包括功能、技术参数、可靠性、易使用性、可维护性、可移植性、产品使用性能等）。</w:t>
      </w:r>
    </w:p>
    <w:p>
      <w:pPr>
        <w:autoSpaceDE w:val="0"/>
        <w:autoSpaceDN w:val="0"/>
        <w:adjustRightInd w:val="0"/>
        <w:spacing w:line="360" w:lineRule="auto"/>
        <w:ind w:firstLine="420"/>
        <w:jc w:val="left"/>
        <w:rPr>
          <w:kern w:val="0"/>
          <w:szCs w:val="21"/>
          <w:highlight w:val="none"/>
        </w:rPr>
      </w:pPr>
      <w:r>
        <w:rPr>
          <w:kern w:val="0"/>
          <w:szCs w:val="21"/>
          <w:highlight w:val="none"/>
        </w:rPr>
        <w:t>3</w:t>
      </w:r>
      <w:r>
        <w:rPr>
          <w:rFonts w:hint="eastAsia"/>
          <w:kern w:val="0"/>
          <w:szCs w:val="21"/>
          <w:highlight w:val="none"/>
        </w:rPr>
        <w:t>、丙方保证提供的技术资料具有正确性、简明性、可操作性和规范性。</w:t>
      </w:r>
    </w:p>
    <w:p>
      <w:pPr>
        <w:autoSpaceDE w:val="0"/>
        <w:autoSpaceDN w:val="0"/>
        <w:adjustRightInd w:val="0"/>
        <w:spacing w:line="360" w:lineRule="auto"/>
        <w:ind w:firstLine="420"/>
        <w:jc w:val="left"/>
        <w:rPr>
          <w:kern w:val="0"/>
          <w:szCs w:val="21"/>
          <w:highlight w:val="none"/>
        </w:rPr>
      </w:pPr>
      <w:r>
        <w:rPr>
          <w:kern w:val="0"/>
          <w:szCs w:val="21"/>
          <w:highlight w:val="none"/>
        </w:rPr>
        <w:t>4</w:t>
      </w:r>
      <w:r>
        <w:rPr>
          <w:rFonts w:hint="eastAsia"/>
          <w:kern w:val="0"/>
          <w:szCs w:val="21"/>
          <w:highlight w:val="none"/>
        </w:rPr>
        <w:t>、丙方确保项目按期按质交付。</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b/>
          <w:szCs w:val="21"/>
          <w:highlight w:val="none"/>
        </w:rPr>
        <w:t>四、完工期及地点</w:t>
      </w:r>
    </w:p>
    <w:p>
      <w:pPr>
        <w:pStyle w:val="10"/>
        <w:adjustRightInd w:val="0"/>
        <w:snapToGrid w:val="0"/>
        <w:spacing w:before="120" w:after="120" w:line="360" w:lineRule="auto"/>
        <w:ind w:firstLine="480"/>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rPr>
        <w:t>、合同签订生效后，</w:t>
      </w:r>
      <w:r>
        <w:rPr>
          <w:rFonts w:hint="eastAsia" w:ascii="Times New Roman" w:hAnsi="Times New Roman"/>
          <w:bCs/>
          <w:szCs w:val="21"/>
          <w:highlight w:val="none"/>
        </w:rPr>
        <w:t>招标文件有要求的按相关要求执行。</w:t>
      </w:r>
    </w:p>
    <w:p>
      <w:pPr>
        <w:pStyle w:val="10"/>
        <w:adjustRightInd w:val="0"/>
        <w:snapToGrid w:val="0"/>
        <w:spacing w:before="120" w:after="120" w:line="360" w:lineRule="auto"/>
        <w:ind w:firstLine="480"/>
        <w:rPr>
          <w:rFonts w:ascii="Times New Roman" w:hAnsi="Times New Roman"/>
          <w:szCs w:val="21"/>
          <w:highlight w:val="none"/>
        </w:rPr>
      </w:pPr>
      <w:r>
        <w:rPr>
          <w:rFonts w:ascii="Times New Roman" w:hAnsi="Times New Roman"/>
          <w:szCs w:val="21"/>
          <w:highlight w:val="none"/>
        </w:rPr>
        <w:t>2</w:t>
      </w:r>
      <w:r>
        <w:rPr>
          <w:rFonts w:hint="eastAsia" w:ascii="Times New Roman" w:hAnsi="Times New Roman"/>
          <w:szCs w:val="21"/>
          <w:highlight w:val="none"/>
        </w:rPr>
        <w:t>、到货及安装地点：南京信息工程大学校内。</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b/>
          <w:szCs w:val="21"/>
          <w:highlight w:val="none"/>
        </w:rPr>
        <w:t>五、付款方式</w:t>
      </w:r>
    </w:p>
    <w:p>
      <w:pPr>
        <w:snapToGrid w:val="0"/>
        <w:spacing w:line="360" w:lineRule="auto"/>
        <w:ind w:firstLine="420" w:firstLineChars="200"/>
        <w:rPr>
          <w:szCs w:val="21"/>
          <w:highlight w:val="none"/>
          <w:lang w:val="zh-CN"/>
        </w:rPr>
      </w:pPr>
      <w:r>
        <w:rPr>
          <w:szCs w:val="21"/>
          <w:highlight w:val="none"/>
          <w:lang w:val="zh-CN"/>
        </w:rPr>
        <w:t>1</w:t>
      </w:r>
      <w:r>
        <w:rPr>
          <w:rFonts w:hint="eastAsia"/>
          <w:szCs w:val="21"/>
          <w:highlight w:val="none"/>
          <w:lang w:val="zh-CN"/>
        </w:rPr>
        <w:t>、履约保证金：合同签订前，供应商向采购人缴纳合同总价</w:t>
      </w:r>
      <w:r>
        <w:rPr>
          <w:szCs w:val="21"/>
          <w:highlight w:val="none"/>
          <w:lang w:val="zh-CN"/>
        </w:rPr>
        <w:t>5%</w:t>
      </w:r>
      <w:r>
        <w:rPr>
          <w:rFonts w:hint="eastAsia"/>
          <w:szCs w:val="21"/>
          <w:highlight w:val="none"/>
          <w:lang w:val="zh-CN"/>
        </w:rPr>
        <w:t>的履约保证金，履约保证金的有效期至设备通过最终验收合格之日止，并自动转为质量保证金，未能按招标文件要求提供产品、服务及验收不合格的将扣除履约保证金。</w:t>
      </w:r>
    </w:p>
    <w:p>
      <w:pPr>
        <w:spacing w:line="360" w:lineRule="auto"/>
        <w:ind w:firstLine="420" w:firstLineChars="200"/>
        <w:rPr>
          <w:szCs w:val="21"/>
          <w:highlight w:val="none"/>
          <w:lang w:val="zh-CN"/>
        </w:rPr>
      </w:pPr>
      <w:r>
        <w:rPr>
          <w:szCs w:val="21"/>
          <w:highlight w:val="none"/>
          <w:lang w:val="zh-CN"/>
        </w:rPr>
        <w:t>2</w:t>
      </w:r>
      <w:r>
        <w:rPr>
          <w:rFonts w:hint="eastAsia"/>
          <w:szCs w:val="21"/>
          <w:highlight w:val="none"/>
          <w:lang w:val="zh-CN"/>
        </w:rPr>
        <w:t>、付款方式：合同须签三方合同，签署周期较长。</w:t>
      </w:r>
    </w:p>
    <w:p>
      <w:pPr>
        <w:spacing w:line="360" w:lineRule="auto"/>
        <w:ind w:firstLine="420" w:firstLineChars="200"/>
        <w:rPr>
          <w:szCs w:val="21"/>
          <w:highlight w:val="none"/>
          <w:lang w:val="zh-CN"/>
        </w:rPr>
      </w:pPr>
      <w:r>
        <w:rPr>
          <w:rFonts w:hint="eastAsia"/>
          <w:szCs w:val="21"/>
          <w:highlight w:val="none"/>
          <w:lang w:val="zh-CN"/>
        </w:rPr>
        <w:t>项目初步验收后（验收内容包括:电子印章平台部署到位、调试完毕并达到试运行效果），凭招标人签字和盖章的初验报告，招标方合作银行（中国农业银行股份有限公司江北新区分行）根据其资金计划向丙方支付不超过合同总价的6</w:t>
      </w:r>
      <w:r>
        <w:rPr>
          <w:szCs w:val="21"/>
          <w:highlight w:val="none"/>
          <w:lang w:val="zh-CN"/>
        </w:rPr>
        <w:t>0%</w:t>
      </w:r>
      <w:r>
        <w:rPr>
          <w:rFonts w:hint="eastAsia"/>
          <w:szCs w:val="21"/>
          <w:highlight w:val="none"/>
          <w:lang w:val="zh-CN"/>
        </w:rPr>
        <w:t>货款。</w:t>
      </w:r>
    </w:p>
    <w:p>
      <w:pPr>
        <w:spacing w:line="360" w:lineRule="auto"/>
        <w:ind w:firstLine="420" w:firstLineChars="200"/>
        <w:rPr>
          <w:szCs w:val="21"/>
          <w:highlight w:val="none"/>
          <w:lang w:val="zh-CN"/>
        </w:rPr>
      </w:pPr>
      <w:r>
        <w:rPr>
          <w:rFonts w:hint="eastAsia"/>
          <w:szCs w:val="21"/>
          <w:highlight w:val="none"/>
          <w:lang w:val="zh-CN"/>
        </w:rPr>
        <w:t>项目终验合格后，凭招标人签字和盖章的验收报告，招标方合作银行（中国农业银行股份有限公司江北新区分行）根据其资金计划向丙方支付合同全部余款。</w:t>
      </w:r>
    </w:p>
    <w:p>
      <w:pPr>
        <w:spacing w:line="360" w:lineRule="auto"/>
        <w:ind w:firstLine="420" w:firstLineChars="200"/>
        <w:rPr>
          <w:szCs w:val="21"/>
          <w:highlight w:val="none"/>
          <w:lang w:val="zh-CN"/>
        </w:rPr>
      </w:pPr>
      <w:r>
        <w:rPr>
          <w:rFonts w:hint="eastAsia"/>
          <w:szCs w:val="21"/>
          <w:highlight w:val="none"/>
          <w:lang w:val="zh-CN"/>
        </w:rPr>
        <w:t>三年质保期满后且经有关单位确认无质量问题后，无息退还质保金。具体以签订合同为准。</w:t>
      </w:r>
    </w:p>
    <w:p>
      <w:pPr>
        <w:spacing w:line="360" w:lineRule="auto"/>
        <w:ind w:firstLine="420" w:firstLineChars="200"/>
        <w:rPr>
          <w:szCs w:val="21"/>
          <w:highlight w:val="none"/>
          <w:lang w:val="zh-CN"/>
        </w:rPr>
      </w:pPr>
      <w:r>
        <w:rPr>
          <w:rFonts w:hint="eastAsia"/>
          <w:szCs w:val="21"/>
          <w:highlight w:val="none"/>
          <w:lang w:val="zh-CN"/>
        </w:rPr>
        <w:t>具体付款时间、开票内容均以招标方合作银行（中国农业银行股份有限公司江北新区分行）和校方要求为准。</w:t>
      </w:r>
    </w:p>
    <w:p>
      <w:pPr>
        <w:spacing w:line="360" w:lineRule="auto"/>
        <w:ind w:firstLine="420" w:firstLineChars="200"/>
        <w:rPr>
          <w:szCs w:val="21"/>
          <w:highlight w:val="none"/>
        </w:rPr>
      </w:pPr>
      <w:r>
        <w:rPr>
          <w:szCs w:val="21"/>
          <w:highlight w:val="none"/>
        </w:rPr>
        <w:t>3</w:t>
      </w:r>
      <w:r>
        <w:rPr>
          <w:rFonts w:hint="eastAsia"/>
          <w:szCs w:val="21"/>
          <w:highlight w:val="none"/>
        </w:rPr>
        <w:t>、乙方凭以下有效文件与丙方结算：</w:t>
      </w:r>
    </w:p>
    <w:p>
      <w:pPr>
        <w:spacing w:line="360" w:lineRule="auto"/>
        <w:ind w:firstLine="420" w:firstLineChars="200"/>
        <w:rPr>
          <w:szCs w:val="21"/>
          <w:highlight w:val="none"/>
        </w:rPr>
      </w:pPr>
      <w:r>
        <w:rPr>
          <w:rFonts w:hint="eastAsia" w:ascii="宋体" w:hAnsi="宋体" w:cs="宋体"/>
          <w:szCs w:val="21"/>
          <w:highlight w:val="none"/>
        </w:rPr>
        <w:t>①</w:t>
      </w:r>
      <w:r>
        <w:rPr>
          <w:szCs w:val="21"/>
          <w:highlight w:val="none"/>
        </w:rPr>
        <w:t xml:space="preserve"> </w:t>
      </w:r>
      <w:r>
        <w:rPr>
          <w:rFonts w:hint="eastAsia"/>
          <w:szCs w:val="21"/>
          <w:highlight w:val="none"/>
        </w:rPr>
        <w:t>三方合同；</w:t>
      </w:r>
    </w:p>
    <w:p>
      <w:pPr>
        <w:spacing w:line="360" w:lineRule="auto"/>
        <w:ind w:firstLine="420" w:firstLineChars="200"/>
        <w:rPr>
          <w:szCs w:val="21"/>
          <w:highlight w:val="none"/>
        </w:rPr>
      </w:pPr>
      <w:r>
        <w:rPr>
          <w:rFonts w:hint="eastAsia" w:ascii="宋体" w:hAnsi="宋体" w:cs="宋体"/>
          <w:szCs w:val="21"/>
          <w:highlight w:val="none"/>
        </w:rPr>
        <w:t>②</w:t>
      </w:r>
      <w:r>
        <w:rPr>
          <w:szCs w:val="21"/>
          <w:highlight w:val="none"/>
        </w:rPr>
        <w:t xml:space="preserve"> </w:t>
      </w:r>
      <w:r>
        <w:rPr>
          <w:rFonts w:hint="eastAsia"/>
          <w:szCs w:val="21"/>
          <w:highlight w:val="none"/>
        </w:rPr>
        <w:t>丙方开具的增值税发票应符合乙方要求；</w:t>
      </w:r>
    </w:p>
    <w:p>
      <w:pPr>
        <w:spacing w:line="360" w:lineRule="auto"/>
        <w:ind w:firstLine="420" w:firstLineChars="200"/>
        <w:rPr>
          <w:szCs w:val="21"/>
          <w:highlight w:val="none"/>
        </w:rPr>
      </w:pPr>
      <w:r>
        <w:rPr>
          <w:rFonts w:hint="eastAsia" w:ascii="宋体" w:hAnsi="宋体" w:cs="宋体"/>
          <w:szCs w:val="21"/>
          <w:highlight w:val="none"/>
        </w:rPr>
        <w:t>③</w:t>
      </w:r>
      <w:r>
        <w:rPr>
          <w:szCs w:val="21"/>
          <w:highlight w:val="none"/>
        </w:rPr>
        <w:t xml:space="preserve"> </w:t>
      </w:r>
      <w:r>
        <w:rPr>
          <w:rFonts w:hint="eastAsia"/>
          <w:szCs w:val="21"/>
          <w:highlight w:val="none"/>
        </w:rPr>
        <w:t>甲方出具验收报告；</w:t>
      </w:r>
    </w:p>
    <w:p>
      <w:pPr>
        <w:pStyle w:val="58"/>
        <w:numPr>
          <w:ilvl w:val="0"/>
          <w:numId w:val="4"/>
        </w:numPr>
        <w:spacing w:line="360" w:lineRule="auto"/>
        <w:ind w:firstLineChars="0"/>
        <w:rPr>
          <w:szCs w:val="21"/>
          <w:highlight w:val="none"/>
        </w:rPr>
      </w:pPr>
      <w:r>
        <w:rPr>
          <w:rFonts w:hint="eastAsia"/>
          <w:szCs w:val="21"/>
          <w:highlight w:val="none"/>
        </w:rPr>
        <w:t>甲方出具付款通知书；</w:t>
      </w:r>
    </w:p>
    <w:p>
      <w:pPr>
        <w:spacing w:line="360" w:lineRule="auto"/>
        <w:ind w:firstLine="420" w:firstLineChars="200"/>
        <w:rPr>
          <w:szCs w:val="21"/>
          <w:highlight w:val="none"/>
        </w:rPr>
      </w:pPr>
      <w:r>
        <w:rPr>
          <w:rFonts w:hint="eastAsia" w:ascii="宋体" w:hAnsi="宋体" w:cs="宋体"/>
          <w:szCs w:val="21"/>
          <w:highlight w:val="none"/>
        </w:rPr>
        <w:t>⑤</w:t>
      </w:r>
      <w:r>
        <w:rPr>
          <w:szCs w:val="21"/>
          <w:highlight w:val="none"/>
        </w:rPr>
        <w:t xml:space="preserve"> </w:t>
      </w:r>
      <w:r>
        <w:rPr>
          <w:rFonts w:hint="eastAsia"/>
          <w:szCs w:val="21"/>
          <w:highlight w:val="none"/>
        </w:rPr>
        <w:t>其他相关材料。</w:t>
      </w:r>
    </w:p>
    <w:p>
      <w:pPr>
        <w:spacing w:line="360" w:lineRule="auto"/>
        <w:ind w:firstLine="420" w:firstLineChars="200"/>
        <w:rPr>
          <w:szCs w:val="21"/>
          <w:highlight w:val="none"/>
        </w:rPr>
      </w:pPr>
      <w:r>
        <w:rPr>
          <w:szCs w:val="21"/>
          <w:highlight w:val="none"/>
        </w:rPr>
        <w:t>4</w:t>
      </w:r>
      <w:r>
        <w:rPr>
          <w:rFonts w:hint="eastAsia"/>
          <w:szCs w:val="21"/>
          <w:highlight w:val="none"/>
        </w:rPr>
        <w:t>、丙方指定以下账户作为本合同项下款项结算：</w:t>
      </w:r>
    </w:p>
    <w:p>
      <w:pPr>
        <w:spacing w:line="360" w:lineRule="auto"/>
        <w:ind w:firstLine="420" w:firstLineChars="200"/>
        <w:rPr>
          <w:szCs w:val="21"/>
          <w:highlight w:val="none"/>
        </w:rPr>
      </w:pPr>
      <w:r>
        <w:rPr>
          <w:rFonts w:hint="eastAsia"/>
          <w:szCs w:val="21"/>
          <w:highlight w:val="none"/>
        </w:rPr>
        <w:t>账</w:t>
      </w:r>
      <w:r>
        <w:rPr>
          <w:szCs w:val="21"/>
          <w:highlight w:val="none"/>
        </w:rPr>
        <w:t xml:space="preserve"> </w:t>
      </w:r>
      <w:r>
        <w:rPr>
          <w:rFonts w:hint="eastAsia"/>
          <w:szCs w:val="21"/>
          <w:highlight w:val="none"/>
        </w:rPr>
        <w:t>户</w:t>
      </w:r>
      <w:r>
        <w:rPr>
          <w:szCs w:val="21"/>
          <w:highlight w:val="none"/>
        </w:rPr>
        <w:t xml:space="preserve"> </w:t>
      </w:r>
      <w:r>
        <w:rPr>
          <w:rFonts w:hint="eastAsia"/>
          <w:szCs w:val="21"/>
          <w:highlight w:val="none"/>
        </w:rPr>
        <w:t>名：</w:t>
      </w:r>
      <w:r>
        <w:rPr>
          <w:szCs w:val="21"/>
          <w:highlight w:val="none"/>
        </w:rPr>
        <w:t xml:space="preserve">  </w:t>
      </w:r>
    </w:p>
    <w:p>
      <w:pPr>
        <w:pStyle w:val="10"/>
        <w:adjustRightInd w:val="0"/>
        <w:snapToGrid w:val="0"/>
        <w:spacing w:before="120" w:after="120" w:line="360" w:lineRule="auto"/>
        <w:ind w:firstLine="420" w:firstLineChars="200"/>
        <w:rPr>
          <w:rFonts w:ascii="Times New Roman" w:hAnsi="Times New Roman"/>
          <w:szCs w:val="21"/>
          <w:highlight w:val="none"/>
        </w:rPr>
      </w:pPr>
      <w:r>
        <w:rPr>
          <w:rFonts w:hint="eastAsia" w:ascii="Times New Roman" w:hAnsi="Times New Roman"/>
          <w:szCs w:val="21"/>
          <w:highlight w:val="none"/>
        </w:rPr>
        <w:t>账户名称：</w:t>
      </w:r>
      <w:r>
        <w:rPr>
          <w:rFonts w:ascii="Times New Roman" w:hAnsi="Times New Roman"/>
          <w:szCs w:val="21"/>
          <w:highlight w:val="none"/>
        </w:rPr>
        <w:t xml:space="preserve">  </w:t>
      </w:r>
    </w:p>
    <w:p>
      <w:pPr>
        <w:pStyle w:val="10"/>
        <w:adjustRightInd w:val="0"/>
        <w:snapToGrid w:val="0"/>
        <w:spacing w:before="120" w:after="120" w:line="360" w:lineRule="auto"/>
        <w:ind w:firstLine="420" w:firstLineChars="200"/>
        <w:rPr>
          <w:rFonts w:ascii="Times New Roman" w:hAnsi="Times New Roman"/>
          <w:szCs w:val="21"/>
          <w:highlight w:val="none"/>
        </w:rPr>
      </w:pPr>
      <w:r>
        <w:rPr>
          <w:rFonts w:hint="eastAsia" w:ascii="Times New Roman" w:hAnsi="Times New Roman"/>
          <w:szCs w:val="21"/>
          <w:highlight w:val="none"/>
        </w:rPr>
        <w:t>开户银行：</w:t>
      </w:r>
      <w:r>
        <w:rPr>
          <w:rFonts w:ascii="Times New Roman" w:hAnsi="Times New Roman"/>
          <w:szCs w:val="21"/>
          <w:highlight w:val="none"/>
        </w:rPr>
        <w:t xml:space="preserve">  </w:t>
      </w:r>
    </w:p>
    <w:p>
      <w:pPr>
        <w:pStyle w:val="10"/>
        <w:adjustRightInd w:val="0"/>
        <w:snapToGrid w:val="0"/>
        <w:spacing w:before="120" w:after="120" w:line="360" w:lineRule="auto"/>
        <w:ind w:firstLine="420" w:firstLineChars="200"/>
        <w:rPr>
          <w:rFonts w:ascii="Times New Roman" w:hAnsi="Times New Roman"/>
          <w:szCs w:val="21"/>
          <w:highlight w:val="none"/>
        </w:rPr>
      </w:pPr>
      <w:r>
        <w:rPr>
          <w:rFonts w:hint="eastAsia" w:ascii="Times New Roman" w:hAnsi="Times New Roman"/>
          <w:szCs w:val="21"/>
          <w:highlight w:val="none"/>
        </w:rPr>
        <w:t>地址：</w:t>
      </w:r>
      <w:r>
        <w:rPr>
          <w:rFonts w:ascii="Times New Roman" w:hAnsi="Times New Roman"/>
          <w:szCs w:val="21"/>
          <w:highlight w:val="none"/>
        </w:rPr>
        <w:t xml:space="preserve">  </w:t>
      </w:r>
    </w:p>
    <w:p>
      <w:pPr>
        <w:pStyle w:val="10"/>
        <w:adjustRightInd w:val="0"/>
        <w:snapToGrid w:val="0"/>
        <w:spacing w:before="120" w:after="120" w:line="360" w:lineRule="auto"/>
        <w:ind w:firstLine="420" w:firstLineChars="200"/>
        <w:rPr>
          <w:rFonts w:ascii="Times New Roman" w:hAnsi="Times New Roman"/>
          <w:szCs w:val="21"/>
          <w:highlight w:val="none"/>
        </w:rPr>
      </w:pPr>
      <w:r>
        <w:rPr>
          <w:rFonts w:hint="eastAsia" w:ascii="Times New Roman" w:hAnsi="Times New Roman"/>
          <w:szCs w:val="21"/>
          <w:highlight w:val="none"/>
        </w:rPr>
        <w:t>账号：</w:t>
      </w:r>
      <w:r>
        <w:rPr>
          <w:rFonts w:ascii="Times New Roman" w:hAnsi="Times New Roman"/>
          <w:szCs w:val="21"/>
          <w:highlight w:val="none"/>
        </w:rPr>
        <w:t xml:space="preserve">  </w:t>
      </w:r>
    </w:p>
    <w:p>
      <w:pPr>
        <w:spacing w:line="360" w:lineRule="auto"/>
        <w:ind w:firstLine="420" w:firstLineChars="200"/>
        <w:rPr>
          <w:szCs w:val="21"/>
          <w:highlight w:val="none"/>
        </w:rPr>
      </w:pPr>
      <w:r>
        <w:rPr>
          <w:szCs w:val="21"/>
          <w:highlight w:val="none"/>
        </w:rPr>
        <w:t>5</w:t>
      </w:r>
      <w:r>
        <w:rPr>
          <w:rFonts w:hint="eastAsia"/>
          <w:szCs w:val="21"/>
          <w:highlight w:val="none"/>
        </w:rPr>
        <w:t>、乙方需向丙方支付的款项中已经包含增值税税款。丙方因本合同项下服务</w:t>
      </w:r>
      <w:r>
        <w:rPr>
          <w:szCs w:val="21"/>
          <w:highlight w:val="none"/>
        </w:rPr>
        <w:t>/</w:t>
      </w:r>
      <w:r>
        <w:rPr>
          <w:rFonts w:hint="eastAsia"/>
          <w:szCs w:val="21"/>
          <w:highlight w:val="none"/>
        </w:rPr>
        <w:t>货物而须支付的其他各项税费（包括但不限于增值税、城市维护建设税、教育费附加及地方教育费附加、印花税、及企业所得税等其他各项税费）应由丙方自行承担，不再向乙方收取。丙方保证合同各项标的对应的税率符合国家规定，且与最终付款时提供的发票税率一致。乙方如需履行代扣代缴义务，乙方将依据国家税收相关法律法规的规定履行代扣代缴义务，最终实际向客户支付的款项为扣除增值税税款及附加税费后的数额。</w:t>
      </w:r>
    </w:p>
    <w:p>
      <w:pPr>
        <w:spacing w:line="360" w:lineRule="auto"/>
        <w:ind w:firstLine="420" w:firstLineChars="200"/>
        <w:rPr>
          <w:szCs w:val="21"/>
          <w:highlight w:val="none"/>
        </w:rPr>
      </w:pPr>
      <w:r>
        <w:rPr>
          <w:szCs w:val="21"/>
          <w:highlight w:val="none"/>
        </w:rPr>
        <w:t>6</w:t>
      </w:r>
      <w:r>
        <w:rPr>
          <w:rFonts w:hint="eastAsia"/>
          <w:szCs w:val="21"/>
          <w:highlight w:val="none"/>
        </w:rPr>
        <w:t>、除特别说明外，丙方向乙方开具的发票指增值税专用发票，国家规定不能开具增值税专用发票的增值税纳税人，应向税务机关申请代开增值税专用发票。丙方应保证发票真实、合法，各项信息全面、完整。丙方开具的增值税专用发票符合以下情形之一的，乙方有权延迟支付应付款项，并要求丙方重新提供，且乙方不承担任何违约责任：</w:t>
      </w:r>
    </w:p>
    <w:p>
      <w:pPr>
        <w:spacing w:line="360" w:lineRule="auto"/>
        <w:ind w:firstLine="420" w:firstLineChars="200"/>
        <w:rPr>
          <w:szCs w:val="21"/>
          <w:highlight w:val="none"/>
        </w:rPr>
      </w:pPr>
      <w:r>
        <w:rPr>
          <w:szCs w:val="21"/>
          <w:highlight w:val="none"/>
        </w:rPr>
        <w:t>(1)</w:t>
      </w:r>
      <w:r>
        <w:rPr>
          <w:rFonts w:hint="eastAsia"/>
          <w:szCs w:val="21"/>
          <w:highlight w:val="none"/>
        </w:rPr>
        <w:t>提供作废、无效发票或因违反国家法律法规开具、提供发票的；</w:t>
      </w:r>
    </w:p>
    <w:p>
      <w:pPr>
        <w:spacing w:line="360" w:lineRule="auto"/>
        <w:ind w:firstLine="420" w:firstLineChars="200"/>
        <w:rPr>
          <w:szCs w:val="21"/>
          <w:highlight w:val="none"/>
        </w:rPr>
      </w:pPr>
      <w:r>
        <w:rPr>
          <w:szCs w:val="21"/>
          <w:highlight w:val="none"/>
        </w:rPr>
        <w:t>(2)</w:t>
      </w:r>
      <w:r>
        <w:rPr>
          <w:rFonts w:hint="eastAsia"/>
          <w:szCs w:val="21"/>
          <w:highlight w:val="none"/>
        </w:rPr>
        <w:t>开具发票种类错误，开具发票税率与合同约定不符；</w:t>
      </w:r>
    </w:p>
    <w:p>
      <w:pPr>
        <w:spacing w:line="360" w:lineRule="auto"/>
        <w:ind w:firstLine="420" w:firstLineChars="200"/>
        <w:rPr>
          <w:szCs w:val="21"/>
          <w:highlight w:val="none"/>
        </w:rPr>
      </w:pPr>
      <w:r>
        <w:rPr>
          <w:szCs w:val="21"/>
          <w:highlight w:val="none"/>
        </w:rPr>
        <w:t>(3)</w:t>
      </w:r>
      <w:r>
        <w:rPr>
          <w:rFonts w:hint="eastAsia"/>
          <w:szCs w:val="21"/>
          <w:highlight w:val="none"/>
        </w:rPr>
        <w:t>发票上的信息错误的；</w:t>
      </w:r>
    </w:p>
    <w:p>
      <w:pPr>
        <w:spacing w:line="360" w:lineRule="auto"/>
        <w:ind w:firstLine="420" w:firstLineChars="200"/>
        <w:rPr>
          <w:szCs w:val="21"/>
          <w:highlight w:val="none"/>
        </w:rPr>
      </w:pPr>
      <w:r>
        <w:rPr>
          <w:szCs w:val="21"/>
          <w:highlight w:val="none"/>
        </w:rPr>
        <w:t>(4)</w:t>
      </w:r>
      <w:r>
        <w:rPr>
          <w:rFonts w:hint="eastAsia"/>
          <w:szCs w:val="21"/>
          <w:highlight w:val="none"/>
        </w:rPr>
        <w:t>因客户延迟送达、开具错误等原因造成发票认证失败等其他情况；</w:t>
      </w:r>
    </w:p>
    <w:p>
      <w:pPr>
        <w:spacing w:line="360" w:lineRule="auto"/>
        <w:ind w:firstLine="420" w:firstLineChars="200"/>
        <w:rPr>
          <w:szCs w:val="21"/>
          <w:highlight w:val="none"/>
        </w:rPr>
      </w:pPr>
      <w:r>
        <w:rPr>
          <w:rFonts w:hint="eastAsia"/>
          <w:szCs w:val="21"/>
          <w:highlight w:val="none"/>
        </w:rPr>
        <w:t>如丙方拒绝重新提供或提供的发票仍不符合法律法规和监管规定的要求，乙方有权解除本合同，并要求丙方承担由此对乙方造成的全部损失。</w:t>
      </w:r>
      <w:r>
        <w:rPr>
          <w:szCs w:val="21"/>
          <w:highlight w:val="none"/>
        </w:rPr>
        <w:t xml:space="preserve"> </w:t>
      </w:r>
    </w:p>
    <w:p>
      <w:pPr>
        <w:spacing w:line="360" w:lineRule="auto"/>
        <w:ind w:firstLine="420" w:firstLineChars="200"/>
        <w:rPr>
          <w:szCs w:val="21"/>
          <w:highlight w:val="none"/>
        </w:rPr>
      </w:pPr>
      <w:r>
        <w:rPr>
          <w:szCs w:val="21"/>
          <w:highlight w:val="none"/>
        </w:rPr>
        <w:t>7</w:t>
      </w:r>
      <w:r>
        <w:rPr>
          <w:rFonts w:hint="eastAsia"/>
          <w:szCs w:val="21"/>
          <w:highlight w:val="none"/>
        </w:rPr>
        <w:t>、如果丙方向乙方开具虚假发票，乙方有权拒付合同款项、要求赔偿损失或解除本合同。</w:t>
      </w:r>
    </w:p>
    <w:p>
      <w:pPr>
        <w:spacing w:line="360" w:lineRule="auto"/>
        <w:ind w:firstLine="420" w:firstLineChars="200"/>
        <w:rPr>
          <w:szCs w:val="21"/>
          <w:highlight w:val="none"/>
        </w:rPr>
      </w:pPr>
      <w:r>
        <w:rPr>
          <w:szCs w:val="21"/>
          <w:highlight w:val="none"/>
        </w:rPr>
        <w:t>8</w:t>
      </w:r>
      <w:r>
        <w:rPr>
          <w:rFonts w:hint="eastAsia"/>
          <w:szCs w:val="21"/>
          <w:highlight w:val="none"/>
        </w:rPr>
        <w:t>、因丙方未按合同约定提供增值税专用发票或未及时开具提供增值税专用发票，而造成乙方无法抵扣增值税税额，乙方有权从未支付的合同款项中直接扣除乙方可抵扣税额。</w:t>
      </w:r>
    </w:p>
    <w:p>
      <w:pPr>
        <w:spacing w:line="360" w:lineRule="auto"/>
        <w:ind w:firstLine="420" w:firstLineChars="200"/>
        <w:rPr>
          <w:szCs w:val="21"/>
          <w:highlight w:val="none"/>
        </w:rPr>
      </w:pPr>
      <w:r>
        <w:rPr>
          <w:szCs w:val="21"/>
          <w:highlight w:val="none"/>
        </w:rPr>
        <w:t>9</w:t>
      </w:r>
      <w:r>
        <w:rPr>
          <w:rFonts w:hint="eastAsia"/>
          <w:szCs w:val="21"/>
          <w:highlight w:val="none"/>
        </w:rPr>
        <w:t>、因丙方发票税率与合同约定税率不一致导致税额不一致，并有损乙方权益的，乙方有权将税额差额从未支付的合同款项中予以直接扣除。</w:t>
      </w:r>
    </w:p>
    <w:p>
      <w:pPr>
        <w:spacing w:line="360" w:lineRule="auto"/>
        <w:ind w:firstLine="420" w:firstLineChars="200"/>
        <w:rPr>
          <w:szCs w:val="21"/>
          <w:highlight w:val="none"/>
        </w:rPr>
      </w:pPr>
      <w:r>
        <w:rPr>
          <w:szCs w:val="21"/>
          <w:highlight w:val="none"/>
        </w:rPr>
        <w:t>10</w:t>
      </w:r>
      <w:r>
        <w:rPr>
          <w:rFonts w:hint="eastAsia"/>
          <w:szCs w:val="21"/>
          <w:highlight w:val="none"/>
        </w:rPr>
        <w:t>、若出现退款的，对于需要进行作废处理或开具红字发票的情况，丙方有义务配合乙方完成相关发票的处理事宜。</w:t>
      </w:r>
    </w:p>
    <w:p>
      <w:pPr>
        <w:spacing w:line="360" w:lineRule="auto"/>
        <w:ind w:firstLine="420" w:firstLineChars="200"/>
        <w:rPr>
          <w:szCs w:val="21"/>
          <w:highlight w:val="none"/>
        </w:rPr>
      </w:pPr>
      <w:r>
        <w:rPr>
          <w:szCs w:val="21"/>
          <w:highlight w:val="none"/>
        </w:rPr>
        <w:t>11</w:t>
      </w:r>
      <w:r>
        <w:rPr>
          <w:rFonts w:hint="eastAsia"/>
          <w:szCs w:val="21"/>
          <w:highlight w:val="none"/>
        </w:rPr>
        <w:t>、丙方向乙方开具增值税发票的时间</w:t>
      </w:r>
      <w:r>
        <w:rPr>
          <w:szCs w:val="21"/>
          <w:highlight w:val="none"/>
        </w:rPr>
        <w:t>______________________</w:t>
      </w:r>
      <w:r>
        <w:rPr>
          <w:rFonts w:hint="eastAsia"/>
          <w:szCs w:val="21"/>
          <w:highlight w:val="none"/>
        </w:rPr>
        <w:t>。</w:t>
      </w:r>
      <w:r>
        <w:rPr>
          <w:szCs w:val="21"/>
          <w:highlight w:val="none"/>
        </w:rPr>
        <w:t>”</w:t>
      </w:r>
      <w:r>
        <w:rPr>
          <w:rFonts w:hint="eastAsia"/>
          <w:szCs w:val="21"/>
          <w:highlight w:val="none"/>
        </w:rPr>
        <w:t>（请根据实际情况自行约定）</w:t>
      </w:r>
    </w:p>
    <w:p>
      <w:pPr>
        <w:pStyle w:val="10"/>
        <w:adjustRightInd w:val="0"/>
        <w:snapToGrid w:val="0"/>
        <w:spacing w:before="120" w:after="120" w:line="360" w:lineRule="auto"/>
        <w:ind w:firstLine="422" w:firstLineChars="200"/>
        <w:rPr>
          <w:rFonts w:ascii="Times New Roman" w:hAnsi="Times New Roman"/>
          <w:b/>
          <w:szCs w:val="21"/>
          <w:highlight w:val="none"/>
        </w:rPr>
      </w:pPr>
      <w:r>
        <w:rPr>
          <w:rFonts w:hint="eastAsia" w:ascii="Times New Roman" w:hAnsi="Times New Roman"/>
          <w:b/>
          <w:szCs w:val="21"/>
          <w:highlight w:val="none"/>
        </w:rPr>
        <w:t>六、质保期及售后服务要求</w:t>
      </w:r>
    </w:p>
    <w:p>
      <w:pPr>
        <w:numPr>
          <w:ilvl w:val="0"/>
          <w:numId w:val="5"/>
        </w:numPr>
        <w:autoSpaceDE w:val="0"/>
        <w:autoSpaceDN w:val="0"/>
        <w:adjustRightInd w:val="0"/>
        <w:spacing w:line="360" w:lineRule="auto"/>
        <w:ind w:firstLine="411" w:firstLineChars="196"/>
        <w:rPr>
          <w:szCs w:val="21"/>
          <w:highlight w:val="none"/>
        </w:rPr>
      </w:pPr>
      <w:r>
        <w:rPr>
          <w:rFonts w:hint="eastAsia"/>
          <w:szCs w:val="21"/>
          <w:highlight w:val="none"/>
        </w:rPr>
        <w:t>本项目质保期为</w:t>
      </w:r>
      <w:r>
        <w:rPr>
          <w:szCs w:val="21"/>
          <w:highlight w:val="none"/>
          <w:u w:val="single"/>
        </w:rPr>
        <w:t xml:space="preserve">   </w:t>
      </w:r>
      <w:r>
        <w:rPr>
          <w:rFonts w:hint="eastAsia"/>
          <w:szCs w:val="21"/>
          <w:highlight w:val="none"/>
        </w:rPr>
        <w:t>年，自验收合格之日起生效。</w:t>
      </w:r>
      <w:r>
        <w:rPr>
          <w:szCs w:val="21"/>
          <w:highlight w:val="none"/>
        </w:rPr>
        <w:t xml:space="preserve"> </w:t>
      </w:r>
    </w:p>
    <w:p>
      <w:pPr>
        <w:pStyle w:val="43"/>
        <w:numPr>
          <w:ilvl w:val="0"/>
          <w:numId w:val="5"/>
        </w:numPr>
        <w:autoSpaceDE w:val="0"/>
        <w:autoSpaceDN w:val="0"/>
        <w:adjustRightInd w:val="0"/>
        <w:spacing w:line="360" w:lineRule="auto"/>
        <w:rPr>
          <w:rFonts w:ascii="Times New Roman" w:hAnsi="Times New Roman"/>
          <w:highlight w:val="none"/>
        </w:rPr>
      </w:pPr>
      <w:r>
        <w:rPr>
          <w:rFonts w:hint="eastAsia" w:ascii="Times New Roman" w:hAnsi="Times New Roman"/>
          <w:highlight w:val="none"/>
        </w:rPr>
        <w:t>在质保期内，丙方提供免费系统运行维护。维护内容包括但不限于：程序</w:t>
      </w:r>
      <w:r>
        <w:rPr>
          <w:rFonts w:ascii="Times New Roman" w:hAnsi="Times New Roman"/>
          <w:highlight w:val="none"/>
        </w:rPr>
        <w:t>BUG</w:t>
      </w:r>
      <w:r>
        <w:rPr>
          <w:rFonts w:hint="eastAsia" w:ascii="Times New Roman" w:hAnsi="Times New Roman"/>
          <w:highlight w:val="none"/>
        </w:rPr>
        <w:t>诊断和排除、系统数据修正、系统参数重新定义和调整、系统性缺陷诊断以及系统迭代升级等。</w:t>
      </w:r>
    </w:p>
    <w:p>
      <w:pPr>
        <w:pStyle w:val="43"/>
        <w:numPr>
          <w:ilvl w:val="0"/>
          <w:numId w:val="5"/>
        </w:numPr>
        <w:autoSpaceDE w:val="0"/>
        <w:autoSpaceDN w:val="0"/>
        <w:adjustRightInd w:val="0"/>
        <w:spacing w:line="360" w:lineRule="auto"/>
        <w:rPr>
          <w:rFonts w:ascii="Times New Roman" w:hAnsi="Times New Roman"/>
          <w:highlight w:val="none"/>
        </w:rPr>
      </w:pPr>
      <w:r>
        <w:rPr>
          <w:rFonts w:hint="eastAsia" w:ascii="Times New Roman" w:hAnsi="Times New Roman"/>
          <w:highlight w:val="none"/>
        </w:rPr>
        <w:t>在质保期内，丙方在</w:t>
      </w:r>
      <w:r>
        <w:rPr>
          <w:rFonts w:ascii="Times New Roman" w:hAnsi="Times New Roman"/>
          <w:highlight w:val="none"/>
        </w:rPr>
        <w:t>7*24</w:t>
      </w:r>
      <w:r>
        <w:rPr>
          <w:rFonts w:hint="eastAsia" w:ascii="Times New Roman" w:hAnsi="Times New Roman"/>
          <w:highlight w:val="none"/>
        </w:rPr>
        <w:t>小时内提供实现服务与维护，通常软件系统故障，提供实时响应远程解决。在远程维护无法排除故障时，丙方提供</w:t>
      </w:r>
      <w:r>
        <w:rPr>
          <w:rFonts w:ascii="Times New Roman" w:hAnsi="Times New Roman"/>
          <w:highlight w:val="none"/>
        </w:rPr>
        <w:t>48</w:t>
      </w:r>
      <w:r>
        <w:rPr>
          <w:rFonts w:hint="eastAsia" w:ascii="Times New Roman" w:hAnsi="Times New Roman"/>
          <w:highlight w:val="none"/>
        </w:rPr>
        <w:t>小时内到达现场服务。在质保期内，丙方应免费提供软件升级及技术实现服务等，保证甲方系统的正常运行。</w:t>
      </w:r>
    </w:p>
    <w:p>
      <w:pPr>
        <w:pStyle w:val="10"/>
        <w:adjustRightInd w:val="0"/>
        <w:snapToGrid w:val="0"/>
        <w:spacing w:before="120" w:after="120" w:line="360" w:lineRule="auto"/>
        <w:ind w:firstLine="422" w:firstLineChars="200"/>
        <w:rPr>
          <w:rFonts w:ascii="Times New Roman" w:hAnsi="Times New Roman"/>
          <w:b/>
          <w:szCs w:val="21"/>
          <w:highlight w:val="none"/>
        </w:rPr>
      </w:pPr>
      <w:r>
        <w:rPr>
          <w:rFonts w:hint="eastAsia" w:ascii="Times New Roman" w:hAnsi="Times New Roman"/>
          <w:b/>
          <w:szCs w:val="21"/>
          <w:highlight w:val="none"/>
        </w:rPr>
        <w:t>七、验收</w:t>
      </w:r>
    </w:p>
    <w:p>
      <w:pPr>
        <w:pStyle w:val="10"/>
        <w:adjustRightInd w:val="0"/>
        <w:snapToGrid w:val="0"/>
        <w:spacing w:before="120" w:after="120" w:line="360" w:lineRule="auto"/>
        <w:ind w:left="1" w:firstLine="480"/>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rPr>
        <w:t>、</w:t>
      </w:r>
      <w:r>
        <w:rPr>
          <w:rFonts w:ascii="Times New Roman" w:hAnsi="Times New Roman"/>
          <w:szCs w:val="21"/>
          <w:highlight w:val="none"/>
        </w:rPr>
        <w:t xml:space="preserve"> </w:t>
      </w:r>
      <w:r>
        <w:rPr>
          <w:rFonts w:hint="eastAsia" w:ascii="Times New Roman" w:hAnsi="Times New Roman"/>
          <w:szCs w:val="21"/>
          <w:highlight w:val="none"/>
        </w:rPr>
        <w:t>甲方对丙方提交的软件产品依据合同、招标文件和投标文件上的技术参数要求和国家有关质量标准进行现场初步验收，功能参数符合采购文件技术和投标文件要求的，给予签收，初步验收不合格的不予签收。</w:t>
      </w:r>
    </w:p>
    <w:p>
      <w:pPr>
        <w:pStyle w:val="10"/>
        <w:adjustRightInd w:val="0"/>
        <w:snapToGrid w:val="0"/>
        <w:spacing w:before="120" w:after="120" w:line="360" w:lineRule="auto"/>
        <w:ind w:left="1" w:firstLine="480"/>
        <w:rPr>
          <w:rFonts w:ascii="Times New Roman" w:hAnsi="Times New Roman"/>
          <w:szCs w:val="21"/>
          <w:highlight w:val="none"/>
        </w:rPr>
      </w:pPr>
      <w:r>
        <w:rPr>
          <w:rFonts w:ascii="Times New Roman" w:hAnsi="Times New Roman"/>
          <w:szCs w:val="21"/>
          <w:highlight w:val="none"/>
        </w:rPr>
        <w:t>2</w:t>
      </w:r>
      <w:r>
        <w:rPr>
          <w:rFonts w:hint="eastAsia" w:ascii="Times New Roman" w:hAnsi="Times New Roman"/>
          <w:szCs w:val="21"/>
          <w:highlight w:val="none"/>
        </w:rPr>
        <w:t>、</w:t>
      </w:r>
      <w:r>
        <w:rPr>
          <w:rFonts w:ascii="Times New Roman" w:hAnsi="Times New Roman"/>
          <w:szCs w:val="21"/>
          <w:highlight w:val="none"/>
        </w:rPr>
        <w:t xml:space="preserve"> </w:t>
      </w:r>
      <w:r>
        <w:rPr>
          <w:rFonts w:hint="eastAsia" w:ascii="Times New Roman" w:hAnsi="Times New Roman"/>
          <w:szCs w:val="21"/>
          <w:highlight w:val="none"/>
        </w:rPr>
        <w:t>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480"/>
        <w:rPr>
          <w:rFonts w:ascii="Times New Roman" w:hAnsi="Times New Roman"/>
          <w:szCs w:val="21"/>
          <w:highlight w:val="none"/>
          <w:u w:val="single"/>
        </w:rPr>
      </w:pPr>
      <w:r>
        <w:rPr>
          <w:rFonts w:ascii="Times New Roman" w:hAnsi="Times New Roman"/>
          <w:szCs w:val="21"/>
          <w:highlight w:val="none"/>
        </w:rPr>
        <w:t>3</w:t>
      </w:r>
      <w:r>
        <w:rPr>
          <w:rFonts w:hint="eastAsia" w:ascii="Times New Roman" w:hAnsi="Times New Roman"/>
          <w:szCs w:val="21"/>
          <w:highlight w:val="none"/>
        </w:rPr>
        <w:t>、</w:t>
      </w:r>
      <w:r>
        <w:rPr>
          <w:rFonts w:ascii="Times New Roman" w:hAnsi="Times New Roman"/>
          <w:szCs w:val="21"/>
          <w:highlight w:val="none"/>
        </w:rPr>
        <w:t xml:space="preserve"> </w:t>
      </w:r>
      <w:r>
        <w:rPr>
          <w:rFonts w:hint="eastAsia" w:ascii="Times New Roman" w:hAnsi="Times New Roman"/>
          <w:szCs w:val="21"/>
          <w:highlight w:val="none"/>
        </w:rPr>
        <w:t>甲方对丙方提供的货物在使用前进行调试时，丙方需负责安装并培训甲方的使用人员，直到符合技术要求，甲方才做最终验收。</w:t>
      </w:r>
    </w:p>
    <w:p>
      <w:pPr>
        <w:pStyle w:val="10"/>
        <w:adjustRightInd w:val="0"/>
        <w:snapToGrid w:val="0"/>
        <w:spacing w:before="120" w:after="120" w:line="360" w:lineRule="auto"/>
        <w:ind w:left="1" w:firstLine="480"/>
        <w:rPr>
          <w:rFonts w:ascii="Times New Roman" w:hAnsi="Times New Roman"/>
          <w:szCs w:val="21"/>
          <w:highlight w:val="none"/>
        </w:rPr>
      </w:pPr>
      <w:r>
        <w:rPr>
          <w:rFonts w:ascii="Times New Roman" w:hAnsi="Times New Roman"/>
          <w:szCs w:val="21"/>
          <w:highlight w:val="none"/>
        </w:rPr>
        <w:t xml:space="preserve">4 </w:t>
      </w:r>
      <w:r>
        <w:rPr>
          <w:rFonts w:hint="eastAsia" w:ascii="Times New Roman" w:hAnsi="Times New Roman"/>
          <w:szCs w:val="21"/>
          <w:highlight w:val="none"/>
        </w:rPr>
        <w:t>、验收时丙方必须在现场，验收完毕后作出验收结果报告，验收报告须经甲方最终用户签字和部门盖章。</w:t>
      </w:r>
    </w:p>
    <w:p>
      <w:pPr>
        <w:pStyle w:val="10"/>
        <w:numPr>
          <w:ilvl w:val="0"/>
          <w:numId w:val="5"/>
        </w:numPr>
        <w:adjustRightInd w:val="0"/>
        <w:snapToGrid w:val="0"/>
        <w:spacing w:before="120" w:after="120" w:line="360" w:lineRule="auto"/>
        <w:ind w:left="1" w:firstLine="480"/>
        <w:rPr>
          <w:rFonts w:ascii="Times New Roman" w:hAnsi="Times New Roman"/>
          <w:szCs w:val="21"/>
          <w:highlight w:val="none"/>
        </w:rPr>
      </w:pPr>
      <w:r>
        <w:rPr>
          <w:rFonts w:hint="eastAsia" w:ascii="Times New Roman" w:hAnsi="Times New Roman"/>
          <w:szCs w:val="21"/>
          <w:highlight w:val="none"/>
        </w:rPr>
        <w:t>甲方根据自身业务需要，可适当变更需求，丙方需无条件在指定期限内免费满足。</w:t>
      </w:r>
    </w:p>
    <w:p>
      <w:pPr>
        <w:pStyle w:val="10"/>
        <w:numPr>
          <w:ilvl w:val="0"/>
          <w:numId w:val="5"/>
        </w:numPr>
        <w:adjustRightInd w:val="0"/>
        <w:snapToGrid w:val="0"/>
        <w:spacing w:before="120" w:after="120" w:line="360" w:lineRule="auto"/>
        <w:ind w:left="1" w:firstLine="480"/>
        <w:rPr>
          <w:rFonts w:ascii="Times New Roman" w:hAnsi="Times New Roman"/>
          <w:szCs w:val="21"/>
          <w:highlight w:val="none"/>
        </w:rPr>
      </w:pPr>
      <w:r>
        <w:rPr>
          <w:rFonts w:hint="eastAsia" w:ascii="Times New Roman" w:hAnsi="Times New Roman"/>
          <w:szCs w:val="21"/>
          <w:highlight w:val="none"/>
        </w:rPr>
        <w:t>甲方在验收后，需做好项目资产的登记备案的管理工作，项目资产的所有权归属乙方。</w:t>
      </w:r>
    </w:p>
    <w:p>
      <w:pPr>
        <w:pStyle w:val="10"/>
        <w:adjustRightInd w:val="0"/>
        <w:snapToGrid w:val="0"/>
        <w:spacing w:before="120" w:after="120" w:line="360" w:lineRule="auto"/>
        <w:ind w:firstLine="422" w:firstLineChars="200"/>
        <w:rPr>
          <w:rFonts w:ascii="Times New Roman" w:hAnsi="Times New Roman"/>
          <w:b/>
          <w:szCs w:val="21"/>
          <w:highlight w:val="none"/>
        </w:rPr>
      </w:pPr>
      <w:r>
        <w:rPr>
          <w:rFonts w:hint="eastAsia" w:ascii="Times New Roman" w:hAnsi="Times New Roman"/>
          <w:b/>
          <w:szCs w:val="21"/>
          <w:highlight w:val="none"/>
        </w:rPr>
        <w:t>八、违约责任与赔偿损失</w:t>
      </w:r>
    </w:p>
    <w:p>
      <w:pPr>
        <w:numPr>
          <w:ilvl w:val="0"/>
          <w:numId w:val="6"/>
        </w:numPr>
        <w:autoSpaceDE w:val="0"/>
        <w:autoSpaceDN w:val="0"/>
        <w:adjustRightInd w:val="0"/>
        <w:spacing w:line="360" w:lineRule="auto"/>
        <w:ind w:firstLine="420" w:firstLineChars="200"/>
        <w:rPr>
          <w:szCs w:val="21"/>
          <w:highlight w:val="none"/>
        </w:rPr>
      </w:pPr>
      <w:r>
        <w:rPr>
          <w:rFonts w:hint="eastAsia"/>
          <w:szCs w:val="21"/>
          <w:highlight w:val="none"/>
        </w:rPr>
        <w:t>丙方交付的产品不符合招标文件、投标文件或本合同规定的，甲方有权拒收，并且丙方须向乙方支付本合同总价款的</w:t>
      </w:r>
      <w:r>
        <w:rPr>
          <w:szCs w:val="21"/>
          <w:highlight w:val="none"/>
        </w:rPr>
        <w:t>5%</w:t>
      </w:r>
      <w:r>
        <w:rPr>
          <w:rFonts w:hint="eastAsia"/>
          <w:szCs w:val="21"/>
          <w:highlight w:val="none"/>
        </w:rPr>
        <w:t>的违约金；</w:t>
      </w:r>
    </w:p>
    <w:p>
      <w:pPr>
        <w:numPr>
          <w:ilvl w:val="0"/>
          <w:numId w:val="6"/>
        </w:numPr>
        <w:autoSpaceDE w:val="0"/>
        <w:autoSpaceDN w:val="0"/>
        <w:adjustRightInd w:val="0"/>
        <w:spacing w:line="360" w:lineRule="auto"/>
        <w:ind w:firstLine="420" w:firstLineChars="200"/>
        <w:rPr>
          <w:szCs w:val="21"/>
          <w:highlight w:val="none"/>
        </w:rPr>
      </w:pPr>
      <w:r>
        <w:rPr>
          <w:rFonts w:hint="eastAsia"/>
          <w:szCs w:val="21"/>
          <w:highlight w:val="none"/>
        </w:rPr>
        <w:t>丙方未能按本合同规定的完工期交付货物或服务，从逾期之日起每日按本合同总价款的</w:t>
      </w:r>
      <w:r>
        <w:rPr>
          <w:szCs w:val="21"/>
          <w:highlight w:val="none"/>
        </w:rPr>
        <w:t>3‰</w:t>
      </w:r>
      <w:r>
        <w:rPr>
          <w:rFonts w:hint="eastAsia"/>
          <w:szCs w:val="21"/>
          <w:highlight w:val="none"/>
        </w:rPr>
        <w:t>向甲方支付违约金；逾期半个月以上的，甲方有权终止合同，由此造成的甲方经济损失由丙方承担；</w:t>
      </w:r>
    </w:p>
    <w:p>
      <w:pPr>
        <w:numPr>
          <w:ilvl w:val="0"/>
          <w:numId w:val="6"/>
        </w:numPr>
        <w:autoSpaceDE w:val="0"/>
        <w:autoSpaceDN w:val="0"/>
        <w:adjustRightInd w:val="0"/>
        <w:spacing w:line="360" w:lineRule="auto"/>
        <w:ind w:firstLine="420" w:firstLineChars="200"/>
        <w:rPr>
          <w:szCs w:val="21"/>
          <w:highlight w:val="none"/>
        </w:rPr>
      </w:pPr>
      <w:r>
        <w:rPr>
          <w:rFonts w:hint="eastAsia"/>
          <w:szCs w:val="21"/>
          <w:highlight w:val="none"/>
        </w:rPr>
        <w:t>甲方无正当理由拒收货物、服务，甲方向丙方支付本合同总价款的</w:t>
      </w:r>
      <w:r>
        <w:rPr>
          <w:szCs w:val="21"/>
          <w:highlight w:val="none"/>
        </w:rPr>
        <w:t>5%</w:t>
      </w:r>
      <w:r>
        <w:rPr>
          <w:rFonts w:hint="eastAsia"/>
          <w:szCs w:val="21"/>
          <w:highlight w:val="none"/>
        </w:rPr>
        <w:t>的违约金；</w:t>
      </w:r>
    </w:p>
    <w:p>
      <w:pPr>
        <w:numPr>
          <w:ilvl w:val="0"/>
          <w:numId w:val="6"/>
        </w:numPr>
        <w:autoSpaceDE w:val="0"/>
        <w:autoSpaceDN w:val="0"/>
        <w:adjustRightInd w:val="0"/>
        <w:spacing w:line="360" w:lineRule="auto"/>
        <w:ind w:firstLine="420" w:firstLineChars="200"/>
        <w:rPr>
          <w:szCs w:val="21"/>
          <w:highlight w:val="none"/>
        </w:rPr>
      </w:pPr>
      <w:r>
        <w:rPr>
          <w:rFonts w:hint="eastAsia"/>
          <w:szCs w:val="21"/>
          <w:highlight w:val="none"/>
        </w:rPr>
        <w:t>丙方有义务为甲方系统内基础信息和数据保密，丙方未经甲方同意不得向任意第三方展示、复制、传输甲方系统内部基础信息和数据。如有违反本条的规定，甲方将保留追究丙方法律责任的权利。</w:t>
      </w:r>
    </w:p>
    <w:p>
      <w:pPr>
        <w:numPr>
          <w:ilvl w:val="0"/>
          <w:numId w:val="6"/>
        </w:numPr>
        <w:autoSpaceDE w:val="0"/>
        <w:autoSpaceDN w:val="0"/>
        <w:adjustRightInd w:val="0"/>
        <w:snapToGrid w:val="0"/>
        <w:spacing w:before="120" w:after="120" w:line="360" w:lineRule="auto"/>
        <w:ind w:firstLine="420" w:firstLineChars="200"/>
        <w:rPr>
          <w:bCs/>
          <w:szCs w:val="21"/>
          <w:highlight w:val="none"/>
        </w:rPr>
      </w:pPr>
      <w:r>
        <w:rPr>
          <w:rFonts w:hint="eastAsia"/>
          <w:szCs w:val="21"/>
          <w:highlight w:val="none"/>
        </w:rPr>
        <w:t>质保期内，丙方未能按合同的约定提供修复服务或不能在承诺时间内修复故障，甲方有权请第三方进行修复，由此造成的费用和损失由丙方（及</w:t>
      </w:r>
      <w:r>
        <w:rPr>
          <w:szCs w:val="21"/>
          <w:highlight w:val="none"/>
        </w:rPr>
        <w:t>/</w:t>
      </w:r>
      <w:r>
        <w:rPr>
          <w:rFonts w:hint="eastAsia"/>
          <w:szCs w:val="21"/>
          <w:highlight w:val="none"/>
        </w:rPr>
        <w:t>或原厂商）承担。</w:t>
      </w:r>
    </w:p>
    <w:p>
      <w:pPr>
        <w:numPr>
          <w:ilvl w:val="0"/>
          <w:numId w:val="6"/>
        </w:numPr>
        <w:autoSpaceDE w:val="0"/>
        <w:autoSpaceDN w:val="0"/>
        <w:adjustRightInd w:val="0"/>
        <w:snapToGrid w:val="0"/>
        <w:spacing w:before="120" w:after="120" w:line="360" w:lineRule="auto"/>
        <w:ind w:firstLine="420" w:firstLineChars="200"/>
        <w:rPr>
          <w:szCs w:val="21"/>
          <w:highlight w:val="none"/>
        </w:rPr>
      </w:pPr>
      <w:r>
        <w:rPr>
          <w:rFonts w:hint="eastAsia"/>
          <w:bCs/>
          <w:szCs w:val="21"/>
          <w:highlight w:val="none"/>
        </w:rPr>
        <w:t>货物送至甲方指定地点，安装调试并验收合格视为交付。交付前，货物的毁损灭失风险由供应商承担；交付后，货物的毁损灭失风险由采购人承担。</w:t>
      </w:r>
    </w:p>
    <w:p>
      <w:pPr>
        <w:autoSpaceDE w:val="0"/>
        <w:autoSpaceDN w:val="0"/>
        <w:adjustRightInd w:val="0"/>
        <w:snapToGrid w:val="0"/>
        <w:spacing w:before="120" w:after="120" w:line="360" w:lineRule="auto"/>
        <w:ind w:firstLine="422" w:firstLineChars="200"/>
        <w:rPr>
          <w:bCs/>
          <w:szCs w:val="21"/>
          <w:highlight w:val="none"/>
        </w:rPr>
      </w:pPr>
      <w:r>
        <w:rPr>
          <w:rFonts w:hint="eastAsia"/>
          <w:b/>
          <w:szCs w:val="21"/>
          <w:highlight w:val="none"/>
        </w:rPr>
        <w:t>九、争议的解决</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szCs w:val="21"/>
          <w:highlight w:val="none"/>
        </w:rPr>
        <w:t>合同执行过程中发生的任何争议，如各方不能通过友好协商解决，可提交乙方所在地人民法院诉讼。</w:t>
      </w:r>
    </w:p>
    <w:p>
      <w:pPr>
        <w:pStyle w:val="10"/>
        <w:adjustRightInd w:val="0"/>
        <w:snapToGrid w:val="0"/>
        <w:spacing w:before="120" w:after="120" w:line="360" w:lineRule="auto"/>
        <w:ind w:firstLine="422" w:firstLineChars="200"/>
        <w:rPr>
          <w:rFonts w:ascii="Times New Roman" w:hAnsi="Times New Roman"/>
          <w:b/>
          <w:szCs w:val="21"/>
          <w:highlight w:val="none"/>
        </w:rPr>
      </w:pPr>
      <w:r>
        <w:rPr>
          <w:rFonts w:hint="eastAsia" w:ascii="Times New Roman" w:hAnsi="Times New Roman"/>
          <w:b/>
          <w:szCs w:val="21"/>
          <w:highlight w:val="none"/>
        </w:rPr>
        <w:t>十、不可抗力</w:t>
      </w:r>
    </w:p>
    <w:p>
      <w:pPr>
        <w:pStyle w:val="10"/>
        <w:adjustRightInd w:val="0"/>
        <w:snapToGrid w:val="0"/>
        <w:spacing w:before="120" w:after="120" w:line="360" w:lineRule="auto"/>
        <w:ind w:firstLine="482"/>
        <w:rPr>
          <w:rFonts w:ascii="Times New Roman" w:hAnsi="Times New Roman"/>
          <w:szCs w:val="21"/>
          <w:highlight w:val="none"/>
        </w:rPr>
      </w:pPr>
      <w:r>
        <w:rPr>
          <w:rFonts w:hint="eastAsia" w:ascii="Times New Roman" w:hAnsi="Times New Roman"/>
          <w:szCs w:val="21"/>
          <w:highlight w:val="none"/>
        </w:rPr>
        <w:t>由于发生不能预见、不能避免并不能克服的不可抗力情形，致使直接影响本合同的履行或不能按照本合同项下之约定履行时，遇有不可抗力的一方应当立即书面通知对方，并在发生不可抗力之日起</w:t>
      </w:r>
      <w:r>
        <w:rPr>
          <w:rFonts w:ascii="Times New Roman" w:hAnsi="Times New Roman"/>
          <w:szCs w:val="21"/>
          <w:highlight w:val="none"/>
        </w:rPr>
        <w:t>30</w:t>
      </w:r>
      <w:r>
        <w:rPr>
          <w:rFonts w:hint="eastAsia" w:ascii="Times New Roman" w:hAnsi="Times New Roman"/>
          <w:szCs w:val="21"/>
          <w:highlight w:val="none"/>
        </w:rPr>
        <w:t>天内，提供不可抗力详情及合同全部不能履行、部分不能履行或需要延期履行理由的有效书面证明，该项证明文件应当由不可抗力发生地的公证机关出具，如无法获得公证出具的证明文件，则提供其他有力证明。</w:t>
      </w:r>
    </w:p>
    <w:p>
      <w:pPr>
        <w:pStyle w:val="10"/>
        <w:adjustRightInd w:val="0"/>
        <w:snapToGrid w:val="0"/>
        <w:spacing w:before="120" w:after="120" w:line="360" w:lineRule="auto"/>
        <w:ind w:firstLine="422" w:firstLineChars="200"/>
        <w:rPr>
          <w:rFonts w:ascii="Times New Roman" w:hAnsi="Times New Roman"/>
          <w:b/>
          <w:szCs w:val="21"/>
          <w:highlight w:val="none"/>
        </w:rPr>
      </w:pPr>
      <w:r>
        <w:rPr>
          <w:rFonts w:hint="eastAsia" w:ascii="Times New Roman" w:hAnsi="Times New Roman"/>
          <w:b/>
          <w:szCs w:val="21"/>
          <w:highlight w:val="none"/>
        </w:rPr>
        <w:t>十一、税费</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szCs w:val="21"/>
          <w:highlight w:val="none"/>
        </w:rPr>
        <w:t>在中国境内、外发生的与本合同执行有关的一切税费均由丙方负担。</w:t>
      </w:r>
    </w:p>
    <w:p>
      <w:pPr>
        <w:pStyle w:val="10"/>
        <w:adjustRightInd w:val="0"/>
        <w:snapToGrid w:val="0"/>
        <w:spacing w:before="120" w:after="120" w:line="360" w:lineRule="auto"/>
        <w:ind w:firstLine="422" w:firstLineChars="200"/>
        <w:rPr>
          <w:rFonts w:ascii="Times New Roman" w:hAnsi="Times New Roman"/>
          <w:b/>
          <w:szCs w:val="21"/>
          <w:highlight w:val="none"/>
        </w:rPr>
      </w:pPr>
      <w:r>
        <w:rPr>
          <w:rFonts w:hint="eastAsia" w:ascii="Times New Roman" w:hAnsi="Times New Roman"/>
          <w:b/>
          <w:szCs w:val="21"/>
          <w:highlight w:val="none"/>
        </w:rPr>
        <w:t>十二、知识产权条款</w:t>
      </w:r>
    </w:p>
    <w:p>
      <w:pPr>
        <w:adjustRightInd w:val="0"/>
        <w:snapToGrid w:val="0"/>
        <w:spacing w:line="360" w:lineRule="auto"/>
        <w:ind w:firstLine="420" w:firstLineChars="200"/>
        <w:rPr>
          <w:szCs w:val="21"/>
          <w:highlight w:val="none"/>
        </w:rPr>
      </w:pPr>
      <w:r>
        <w:rPr>
          <w:rFonts w:hint="eastAsia"/>
          <w:szCs w:val="21"/>
          <w:highlight w:val="none"/>
        </w:rPr>
        <w:t>丙方应保证甲方在使用、接受本合同货物和服务或其任何一部分时不受第三方提出侵犯其专利权、版权、商标权和工业设计权等知识产权的起诉。一旦出现侵权，由丙方负全部责任。</w:t>
      </w:r>
    </w:p>
    <w:p>
      <w:pPr>
        <w:pStyle w:val="10"/>
        <w:adjustRightInd w:val="0"/>
        <w:snapToGrid w:val="0"/>
        <w:spacing w:before="120" w:after="120" w:line="360" w:lineRule="auto"/>
        <w:ind w:firstLine="422" w:firstLineChars="200"/>
        <w:rPr>
          <w:rFonts w:ascii="Times New Roman" w:hAnsi="Times New Roman"/>
          <w:b/>
          <w:szCs w:val="21"/>
          <w:highlight w:val="none"/>
        </w:rPr>
      </w:pPr>
      <w:r>
        <w:rPr>
          <w:rFonts w:hint="eastAsia" w:ascii="Times New Roman" w:hAnsi="Times New Roman"/>
          <w:b/>
          <w:szCs w:val="21"/>
          <w:highlight w:val="none"/>
        </w:rPr>
        <w:t>十三、保密条款</w:t>
      </w:r>
    </w:p>
    <w:p>
      <w:pPr>
        <w:pStyle w:val="10"/>
        <w:adjustRightInd w:val="0"/>
        <w:snapToGrid w:val="0"/>
        <w:spacing w:before="120" w:after="120" w:line="360" w:lineRule="auto"/>
        <w:ind w:firstLine="482"/>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rPr>
        <w:t>、丙方应永久严格保守在本合同的谈判、签署及履行过程中取得的甲方商业秘密以及其他未公开信息（以下简称</w:t>
      </w:r>
      <w:r>
        <w:rPr>
          <w:rFonts w:ascii="Times New Roman" w:hAnsi="Times New Roman"/>
          <w:szCs w:val="21"/>
          <w:highlight w:val="none"/>
        </w:rPr>
        <w:t>“</w:t>
      </w:r>
      <w:r>
        <w:rPr>
          <w:rFonts w:hint="eastAsia" w:ascii="Times New Roman" w:hAnsi="Times New Roman"/>
          <w:szCs w:val="21"/>
          <w:highlight w:val="none"/>
        </w:rPr>
        <w:t>保密信息</w:t>
      </w:r>
      <w:r>
        <w:rPr>
          <w:rFonts w:ascii="Times New Roman" w:hAnsi="Times New Roman"/>
          <w:szCs w:val="21"/>
          <w:highlight w:val="none"/>
        </w:rPr>
        <w:t>”</w:t>
      </w:r>
      <w:r>
        <w:rPr>
          <w:rFonts w:hint="eastAsia" w:ascii="Times New Roman" w:hAnsi="Times New Roman"/>
          <w:szCs w:val="21"/>
          <w:highlight w:val="none"/>
        </w:rPr>
        <w:t>），但有证据证明保密信息已经被公开，或保密信息系自经正当授权的第三方获取的除外。</w:t>
      </w:r>
    </w:p>
    <w:p>
      <w:pPr>
        <w:pStyle w:val="10"/>
        <w:adjustRightInd w:val="0"/>
        <w:snapToGrid w:val="0"/>
        <w:spacing w:before="120" w:after="120" w:line="360" w:lineRule="auto"/>
        <w:ind w:firstLine="482"/>
        <w:rPr>
          <w:rFonts w:ascii="Times New Roman" w:hAnsi="Times New Roman"/>
          <w:szCs w:val="21"/>
          <w:highlight w:val="none"/>
        </w:rPr>
      </w:pPr>
      <w:r>
        <w:rPr>
          <w:rFonts w:ascii="Times New Roman" w:hAnsi="Times New Roman"/>
          <w:szCs w:val="21"/>
          <w:highlight w:val="none"/>
        </w:rPr>
        <w:t>2</w:t>
      </w:r>
      <w:r>
        <w:rPr>
          <w:rFonts w:hint="eastAsia" w:ascii="Times New Roman" w:hAnsi="Times New Roman"/>
          <w:szCs w:val="21"/>
          <w:highlight w:val="none"/>
        </w:rPr>
        <w:t>、丙方可以将此部分保密信息披露给其雇员，但丙方应当告知该雇员相关保密义务和其签署书面保密协议，使其承担不低于本保密条款约定的保密义务，丙方或其雇员（无论该雇员是否已从丙方离职）在本条约定的保密期限内违反保密义务的，丙方应当对甲方因此所遭受的损失承担赔偿责任。</w:t>
      </w:r>
    </w:p>
    <w:p>
      <w:pPr>
        <w:pStyle w:val="10"/>
        <w:adjustRightInd w:val="0"/>
        <w:snapToGrid w:val="0"/>
        <w:spacing w:before="120" w:after="120" w:line="360" w:lineRule="auto"/>
        <w:ind w:firstLine="482"/>
        <w:rPr>
          <w:rFonts w:ascii="Times New Roman" w:hAnsi="Times New Roman"/>
          <w:b/>
          <w:szCs w:val="21"/>
          <w:highlight w:val="none"/>
        </w:rPr>
      </w:pPr>
      <w:r>
        <w:rPr>
          <w:rFonts w:ascii="Times New Roman" w:hAnsi="Times New Roman"/>
          <w:szCs w:val="21"/>
          <w:highlight w:val="none"/>
        </w:rPr>
        <w:t>3</w:t>
      </w:r>
      <w:r>
        <w:rPr>
          <w:rFonts w:hint="eastAsia" w:ascii="Times New Roman" w:hAnsi="Times New Roman"/>
          <w:szCs w:val="21"/>
          <w:highlight w:val="none"/>
        </w:rPr>
        <w:t>、本合同履行完毕或终止后，上述保密条款继续有效。</w:t>
      </w:r>
      <w:r>
        <w:rPr>
          <w:rFonts w:ascii="Times New Roman" w:hAnsi="Times New Roman"/>
          <w:szCs w:val="21"/>
          <w:highlight w:val="none"/>
        </w:rPr>
        <w:t xml:space="preserve">  </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b/>
          <w:szCs w:val="21"/>
          <w:highlight w:val="none"/>
        </w:rPr>
        <w:t>十四、保证条款</w:t>
      </w:r>
    </w:p>
    <w:p>
      <w:pPr>
        <w:adjustRightInd w:val="0"/>
        <w:spacing w:line="360" w:lineRule="auto"/>
        <w:ind w:firstLine="420"/>
        <w:jc w:val="left"/>
        <w:rPr>
          <w:kern w:val="0"/>
          <w:szCs w:val="21"/>
          <w:highlight w:val="none"/>
          <w:lang w:val="zh-CN"/>
        </w:rPr>
      </w:pPr>
      <w:r>
        <w:rPr>
          <w:rFonts w:hint="eastAsia"/>
          <w:szCs w:val="21"/>
          <w:highlight w:val="none"/>
        </w:rPr>
        <w:t>丙</w:t>
      </w:r>
      <w:r>
        <w:rPr>
          <w:rFonts w:hint="eastAsia"/>
          <w:kern w:val="0"/>
          <w:szCs w:val="21"/>
          <w:highlight w:val="none"/>
          <w:lang w:val="zh-CN"/>
        </w:rPr>
        <w:t>方保证对其提供服务或产品及其采购的服务或产品拥有所有权或合法处分的权利，甲方因任何第三方就</w:t>
      </w:r>
      <w:r>
        <w:rPr>
          <w:rFonts w:hint="eastAsia"/>
          <w:szCs w:val="21"/>
          <w:highlight w:val="none"/>
        </w:rPr>
        <w:t>丙</w:t>
      </w:r>
      <w:r>
        <w:rPr>
          <w:rFonts w:hint="eastAsia"/>
          <w:kern w:val="0"/>
          <w:szCs w:val="21"/>
          <w:highlight w:val="none"/>
          <w:lang w:val="zh-CN"/>
        </w:rPr>
        <w:t>方服务或产品及其采购的服务或产品引起的所有权纠纷而遭受的全部损失或费用，</w:t>
      </w:r>
      <w:r>
        <w:rPr>
          <w:rFonts w:hint="eastAsia"/>
          <w:szCs w:val="21"/>
          <w:highlight w:val="none"/>
        </w:rPr>
        <w:t>丙</w:t>
      </w:r>
      <w:r>
        <w:rPr>
          <w:rFonts w:hint="eastAsia"/>
          <w:kern w:val="0"/>
          <w:szCs w:val="21"/>
          <w:highlight w:val="none"/>
          <w:lang w:val="zh-CN"/>
        </w:rPr>
        <w:t>方承担。</w:t>
      </w:r>
      <w:r>
        <w:rPr>
          <w:kern w:val="0"/>
          <w:szCs w:val="21"/>
          <w:highlight w:val="none"/>
          <w:lang w:val="zh-CN"/>
        </w:rPr>
        <w:t xml:space="preserve"> </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b/>
          <w:szCs w:val="21"/>
          <w:highlight w:val="none"/>
        </w:rPr>
        <w:t>十五、其它</w:t>
      </w:r>
      <w:r>
        <w:rPr>
          <w:rFonts w:ascii="Times New Roman" w:hAnsi="Times New Roman"/>
          <w:b/>
          <w:szCs w:val="21"/>
          <w:highlight w:val="none"/>
        </w:rPr>
        <w:t xml:space="preserve"> </w:t>
      </w:r>
    </w:p>
    <w:p>
      <w:pPr>
        <w:adjustRightInd w:val="0"/>
        <w:spacing w:line="360" w:lineRule="auto"/>
        <w:ind w:firstLine="420"/>
        <w:jc w:val="left"/>
        <w:rPr>
          <w:kern w:val="0"/>
          <w:szCs w:val="21"/>
          <w:highlight w:val="none"/>
        </w:rPr>
      </w:pPr>
      <w:r>
        <w:rPr>
          <w:kern w:val="0"/>
          <w:szCs w:val="21"/>
          <w:highlight w:val="none"/>
        </w:rPr>
        <w:t>1</w:t>
      </w:r>
      <w:r>
        <w:rPr>
          <w:rFonts w:hint="eastAsia"/>
          <w:kern w:val="0"/>
          <w:szCs w:val="21"/>
          <w:highlight w:val="none"/>
        </w:rPr>
        <w:t>、本合同所有附件及</w:t>
      </w:r>
      <w:r>
        <w:rPr>
          <w:rFonts w:hint="eastAsia"/>
          <w:szCs w:val="21"/>
          <w:highlight w:val="none"/>
        </w:rPr>
        <w:t>丙</w:t>
      </w:r>
      <w:r>
        <w:rPr>
          <w:rFonts w:hint="eastAsia"/>
          <w:kern w:val="0"/>
          <w:szCs w:val="21"/>
          <w:highlight w:val="none"/>
        </w:rPr>
        <w:t>方承诺均为合同的有效组成部分，与本合同具有同等法律效力；</w:t>
      </w:r>
    </w:p>
    <w:p>
      <w:pPr>
        <w:adjustRightInd w:val="0"/>
        <w:spacing w:line="360" w:lineRule="auto"/>
        <w:ind w:firstLine="420"/>
        <w:jc w:val="left"/>
        <w:rPr>
          <w:kern w:val="0"/>
          <w:szCs w:val="21"/>
          <w:highlight w:val="none"/>
        </w:rPr>
      </w:pPr>
      <w:r>
        <w:rPr>
          <w:kern w:val="0"/>
          <w:szCs w:val="21"/>
          <w:highlight w:val="none"/>
        </w:rPr>
        <w:t>2</w:t>
      </w:r>
      <w:r>
        <w:rPr>
          <w:rFonts w:hint="eastAsia"/>
          <w:kern w:val="0"/>
          <w:szCs w:val="21"/>
          <w:highlight w:val="none"/>
        </w:rPr>
        <w:t>、在执行本合同的过程中，所有经合同各方签署确认的文件（包括会议纪要、补充协议、往来信函）即成为本合同的有效组成部分；上述文件互相补充和解释，如有不一致之处，以本合同书所列项为准。</w:t>
      </w:r>
    </w:p>
    <w:p>
      <w:pPr>
        <w:adjustRightInd w:val="0"/>
        <w:spacing w:line="360" w:lineRule="auto"/>
        <w:ind w:firstLine="420"/>
        <w:jc w:val="left"/>
        <w:rPr>
          <w:kern w:val="0"/>
          <w:szCs w:val="21"/>
          <w:highlight w:val="none"/>
        </w:rPr>
      </w:pPr>
      <w:r>
        <w:rPr>
          <w:kern w:val="0"/>
          <w:szCs w:val="21"/>
          <w:highlight w:val="none"/>
        </w:rPr>
        <w:t>3</w:t>
      </w:r>
      <w:r>
        <w:rPr>
          <w:rFonts w:hint="eastAsia"/>
          <w:kern w:val="0"/>
          <w:szCs w:val="21"/>
          <w:highlight w:val="none"/>
        </w:rPr>
        <w:t>、如一方地址、电话、传真号码有变更，应在变更当日内书面通知对方，否则，应承担相应责任；</w:t>
      </w:r>
    </w:p>
    <w:p>
      <w:pPr>
        <w:adjustRightInd w:val="0"/>
        <w:spacing w:line="360" w:lineRule="auto"/>
        <w:ind w:firstLine="420"/>
        <w:jc w:val="left"/>
        <w:rPr>
          <w:kern w:val="0"/>
          <w:szCs w:val="21"/>
          <w:highlight w:val="none"/>
          <w:lang w:val="zh-CN"/>
        </w:rPr>
      </w:pPr>
      <w:r>
        <w:rPr>
          <w:kern w:val="0"/>
          <w:szCs w:val="21"/>
          <w:highlight w:val="none"/>
        </w:rPr>
        <w:t>4</w:t>
      </w:r>
      <w:r>
        <w:rPr>
          <w:rFonts w:hint="eastAsia"/>
          <w:kern w:val="0"/>
          <w:szCs w:val="21"/>
          <w:highlight w:val="none"/>
        </w:rPr>
        <w:t>、除甲方事先书面同意外，</w:t>
      </w:r>
      <w:r>
        <w:rPr>
          <w:rFonts w:hint="eastAsia"/>
          <w:szCs w:val="21"/>
          <w:highlight w:val="none"/>
        </w:rPr>
        <w:t>丙</w:t>
      </w:r>
      <w:r>
        <w:rPr>
          <w:rFonts w:hint="eastAsia"/>
          <w:kern w:val="0"/>
          <w:szCs w:val="21"/>
          <w:highlight w:val="none"/>
        </w:rPr>
        <w:t>方不得部分或全部转让其应履行的合同项下的义务。</w:t>
      </w:r>
    </w:p>
    <w:p>
      <w:pPr>
        <w:pStyle w:val="10"/>
        <w:adjustRightInd w:val="0"/>
        <w:snapToGrid w:val="0"/>
        <w:spacing w:before="120" w:after="120" w:line="360" w:lineRule="auto"/>
        <w:ind w:firstLine="482"/>
        <w:rPr>
          <w:rFonts w:ascii="Times New Roman" w:hAnsi="Times New Roman"/>
          <w:b/>
          <w:szCs w:val="21"/>
          <w:highlight w:val="none"/>
        </w:rPr>
      </w:pPr>
      <w:r>
        <w:rPr>
          <w:rFonts w:hint="eastAsia" w:ascii="Times New Roman" w:hAnsi="Times New Roman"/>
          <w:b/>
          <w:szCs w:val="21"/>
          <w:highlight w:val="none"/>
        </w:rPr>
        <w:t>十六、合同生效</w:t>
      </w:r>
    </w:p>
    <w:p>
      <w:pPr>
        <w:adjustRightInd w:val="0"/>
        <w:spacing w:line="360" w:lineRule="auto"/>
        <w:ind w:firstLine="420"/>
        <w:jc w:val="left"/>
        <w:rPr>
          <w:kern w:val="0"/>
          <w:szCs w:val="21"/>
          <w:highlight w:val="none"/>
          <w:lang w:val="zh-CN"/>
        </w:rPr>
      </w:pPr>
      <w:r>
        <w:rPr>
          <w:kern w:val="0"/>
          <w:szCs w:val="21"/>
          <w:highlight w:val="none"/>
          <w:lang w:val="zh-CN"/>
        </w:rPr>
        <w:t>1</w:t>
      </w:r>
      <w:r>
        <w:rPr>
          <w:rFonts w:hint="eastAsia"/>
          <w:kern w:val="0"/>
          <w:szCs w:val="21"/>
          <w:highlight w:val="none"/>
          <w:lang w:val="zh-CN"/>
        </w:rPr>
        <w:t>、本合同在甲、乙、丙三方法定代表人（负责人）或其授权代理人签章后生效；</w:t>
      </w:r>
    </w:p>
    <w:p>
      <w:pPr>
        <w:adjustRightInd w:val="0"/>
        <w:spacing w:line="360" w:lineRule="auto"/>
        <w:ind w:firstLine="420"/>
        <w:jc w:val="left"/>
        <w:rPr>
          <w:kern w:val="0"/>
          <w:szCs w:val="21"/>
          <w:highlight w:val="none"/>
          <w:lang w:val="zh-CN"/>
        </w:rPr>
      </w:pPr>
      <w:r>
        <w:rPr>
          <w:kern w:val="0"/>
          <w:szCs w:val="21"/>
          <w:highlight w:val="none"/>
        </w:rPr>
        <w:t>2</w:t>
      </w:r>
      <w:r>
        <w:rPr>
          <w:rFonts w:hint="eastAsia"/>
          <w:kern w:val="0"/>
          <w:szCs w:val="21"/>
          <w:highlight w:val="none"/>
          <w:lang w:val="zh-CN"/>
        </w:rPr>
        <w:t>、本合同一式六份，甲、乙、丙各执两份，均具有同等法律效力。</w:t>
      </w:r>
    </w:p>
    <w:p>
      <w:pPr>
        <w:widowControl/>
        <w:spacing w:line="360" w:lineRule="auto"/>
        <w:jc w:val="left"/>
        <w:rPr>
          <w:kern w:val="0"/>
          <w:szCs w:val="21"/>
          <w:highlight w:val="none"/>
        </w:rPr>
      </w:pPr>
      <w:r>
        <w:rPr>
          <w:szCs w:val="21"/>
          <w:highlight w:val="none"/>
        </w:rPr>
        <w:br w:type="page"/>
      </w:r>
    </w:p>
    <w:p>
      <w:pPr>
        <w:pStyle w:val="10"/>
        <w:adjustRightInd w:val="0"/>
        <w:snapToGrid w:val="0"/>
        <w:spacing w:before="120" w:after="120" w:line="360" w:lineRule="auto"/>
        <w:rPr>
          <w:rFonts w:ascii="Times New Roman" w:hAnsi="Times New Roman"/>
          <w:bCs/>
          <w:szCs w:val="21"/>
          <w:highlight w:val="none"/>
          <w:lang w:val="zh-CN"/>
        </w:rPr>
      </w:pPr>
      <w:r>
        <w:rPr>
          <w:rFonts w:hint="eastAsia" w:ascii="Times New Roman" w:hAnsi="Times New Roman"/>
          <w:bCs/>
          <w:szCs w:val="21"/>
          <w:highlight w:val="none"/>
          <w:lang w:val="zh-CN"/>
        </w:rPr>
        <w:t>以上为正文，本页为签字盖章页</w:t>
      </w:r>
    </w:p>
    <w:p>
      <w:pPr>
        <w:pStyle w:val="10"/>
        <w:adjustRightInd w:val="0"/>
        <w:snapToGrid w:val="0"/>
        <w:spacing w:before="120" w:after="120" w:line="360" w:lineRule="auto"/>
        <w:rPr>
          <w:rFonts w:ascii="Times New Roman" w:hAnsi="Times New Roman"/>
          <w:szCs w:val="21"/>
          <w:highlight w:val="none"/>
        </w:rPr>
      </w:pP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甲</w:t>
      </w:r>
      <w:r>
        <w:rPr>
          <w:rFonts w:ascii="Times New Roman" w:hAnsi="Times New Roman"/>
          <w:szCs w:val="21"/>
          <w:highlight w:val="none"/>
        </w:rPr>
        <w:t xml:space="preserve">    </w:t>
      </w:r>
      <w:r>
        <w:rPr>
          <w:rFonts w:hint="eastAsia" w:ascii="Times New Roman" w:hAnsi="Times New Roman"/>
          <w:szCs w:val="21"/>
          <w:highlight w:val="none"/>
        </w:rPr>
        <w:t>方：南京信息工程大学</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地</w:t>
      </w:r>
      <w:r>
        <w:rPr>
          <w:rFonts w:ascii="Times New Roman" w:hAnsi="Times New Roman"/>
          <w:szCs w:val="21"/>
          <w:highlight w:val="none"/>
        </w:rPr>
        <w:t xml:space="preserve">    </w:t>
      </w:r>
      <w:r>
        <w:rPr>
          <w:rFonts w:hint="eastAsia" w:ascii="Times New Roman" w:hAnsi="Times New Roman"/>
          <w:szCs w:val="21"/>
          <w:highlight w:val="none"/>
        </w:rPr>
        <w:t>址：南京市浦口区宁六路</w:t>
      </w:r>
      <w:r>
        <w:rPr>
          <w:rFonts w:ascii="Times New Roman" w:hAnsi="Times New Roman"/>
          <w:szCs w:val="21"/>
          <w:highlight w:val="none"/>
        </w:rPr>
        <w:t>219</w:t>
      </w:r>
      <w:r>
        <w:rPr>
          <w:rFonts w:hint="eastAsia" w:ascii="Times New Roman" w:hAnsi="Times New Roman"/>
          <w:szCs w:val="21"/>
          <w:highlight w:val="none"/>
        </w:rPr>
        <w:t>号</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法定代表人或授权代表：</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联系电话：</w:t>
      </w:r>
      <w:r>
        <w:rPr>
          <w:rFonts w:ascii="Times New Roman" w:hAnsi="Times New Roman"/>
          <w:szCs w:val="21"/>
          <w:highlight w:val="none"/>
        </w:rPr>
        <w:t>025-58731542</w:t>
      </w:r>
    </w:p>
    <w:p>
      <w:pPr>
        <w:pStyle w:val="10"/>
        <w:adjustRightInd w:val="0"/>
        <w:snapToGrid w:val="0"/>
        <w:spacing w:before="120" w:after="120" w:line="360" w:lineRule="auto"/>
        <w:rPr>
          <w:rFonts w:ascii="Times New Roman" w:hAnsi="Times New Roman"/>
          <w:szCs w:val="21"/>
          <w:highlight w:val="none"/>
        </w:rPr>
      </w:pP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乙</w:t>
      </w:r>
      <w:r>
        <w:rPr>
          <w:rFonts w:ascii="Times New Roman" w:hAnsi="Times New Roman"/>
          <w:szCs w:val="21"/>
          <w:highlight w:val="none"/>
        </w:rPr>
        <w:t xml:space="preserve">    </w:t>
      </w:r>
      <w:r>
        <w:rPr>
          <w:rFonts w:hint="eastAsia" w:ascii="Times New Roman" w:hAnsi="Times New Roman"/>
          <w:szCs w:val="21"/>
          <w:highlight w:val="none"/>
        </w:rPr>
        <w:t>方：</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地</w:t>
      </w:r>
      <w:r>
        <w:rPr>
          <w:rFonts w:ascii="Times New Roman" w:hAnsi="Times New Roman"/>
          <w:szCs w:val="21"/>
          <w:highlight w:val="none"/>
        </w:rPr>
        <w:t xml:space="preserve">    </w:t>
      </w:r>
      <w:r>
        <w:rPr>
          <w:rFonts w:hint="eastAsia" w:ascii="Times New Roman" w:hAnsi="Times New Roman"/>
          <w:szCs w:val="21"/>
          <w:highlight w:val="none"/>
        </w:rPr>
        <w:t>址：</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法定代表人或授权代表：</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联系电话：</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丙方：</w:t>
      </w:r>
      <w:r>
        <w:rPr>
          <w:rFonts w:ascii="Times New Roman" w:hAnsi="Times New Roman"/>
          <w:szCs w:val="21"/>
          <w:highlight w:val="none"/>
        </w:rPr>
        <w:t xml:space="preserve">   </w:t>
      </w:r>
    </w:p>
    <w:p>
      <w:pPr>
        <w:pStyle w:val="10"/>
        <w:adjustRightInd w:val="0"/>
        <w:snapToGrid w:val="0"/>
        <w:spacing w:line="360" w:lineRule="auto"/>
        <w:jc w:val="left"/>
        <w:rPr>
          <w:rFonts w:ascii="Times New Roman" w:hAnsi="Times New Roman"/>
          <w:szCs w:val="21"/>
          <w:highlight w:val="none"/>
        </w:rPr>
      </w:pPr>
      <w:r>
        <w:rPr>
          <w:rFonts w:hint="eastAsia" w:ascii="Times New Roman" w:hAnsi="Times New Roman"/>
          <w:szCs w:val="21"/>
          <w:highlight w:val="none"/>
        </w:rPr>
        <w:t>地</w:t>
      </w:r>
      <w:r>
        <w:rPr>
          <w:rFonts w:ascii="Times New Roman" w:hAnsi="Times New Roman"/>
          <w:szCs w:val="21"/>
          <w:highlight w:val="none"/>
        </w:rPr>
        <w:t xml:space="preserve">    </w:t>
      </w:r>
      <w:r>
        <w:rPr>
          <w:rFonts w:hint="eastAsia" w:ascii="Times New Roman" w:hAnsi="Times New Roman"/>
          <w:szCs w:val="21"/>
          <w:highlight w:val="none"/>
        </w:rPr>
        <w:t>址：</w:t>
      </w:r>
      <w:r>
        <w:rPr>
          <w:rFonts w:ascii="Times New Roman" w:hAnsi="Times New Roman"/>
          <w:szCs w:val="21"/>
          <w:highlight w:val="none"/>
        </w:rPr>
        <w:t xml:space="preserve">   </w:t>
      </w:r>
    </w:p>
    <w:p>
      <w:pPr>
        <w:pStyle w:val="10"/>
        <w:adjustRightInd w:val="0"/>
        <w:snapToGrid w:val="0"/>
        <w:spacing w:before="120" w:after="120" w:line="360" w:lineRule="auto"/>
        <w:rPr>
          <w:rFonts w:ascii="Times New Roman" w:hAnsi="Times New Roman"/>
          <w:szCs w:val="21"/>
          <w:highlight w:val="none"/>
        </w:rPr>
      </w:pPr>
      <w:r>
        <w:rPr>
          <w:rFonts w:hint="eastAsia" w:ascii="Times New Roman" w:hAnsi="Times New Roman"/>
          <w:szCs w:val="21"/>
          <w:highlight w:val="none"/>
        </w:rPr>
        <w:t>法定代表人或授权代表：</w:t>
      </w:r>
    </w:p>
    <w:p>
      <w:pPr>
        <w:rPr>
          <w:b/>
          <w:szCs w:val="21"/>
          <w:highlight w:val="none"/>
          <w:u w:val="single"/>
        </w:rPr>
      </w:pPr>
      <w:r>
        <w:rPr>
          <w:rFonts w:hint="eastAsia"/>
          <w:szCs w:val="21"/>
          <w:highlight w:val="none"/>
        </w:rPr>
        <w:t>联系电话：</w:t>
      </w:r>
    </w:p>
    <w:p>
      <w:pPr>
        <w:jc w:val="right"/>
        <w:rPr>
          <w:b/>
          <w:szCs w:val="21"/>
          <w:highlight w:val="none"/>
        </w:rPr>
      </w:pPr>
    </w:p>
    <w:p>
      <w:pPr>
        <w:spacing w:line="440" w:lineRule="exact"/>
        <w:ind w:firstLine="420" w:firstLineChars="200"/>
        <w:jc w:val="left"/>
        <w:rPr>
          <w:szCs w:val="21"/>
          <w:highlight w:val="none"/>
        </w:rPr>
      </w:pPr>
    </w:p>
    <w:p>
      <w:pPr>
        <w:jc w:val="center"/>
        <w:rPr>
          <w:b/>
          <w:szCs w:val="21"/>
          <w:highlight w:val="none"/>
        </w:rPr>
      </w:pPr>
      <w:r>
        <w:rPr>
          <w:b/>
          <w:szCs w:val="21"/>
          <w:highlight w:val="none"/>
        </w:rPr>
        <w:t xml:space="preserve"> </w:t>
      </w:r>
    </w:p>
    <w:bookmarkEnd w:id="28"/>
    <w:bookmarkEnd w:id="29"/>
    <w:p>
      <w:pPr>
        <w:spacing w:line="440" w:lineRule="exact"/>
        <w:ind w:firstLine="5494"/>
        <w:rPr>
          <w:sz w:val="24"/>
          <w:highlight w:val="none"/>
        </w:rPr>
      </w:pPr>
    </w:p>
    <w:p>
      <w:pPr>
        <w:spacing w:line="440" w:lineRule="exact"/>
        <w:outlineLvl w:val="0"/>
        <w:rPr>
          <w:b/>
          <w:highlight w:val="none"/>
        </w:rPr>
      </w:pPr>
    </w:p>
    <w:p>
      <w:pPr>
        <w:pStyle w:val="4"/>
        <w:rPr>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Adobe 宋体 Std L">
    <w:altName w:val="宋体"/>
    <w:panose1 w:val="020203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36</w:t>
    </w:r>
    <w:r>
      <w:rPr>
        <w:b/>
      </w:rPr>
      <w:fldChar w:fldCharType="end"/>
    </w:r>
    <w:r>
      <w:rPr>
        <w:lang w:val="zh-CN"/>
      </w:rPr>
      <w:t xml:space="preserve"> / </w:t>
    </w:r>
    <w:r>
      <w:rPr>
        <w:b/>
        <w:lang w:val="zh-CN"/>
      </w:rPr>
      <w:fldChar w:fldCharType="begin"/>
    </w:r>
    <w:r>
      <w:rPr>
        <w:b/>
        <w:lang w:val="zh-CN"/>
      </w:rPr>
      <w:instrText xml:space="preserve">NUMPAGES  \* Arabic  \* MERGEFORMAT</w:instrText>
    </w:r>
    <w:r>
      <w:rPr>
        <w:b/>
        <w:lang w:val="zh-CN"/>
      </w:rPr>
      <w:fldChar w:fldCharType="separate"/>
    </w:r>
    <w:r>
      <w:rPr>
        <w:b/>
        <w:lang w:val="zh-CN"/>
      </w:rPr>
      <w:t>37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0264E"/>
    <w:multiLevelType w:val="singleLevel"/>
    <w:tmpl w:val="EBE0264E"/>
    <w:lvl w:ilvl="0" w:tentative="0">
      <w:start w:val="1"/>
      <w:numFmt w:val="decimal"/>
      <w:suff w:val="nothing"/>
      <w:lvlText w:val="%1、"/>
      <w:lvlJc w:val="left"/>
      <w:rPr>
        <w:rFonts w:cs="Times New Roman"/>
      </w:rPr>
    </w:lvl>
  </w:abstractNum>
  <w:abstractNum w:abstractNumId="1">
    <w:nsid w:val="FC63DC8C"/>
    <w:multiLevelType w:val="singleLevel"/>
    <w:tmpl w:val="FC63DC8C"/>
    <w:lvl w:ilvl="0" w:tentative="0">
      <w:start w:val="2"/>
      <w:numFmt w:val="chineseCounting"/>
      <w:suff w:val="nothing"/>
      <w:lvlText w:val="%1、"/>
      <w:lvlJc w:val="left"/>
      <w:rPr>
        <w:rFonts w:hint="eastAsia"/>
      </w:rPr>
    </w:lvl>
  </w:abstractNum>
  <w:abstractNum w:abstractNumId="2">
    <w:nsid w:val="0A458F28"/>
    <w:multiLevelType w:val="singleLevel"/>
    <w:tmpl w:val="0A458F28"/>
    <w:lvl w:ilvl="0" w:tentative="0">
      <w:start w:val="1"/>
      <w:numFmt w:val="decimal"/>
      <w:suff w:val="nothing"/>
      <w:lvlText w:val="%1、"/>
      <w:lvlJc w:val="left"/>
      <w:rPr>
        <w:rFonts w:cs="Times New Roman"/>
      </w:rPr>
    </w:lvl>
  </w:abstractNum>
  <w:abstractNum w:abstractNumId="3">
    <w:nsid w:val="151869C5"/>
    <w:multiLevelType w:val="multilevel"/>
    <w:tmpl w:val="151869C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25E33CD"/>
    <w:multiLevelType w:val="multilevel"/>
    <w:tmpl w:val="225E33CD"/>
    <w:lvl w:ilvl="0" w:tentative="0">
      <w:start w:val="1"/>
      <w:numFmt w:val="japaneseCounting"/>
      <w:lvlText w:val="%1、"/>
      <w:lvlJc w:val="left"/>
      <w:pPr>
        <w:ind w:left="931" w:hanging="720"/>
      </w:pPr>
      <w:rPr>
        <w:rFonts w:hint="default"/>
      </w:rPr>
    </w:lvl>
    <w:lvl w:ilvl="1" w:tentative="0">
      <w:start w:val="1"/>
      <w:numFmt w:val="lowerLetter"/>
      <w:lvlText w:val="%2)"/>
      <w:lvlJc w:val="left"/>
      <w:pPr>
        <w:ind w:left="1051" w:hanging="420"/>
      </w:pPr>
    </w:lvl>
    <w:lvl w:ilvl="2" w:tentative="0">
      <w:start w:val="1"/>
      <w:numFmt w:val="lowerRoman"/>
      <w:lvlText w:val="%3."/>
      <w:lvlJc w:val="right"/>
      <w:pPr>
        <w:ind w:left="1471" w:hanging="420"/>
      </w:pPr>
    </w:lvl>
    <w:lvl w:ilvl="3" w:tentative="0">
      <w:start w:val="1"/>
      <w:numFmt w:val="decimal"/>
      <w:lvlText w:val="%4."/>
      <w:lvlJc w:val="left"/>
      <w:pPr>
        <w:ind w:left="1891" w:hanging="420"/>
      </w:pPr>
    </w:lvl>
    <w:lvl w:ilvl="4" w:tentative="0">
      <w:start w:val="1"/>
      <w:numFmt w:val="lowerLetter"/>
      <w:lvlText w:val="%5)"/>
      <w:lvlJc w:val="left"/>
      <w:pPr>
        <w:ind w:left="2311" w:hanging="420"/>
      </w:pPr>
    </w:lvl>
    <w:lvl w:ilvl="5" w:tentative="0">
      <w:start w:val="1"/>
      <w:numFmt w:val="lowerRoman"/>
      <w:lvlText w:val="%6."/>
      <w:lvlJc w:val="right"/>
      <w:pPr>
        <w:ind w:left="2731" w:hanging="420"/>
      </w:pPr>
    </w:lvl>
    <w:lvl w:ilvl="6" w:tentative="0">
      <w:start w:val="1"/>
      <w:numFmt w:val="decimal"/>
      <w:lvlText w:val="%7."/>
      <w:lvlJc w:val="left"/>
      <w:pPr>
        <w:ind w:left="3151" w:hanging="420"/>
      </w:pPr>
    </w:lvl>
    <w:lvl w:ilvl="7" w:tentative="0">
      <w:start w:val="1"/>
      <w:numFmt w:val="lowerLetter"/>
      <w:lvlText w:val="%8)"/>
      <w:lvlJc w:val="left"/>
      <w:pPr>
        <w:ind w:left="3571" w:hanging="420"/>
      </w:pPr>
    </w:lvl>
    <w:lvl w:ilvl="8" w:tentative="0">
      <w:start w:val="1"/>
      <w:numFmt w:val="lowerRoman"/>
      <w:lvlText w:val="%9."/>
      <w:lvlJc w:val="right"/>
      <w:pPr>
        <w:ind w:left="3991" w:hanging="420"/>
      </w:pPr>
    </w:lvl>
  </w:abstractNum>
  <w:abstractNum w:abstractNumId="5">
    <w:nsid w:val="2ED259ED"/>
    <w:multiLevelType w:val="multilevel"/>
    <w:tmpl w:val="2ED259ED"/>
    <w:lvl w:ilvl="0" w:tentative="0">
      <w:start w:val="4"/>
      <w:numFmt w:val="bullet"/>
      <w:lvlText w:val="④"/>
      <w:lvlJc w:val="left"/>
      <w:pPr>
        <w:ind w:left="840" w:hanging="360"/>
      </w:pPr>
      <w:rPr>
        <w:rFonts w:hint="eastAsia" w:ascii="Adobe 宋体 Std L" w:hAnsi="Adobe 宋体 Std L" w:eastAsia="Adobe 宋体 Std 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2FAA"/>
    <w:rsid w:val="000430D6"/>
    <w:rsid w:val="00043F02"/>
    <w:rsid w:val="000441D9"/>
    <w:rsid w:val="0004587C"/>
    <w:rsid w:val="00051F2D"/>
    <w:rsid w:val="000527A0"/>
    <w:rsid w:val="000531E7"/>
    <w:rsid w:val="00054A22"/>
    <w:rsid w:val="00054EE4"/>
    <w:rsid w:val="0005500B"/>
    <w:rsid w:val="00055C61"/>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5F25"/>
    <w:rsid w:val="00087D92"/>
    <w:rsid w:val="00087F42"/>
    <w:rsid w:val="000905C6"/>
    <w:rsid w:val="0009319D"/>
    <w:rsid w:val="000933AE"/>
    <w:rsid w:val="00094479"/>
    <w:rsid w:val="00094B8E"/>
    <w:rsid w:val="000960BE"/>
    <w:rsid w:val="00096894"/>
    <w:rsid w:val="000968A9"/>
    <w:rsid w:val="000976BF"/>
    <w:rsid w:val="0009778F"/>
    <w:rsid w:val="000A1315"/>
    <w:rsid w:val="000A31F8"/>
    <w:rsid w:val="000A3663"/>
    <w:rsid w:val="000A387C"/>
    <w:rsid w:val="000A4E2D"/>
    <w:rsid w:val="000A5005"/>
    <w:rsid w:val="000A57C1"/>
    <w:rsid w:val="000A649C"/>
    <w:rsid w:val="000B1E2F"/>
    <w:rsid w:val="000B4953"/>
    <w:rsid w:val="000B5806"/>
    <w:rsid w:val="000B5F77"/>
    <w:rsid w:val="000B6607"/>
    <w:rsid w:val="000C0356"/>
    <w:rsid w:val="000C03E3"/>
    <w:rsid w:val="000C05BE"/>
    <w:rsid w:val="000C2DBA"/>
    <w:rsid w:val="000C35BE"/>
    <w:rsid w:val="000C3706"/>
    <w:rsid w:val="000C3E19"/>
    <w:rsid w:val="000C5121"/>
    <w:rsid w:val="000C6015"/>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3DD6"/>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A63"/>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2BE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0538"/>
    <w:rsid w:val="001D10AB"/>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0A5"/>
    <w:rsid w:val="002238C0"/>
    <w:rsid w:val="0022420E"/>
    <w:rsid w:val="00225151"/>
    <w:rsid w:val="00226609"/>
    <w:rsid w:val="002270A5"/>
    <w:rsid w:val="002274A2"/>
    <w:rsid w:val="00227724"/>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5F2E"/>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67F96"/>
    <w:rsid w:val="00270488"/>
    <w:rsid w:val="00271C38"/>
    <w:rsid w:val="00272E46"/>
    <w:rsid w:val="00277245"/>
    <w:rsid w:val="00281343"/>
    <w:rsid w:val="0028272C"/>
    <w:rsid w:val="002832EA"/>
    <w:rsid w:val="002838CB"/>
    <w:rsid w:val="00283C8F"/>
    <w:rsid w:val="00285A3E"/>
    <w:rsid w:val="00291A34"/>
    <w:rsid w:val="00292A1F"/>
    <w:rsid w:val="00294451"/>
    <w:rsid w:val="00294C6D"/>
    <w:rsid w:val="00294E71"/>
    <w:rsid w:val="00296169"/>
    <w:rsid w:val="00297351"/>
    <w:rsid w:val="00297829"/>
    <w:rsid w:val="00297C60"/>
    <w:rsid w:val="00297CA2"/>
    <w:rsid w:val="002A1535"/>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460"/>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3F76"/>
    <w:rsid w:val="003147BD"/>
    <w:rsid w:val="0031560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C93"/>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025C"/>
    <w:rsid w:val="00371A15"/>
    <w:rsid w:val="00372A01"/>
    <w:rsid w:val="00372D67"/>
    <w:rsid w:val="00373E38"/>
    <w:rsid w:val="003746B8"/>
    <w:rsid w:val="00376287"/>
    <w:rsid w:val="00377164"/>
    <w:rsid w:val="003808C9"/>
    <w:rsid w:val="0038309B"/>
    <w:rsid w:val="00383BCB"/>
    <w:rsid w:val="00384882"/>
    <w:rsid w:val="003849F5"/>
    <w:rsid w:val="00385B83"/>
    <w:rsid w:val="00387358"/>
    <w:rsid w:val="00387B63"/>
    <w:rsid w:val="003926BA"/>
    <w:rsid w:val="00392E35"/>
    <w:rsid w:val="00392F4B"/>
    <w:rsid w:val="0039371E"/>
    <w:rsid w:val="00395091"/>
    <w:rsid w:val="003A0680"/>
    <w:rsid w:val="003A0A8F"/>
    <w:rsid w:val="003A1264"/>
    <w:rsid w:val="003A2009"/>
    <w:rsid w:val="003A2540"/>
    <w:rsid w:val="003A338B"/>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867"/>
    <w:rsid w:val="004129E0"/>
    <w:rsid w:val="0041308C"/>
    <w:rsid w:val="004140AB"/>
    <w:rsid w:val="00415750"/>
    <w:rsid w:val="00415AAB"/>
    <w:rsid w:val="00415E30"/>
    <w:rsid w:val="00417661"/>
    <w:rsid w:val="004201A3"/>
    <w:rsid w:val="00420822"/>
    <w:rsid w:val="00420C3D"/>
    <w:rsid w:val="004220ED"/>
    <w:rsid w:val="00422573"/>
    <w:rsid w:val="00422B6A"/>
    <w:rsid w:val="004255E2"/>
    <w:rsid w:val="00425843"/>
    <w:rsid w:val="00425C30"/>
    <w:rsid w:val="0043026A"/>
    <w:rsid w:val="004311A5"/>
    <w:rsid w:val="004356B0"/>
    <w:rsid w:val="00435A84"/>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6598"/>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B7FD5"/>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12A3"/>
    <w:rsid w:val="0052262E"/>
    <w:rsid w:val="00522BF5"/>
    <w:rsid w:val="00522C1C"/>
    <w:rsid w:val="00523679"/>
    <w:rsid w:val="0053025C"/>
    <w:rsid w:val="005308B5"/>
    <w:rsid w:val="00531000"/>
    <w:rsid w:val="0053114F"/>
    <w:rsid w:val="00533377"/>
    <w:rsid w:val="00533F15"/>
    <w:rsid w:val="005344F1"/>
    <w:rsid w:val="00537018"/>
    <w:rsid w:val="00540A3F"/>
    <w:rsid w:val="00541B97"/>
    <w:rsid w:val="00544BF1"/>
    <w:rsid w:val="00545F0F"/>
    <w:rsid w:val="00546198"/>
    <w:rsid w:val="00547E89"/>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2FF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C6692"/>
    <w:rsid w:val="005D0548"/>
    <w:rsid w:val="005D143F"/>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7E9"/>
    <w:rsid w:val="00637990"/>
    <w:rsid w:val="00637BFF"/>
    <w:rsid w:val="00637FE2"/>
    <w:rsid w:val="006412E0"/>
    <w:rsid w:val="00641CAF"/>
    <w:rsid w:val="00642C23"/>
    <w:rsid w:val="00646947"/>
    <w:rsid w:val="00647670"/>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577"/>
    <w:rsid w:val="006B3D85"/>
    <w:rsid w:val="006B449D"/>
    <w:rsid w:val="006B5088"/>
    <w:rsid w:val="006B5A78"/>
    <w:rsid w:val="006B7397"/>
    <w:rsid w:val="006B7503"/>
    <w:rsid w:val="006B79D8"/>
    <w:rsid w:val="006C0C1E"/>
    <w:rsid w:val="006C18D2"/>
    <w:rsid w:val="006C1C3C"/>
    <w:rsid w:val="006C22D3"/>
    <w:rsid w:val="006C3882"/>
    <w:rsid w:val="006C5128"/>
    <w:rsid w:val="006C5A98"/>
    <w:rsid w:val="006C7A10"/>
    <w:rsid w:val="006D167B"/>
    <w:rsid w:val="006D1B48"/>
    <w:rsid w:val="006D358F"/>
    <w:rsid w:val="006D3851"/>
    <w:rsid w:val="006D46AA"/>
    <w:rsid w:val="006D4BE8"/>
    <w:rsid w:val="006D4C79"/>
    <w:rsid w:val="006D52A9"/>
    <w:rsid w:val="006D5989"/>
    <w:rsid w:val="006D662E"/>
    <w:rsid w:val="006D6C7B"/>
    <w:rsid w:val="006D745C"/>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4AA8"/>
    <w:rsid w:val="006F542E"/>
    <w:rsid w:val="006F59B9"/>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6706"/>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59B2"/>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05F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641"/>
    <w:rsid w:val="008248B3"/>
    <w:rsid w:val="00827A4C"/>
    <w:rsid w:val="00830E6E"/>
    <w:rsid w:val="0083138A"/>
    <w:rsid w:val="00833FFC"/>
    <w:rsid w:val="00834277"/>
    <w:rsid w:val="008346FE"/>
    <w:rsid w:val="00837C07"/>
    <w:rsid w:val="00840686"/>
    <w:rsid w:val="00842E41"/>
    <w:rsid w:val="008432AD"/>
    <w:rsid w:val="00846030"/>
    <w:rsid w:val="008465C2"/>
    <w:rsid w:val="00846B78"/>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2A4F"/>
    <w:rsid w:val="008A321F"/>
    <w:rsid w:val="008A39DF"/>
    <w:rsid w:val="008A41EB"/>
    <w:rsid w:val="008A6840"/>
    <w:rsid w:val="008B0B83"/>
    <w:rsid w:val="008B2EA8"/>
    <w:rsid w:val="008B3077"/>
    <w:rsid w:val="008B3765"/>
    <w:rsid w:val="008B62E2"/>
    <w:rsid w:val="008B6453"/>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D7DD9"/>
    <w:rsid w:val="008E0503"/>
    <w:rsid w:val="008E113E"/>
    <w:rsid w:val="008E1CA2"/>
    <w:rsid w:val="008E2DEA"/>
    <w:rsid w:val="008E3001"/>
    <w:rsid w:val="008E3B98"/>
    <w:rsid w:val="008E4ADD"/>
    <w:rsid w:val="008E4CE6"/>
    <w:rsid w:val="008E4DF6"/>
    <w:rsid w:val="008E71D5"/>
    <w:rsid w:val="008E7FC4"/>
    <w:rsid w:val="008F00C5"/>
    <w:rsid w:val="008F18F6"/>
    <w:rsid w:val="008F27E6"/>
    <w:rsid w:val="008F3832"/>
    <w:rsid w:val="008F3E40"/>
    <w:rsid w:val="008F5028"/>
    <w:rsid w:val="008F5C5E"/>
    <w:rsid w:val="008F69C7"/>
    <w:rsid w:val="008F6BF4"/>
    <w:rsid w:val="009005C4"/>
    <w:rsid w:val="00903200"/>
    <w:rsid w:val="00903978"/>
    <w:rsid w:val="00903B9A"/>
    <w:rsid w:val="00903E7B"/>
    <w:rsid w:val="009048A7"/>
    <w:rsid w:val="00904C79"/>
    <w:rsid w:val="00905847"/>
    <w:rsid w:val="0090598B"/>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A07"/>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59C"/>
    <w:rsid w:val="00966797"/>
    <w:rsid w:val="00967F78"/>
    <w:rsid w:val="00970C17"/>
    <w:rsid w:val="00971732"/>
    <w:rsid w:val="00972A26"/>
    <w:rsid w:val="00974EF3"/>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0F8"/>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D7A1A"/>
    <w:rsid w:val="009E1A9A"/>
    <w:rsid w:val="009E375D"/>
    <w:rsid w:val="009E45D0"/>
    <w:rsid w:val="009E6F30"/>
    <w:rsid w:val="009F25A3"/>
    <w:rsid w:val="009F2F54"/>
    <w:rsid w:val="009F3D7E"/>
    <w:rsid w:val="009F3F56"/>
    <w:rsid w:val="009F5F09"/>
    <w:rsid w:val="009F612D"/>
    <w:rsid w:val="009F68F9"/>
    <w:rsid w:val="009F6D13"/>
    <w:rsid w:val="00A01DFD"/>
    <w:rsid w:val="00A02E89"/>
    <w:rsid w:val="00A04DA3"/>
    <w:rsid w:val="00A05C2D"/>
    <w:rsid w:val="00A06278"/>
    <w:rsid w:val="00A06EF1"/>
    <w:rsid w:val="00A0716D"/>
    <w:rsid w:val="00A07274"/>
    <w:rsid w:val="00A0733D"/>
    <w:rsid w:val="00A10A7C"/>
    <w:rsid w:val="00A13AEC"/>
    <w:rsid w:val="00A14EA1"/>
    <w:rsid w:val="00A153CB"/>
    <w:rsid w:val="00A17335"/>
    <w:rsid w:val="00A2064C"/>
    <w:rsid w:val="00A233D2"/>
    <w:rsid w:val="00A23AE3"/>
    <w:rsid w:val="00A240CA"/>
    <w:rsid w:val="00A24485"/>
    <w:rsid w:val="00A24EF1"/>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034"/>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96FB5"/>
    <w:rsid w:val="00AA0CDA"/>
    <w:rsid w:val="00AA1A07"/>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B7DCB"/>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5615"/>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4EE"/>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4D0C"/>
    <w:rsid w:val="00B75363"/>
    <w:rsid w:val="00B766EE"/>
    <w:rsid w:val="00B8029F"/>
    <w:rsid w:val="00B81C16"/>
    <w:rsid w:val="00B81FBE"/>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4C9B"/>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D15"/>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1BAB"/>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3503"/>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7CC"/>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0784"/>
    <w:rsid w:val="00D519C5"/>
    <w:rsid w:val="00D51ECF"/>
    <w:rsid w:val="00D52A58"/>
    <w:rsid w:val="00D53ED9"/>
    <w:rsid w:val="00D5559D"/>
    <w:rsid w:val="00D564CA"/>
    <w:rsid w:val="00D5731B"/>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2FB1"/>
    <w:rsid w:val="00D96690"/>
    <w:rsid w:val="00D96E4A"/>
    <w:rsid w:val="00D974D3"/>
    <w:rsid w:val="00D975E7"/>
    <w:rsid w:val="00D97CFB"/>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193F"/>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3741"/>
    <w:rsid w:val="00DE41DB"/>
    <w:rsid w:val="00DF27E2"/>
    <w:rsid w:val="00DF2896"/>
    <w:rsid w:val="00DF2A4F"/>
    <w:rsid w:val="00DF507B"/>
    <w:rsid w:val="00DF637A"/>
    <w:rsid w:val="00DF74C6"/>
    <w:rsid w:val="00DF74F2"/>
    <w:rsid w:val="00E00B59"/>
    <w:rsid w:val="00E01E62"/>
    <w:rsid w:val="00E029A1"/>
    <w:rsid w:val="00E02D97"/>
    <w:rsid w:val="00E054EA"/>
    <w:rsid w:val="00E0577E"/>
    <w:rsid w:val="00E07816"/>
    <w:rsid w:val="00E07B7B"/>
    <w:rsid w:val="00E117CD"/>
    <w:rsid w:val="00E11D84"/>
    <w:rsid w:val="00E124AF"/>
    <w:rsid w:val="00E1286F"/>
    <w:rsid w:val="00E12AFA"/>
    <w:rsid w:val="00E12B6B"/>
    <w:rsid w:val="00E13523"/>
    <w:rsid w:val="00E14A6F"/>
    <w:rsid w:val="00E15E5F"/>
    <w:rsid w:val="00E167EC"/>
    <w:rsid w:val="00E17747"/>
    <w:rsid w:val="00E22DAB"/>
    <w:rsid w:val="00E24F18"/>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1CF8"/>
    <w:rsid w:val="00E42FC6"/>
    <w:rsid w:val="00E43F1F"/>
    <w:rsid w:val="00E4494C"/>
    <w:rsid w:val="00E45B25"/>
    <w:rsid w:val="00E502BA"/>
    <w:rsid w:val="00E5076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1FE9"/>
    <w:rsid w:val="00F146EC"/>
    <w:rsid w:val="00F14A31"/>
    <w:rsid w:val="00F14F56"/>
    <w:rsid w:val="00F1617E"/>
    <w:rsid w:val="00F16303"/>
    <w:rsid w:val="00F16D9D"/>
    <w:rsid w:val="00F174F7"/>
    <w:rsid w:val="00F176B6"/>
    <w:rsid w:val="00F17B8A"/>
    <w:rsid w:val="00F20002"/>
    <w:rsid w:val="00F220C6"/>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21DE"/>
    <w:rsid w:val="00F7340B"/>
    <w:rsid w:val="00F745D4"/>
    <w:rsid w:val="00F74814"/>
    <w:rsid w:val="00F74AFD"/>
    <w:rsid w:val="00F76B94"/>
    <w:rsid w:val="00F80C33"/>
    <w:rsid w:val="00F81941"/>
    <w:rsid w:val="00F8226F"/>
    <w:rsid w:val="00F905AB"/>
    <w:rsid w:val="00F969CF"/>
    <w:rsid w:val="00FA0486"/>
    <w:rsid w:val="00FA27FD"/>
    <w:rsid w:val="00FA3E55"/>
    <w:rsid w:val="00FA4AFE"/>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E7F5F"/>
    <w:rsid w:val="00FF0C63"/>
    <w:rsid w:val="00FF0EC6"/>
    <w:rsid w:val="00FF1DAB"/>
    <w:rsid w:val="00FF394A"/>
    <w:rsid w:val="00FF3DF8"/>
    <w:rsid w:val="03F4702C"/>
    <w:rsid w:val="04BA0275"/>
    <w:rsid w:val="05B517B2"/>
    <w:rsid w:val="0666393D"/>
    <w:rsid w:val="072F6ED4"/>
    <w:rsid w:val="078A78F5"/>
    <w:rsid w:val="078D73D6"/>
    <w:rsid w:val="07D33D16"/>
    <w:rsid w:val="07D574D0"/>
    <w:rsid w:val="09637941"/>
    <w:rsid w:val="0A85631C"/>
    <w:rsid w:val="0B2F2F5D"/>
    <w:rsid w:val="0B675B31"/>
    <w:rsid w:val="0BDF51D7"/>
    <w:rsid w:val="0C3615C8"/>
    <w:rsid w:val="0C4861BD"/>
    <w:rsid w:val="0C7E7AA1"/>
    <w:rsid w:val="0CFE3A2E"/>
    <w:rsid w:val="0CFE7E0D"/>
    <w:rsid w:val="0D873213"/>
    <w:rsid w:val="0D9425DE"/>
    <w:rsid w:val="0D99361C"/>
    <w:rsid w:val="0F5D461F"/>
    <w:rsid w:val="107D340A"/>
    <w:rsid w:val="10EB4170"/>
    <w:rsid w:val="10F05838"/>
    <w:rsid w:val="113C24CA"/>
    <w:rsid w:val="119D0D41"/>
    <w:rsid w:val="11C269BB"/>
    <w:rsid w:val="11D57EAE"/>
    <w:rsid w:val="12162C3B"/>
    <w:rsid w:val="130F1D58"/>
    <w:rsid w:val="146723C1"/>
    <w:rsid w:val="14896182"/>
    <w:rsid w:val="155010AB"/>
    <w:rsid w:val="15572C10"/>
    <w:rsid w:val="15737A45"/>
    <w:rsid w:val="1584594C"/>
    <w:rsid w:val="15907301"/>
    <w:rsid w:val="15A069B5"/>
    <w:rsid w:val="15A90346"/>
    <w:rsid w:val="15B24E31"/>
    <w:rsid w:val="16AA09BD"/>
    <w:rsid w:val="16C2225F"/>
    <w:rsid w:val="16E66CA8"/>
    <w:rsid w:val="17652C65"/>
    <w:rsid w:val="17833DE3"/>
    <w:rsid w:val="17B61D19"/>
    <w:rsid w:val="185063AD"/>
    <w:rsid w:val="19775424"/>
    <w:rsid w:val="1A042476"/>
    <w:rsid w:val="1A241EC0"/>
    <w:rsid w:val="1AE96A89"/>
    <w:rsid w:val="1C121D57"/>
    <w:rsid w:val="1C4A137C"/>
    <w:rsid w:val="1C8F1DE9"/>
    <w:rsid w:val="1DA871CA"/>
    <w:rsid w:val="1DDA03D8"/>
    <w:rsid w:val="1F11313D"/>
    <w:rsid w:val="1F956998"/>
    <w:rsid w:val="207104A8"/>
    <w:rsid w:val="20DC5C02"/>
    <w:rsid w:val="20DE7ECC"/>
    <w:rsid w:val="20FE711F"/>
    <w:rsid w:val="216607B4"/>
    <w:rsid w:val="21A70E96"/>
    <w:rsid w:val="225E4DAF"/>
    <w:rsid w:val="22891E2D"/>
    <w:rsid w:val="22A50220"/>
    <w:rsid w:val="22A743B8"/>
    <w:rsid w:val="22D33607"/>
    <w:rsid w:val="23FD2509"/>
    <w:rsid w:val="24212C83"/>
    <w:rsid w:val="243943F8"/>
    <w:rsid w:val="247E303D"/>
    <w:rsid w:val="24E05430"/>
    <w:rsid w:val="267A7579"/>
    <w:rsid w:val="272231F7"/>
    <w:rsid w:val="27961F1E"/>
    <w:rsid w:val="27AD7C03"/>
    <w:rsid w:val="28C46277"/>
    <w:rsid w:val="28DE1ED5"/>
    <w:rsid w:val="29062B05"/>
    <w:rsid w:val="29127A38"/>
    <w:rsid w:val="2AAA7342"/>
    <w:rsid w:val="2AB43BC5"/>
    <w:rsid w:val="2B556F15"/>
    <w:rsid w:val="2B7F4BC3"/>
    <w:rsid w:val="2CE81BAF"/>
    <w:rsid w:val="2DAC05D8"/>
    <w:rsid w:val="2DE728EA"/>
    <w:rsid w:val="2E726843"/>
    <w:rsid w:val="2EDC02FF"/>
    <w:rsid w:val="2EE87C86"/>
    <w:rsid w:val="2EEC5388"/>
    <w:rsid w:val="3172033E"/>
    <w:rsid w:val="319F661C"/>
    <w:rsid w:val="3227588C"/>
    <w:rsid w:val="325F6558"/>
    <w:rsid w:val="331653E5"/>
    <w:rsid w:val="341C30A3"/>
    <w:rsid w:val="351529A9"/>
    <w:rsid w:val="355A74E9"/>
    <w:rsid w:val="35FD1F7A"/>
    <w:rsid w:val="363470C6"/>
    <w:rsid w:val="36616918"/>
    <w:rsid w:val="366D672C"/>
    <w:rsid w:val="3676199F"/>
    <w:rsid w:val="36E3150F"/>
    <w:rsid w:val="3836614A"/>
    <w:rsid w:val="384A4707"/>
    <w:rsid w:val="385D644E"/>
    <w:rsid w:val="38F33167"/>
    <w:rsid w:val="39C83C69"/>
    <w:rsid w:val="39CE5E1D"/>
    <w:rsid w:val="39F636E9"/>
    <w:rsid w:val="3A9701E9"/>
    <w:rsid w:val="3B4244C5"/>
    <w:rsid w:val="3C003247"/>
    <w:rsid w:val="3C4A64CD"/>
    <w:rsid w:val="3C8E6F2D"/>
    <w:rsid w:val="3D6145DC"/>
    <w:rsid w:val="3E5E0082"/>
    <w:rsid w:val="3EDB4EA4"/>
    <w:rsid w:val="3F9F3463"/>
    <w:rsid w:val="3FC31914"/>
    <w:rsid w:val="402B38BA"/>
    <w:rsid w:val="405D6728"/>
    <w:rsid w:val="40FD6FDA"/>
    <w:rsid w:val="41110191"/>
    <w:rsid w:val="414A37BB"/>
    <w:rsid w:val="41B45A04"/>
    <w:rsid w:val="42643A73"/>
    <w:rsid w:val="42AA1012"/>
    <w:rsid w:val="43FB66E3"/>
    <w:rsid w:val="44DC7F4B"/>
    <w:rsid w:val="45651876"/>
    <w:rsid w:val="466F6CEB"/>
    <w:rsid w:val="46AA377D"/>
    <w:rsid w:val="475227AB"/>
    <w:rsid w:val="48FF23C8"/>
    <w:rsid w:val="49363676"/>
    <w:rsid w:val="496A1FBC"/>
    <w:rsid w:val="496D7DAB"/>
    <w:rsid w:val="49713AA7"/>
    <w:rsid w:val="499A2688"/>
    <w:rsid w:val="49D47D5A"/>
    <w:rsid w:val="49F62026"/>
    <w:rsid w:val="4A4B48E3"/>
    <w:rsid w:val="4B1A7369"/>
    <w:rsid w:val="4B5137BF"/>
    <w:rsid w:val="4BB075AF"/>
    <w:rsid w:val="4D774E55"/>
    <w:rsid w:val="4DA86B45"/>
    <w:rsid w:val="4DCD751B"/>
    <w:rsid w:val="4E3720DD"/>
    <w:rsid w:val="4F510F39"/>
    <w:rsid w:val="4FAF38AA"/>
    <w:rsid w:val="50FF792F"/>
    <w:rsid w:val="51497070"/>
    <w:rsid w:val="51E025FE"/>
    <w:rsid w:val="52FD675A"/>
    <w:rsid w:val="532B7AD5"/>
    <w:rsid w:val="53D80FA7"/>
    <w:rsid w:val="542D758B"/>
    <w:rsid w:val="5448002A"/>
    <w:rsid w:val="5473349C"/>
    <w:rsid w:val="54A3797A"/>
    <w:rsid w:val="54B6223B"/>
    <w:rsid w:val="54E15A0F"/>
    <w:rsid w:val="55344B23"/>
    <w:rsid w:val="55E22755"/>
    <w:rsid w:val="56732DC5"/>
    <w:rsid w:val="56C21B98"/>
    <w:rsid w:val="57360F05"/>
    <w:rsid w:val="57630249"/>
    <w:rsid w:val="581F495D"/>
    <w:rsid w:val="58484116"/>
    <w:rsid w:val="58DA78C0"/>
    <w:rsid w:val="58E017CC"/>
    <w:rsid w:val="5A770570"/>
    <w:rsid w:val="5AC859BF"/>
    <w:rsid w:val="5C0F2072"/>
    <w:rsid w:val="5CFC1D50"/>
    <w:rsid w:val="5E6C25B6"/>
    <w:rsid w:val="5E84123F"/>
    <w:rsid w:val="5F0028BB"/>
    <w:rsid w:val="5F2528F6"/>
    <w:rsid w:val="5F9764C2"/>
    <w:rsid w:val="603300A7"/>
    <w:rsid w:val="604716E5"/>
    <w:rsid w:val="607E0927"/>
    <w:rsid w:val="60D968DA"/>
    <w:rsid w:val="60F41422"/>
    <w:rsid w:val="61186BC7"/>
    <w:rsid w:val="61454B82"/>
    <w:rsid w:val="619D5BCC"/>
    <w:rsid w:val="6233128F"/>
    <w:rsid w:val="62635DDC"/>
    <w:rsid w:val="62FE3555"/>
    <w:rsid w:val="63D7368B"/>
    <w:rsid w:val="642B176B"/>
    <w:rsid w:val="657A0549"/>
    <w:rsid w:val="663C2FB3"/>
    <w:rsid w:val="665A104A"/>
    <w:rsid w:val="66ED444E"/>
    <w:rsid w:val="67484273"/>
    <w:rsid w:val="68A603CF"/>
    <w:rsid w:val="690D2266"/>
    <w:rsid w:val="69E27B06"/>
    <w:rsid w:val="69EA623B"/>
    <w:rsid w:val="6A0F3694"/>
    <w:rsid w:val="6A5445FC"/>
    <w:rsid w:val="6A5C1E75"/>
    <w:rsid w:val="6AB76CFB"/>
    <w:rsid w:val="6ABA08C1"/>
    <w:rsid w:val="6BC1702A"/>
    <w:rsid w:val="6C282248"/>
    <w:rsid w:val="6CBD55AC"/>
    <w:rsid w:val="6DE636A7"/>
    <w:rsid w:val="6DE86594"/>
    <w:rsid w:val="6E5C2511"/>
    <w:rsid w:val="725831A5"/>
    <w:rsid w:val="73607DE9"/>
    <w:rsid w:val="73711235"/>
    <w:rsid w:val="753E278B"/>
    <w:rsid w:val="75BE6EB5"/>
    <w:rsid w:val="772C4447"/>
    <w:rsid w:val="77861C18"/>
    <w:rsid w:val="7815375E"/>
    <w:rsid w:val="78A23952"/>
    <w:rsid w:val="790D6252"/>
    <w:rsid w:val="7AAF2822"/>
    <w:rsid w:val="7AE40810"/>
    <w:rsid w:val="7B0749C7"/>
    <w:rsid w:val="7BBB6C68"/>
    <w:rsid w:val="7C2A062C"/>
    <w:rsid w:val="7C574749"/>
    <w:rsid w:val="7C8E2CF6"/>
    <w:rsid w:val="7C967B8B"/>
    <w:rsid w:val="7CD015B7"/>
    <w:rsid w:val="7DC22084"/>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30"/>
    <w:qFormat/>
    <w:uiPriority w:val="99"/>
    <w:pPr>
      <w:jc w:val="left"/>
    </w:pPr>
    <w:rPr>
      <w:sz w:val="24"/>
      <w:szCs w:val="20"/>
    </w:rPr>
  </w:style>
  <w:style w:type="paragraph" w:styleId="6">
    <w:name w:val="Body Text"/>
    <w:basedOn w:val="1"/>
    <w:link w:val="49"/>
    <w:unhideWhenUsed/>
    <w:qFormat/>
    <w:locked/>
    <w:uiPriority w:val="99"/>
    <w:pPr>
      <w:spacing w:after="120"/>
    </w:pPr>
  </w:style>
  <w:style w:type="paragraph" w:styleId="7">
    <w:name w:val="Body Text Indent"/>
    <w:basedOn w:val="1"/>
    <w:link w:val="31"/>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2"/>
    <w:qFormat/>
    <w:uiPriority w:val="99"/>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7"/>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locked/>
    <w:uiPriority w:val="0"/>
  </w:style>
  <w:style w:type="character" w:styleId="22">
    <w:name w:val="FollowedHyperlink"/>
    <w:basedOn w:val="19"/>
    <w:semiHidden/>
    <w:unhideWhenUsed/>
    <w:qFormat/>
    <w:locked/>
    <w:uiPriority w:val="99"/>
    <w:rPr>
      <w:color w:val="4D7AD8"/>
      <w:u w:val="none"/>
    </w:rPr>
  </w:style>
  <w:style w:type="character" w:styleId="23">
    <w:name w:val="HTML Definition"/>
    <w:basedOn w:val="19"/>
    <w:semiHidden/>
    <w:unhideWhenUsed/>
    <w:qFormat/>
    <w:locked/>
    <w:uiPriority w:val="99"/>
    <w:rPr>
      <w:i/>
      <w:iCs/>
    </w:rPr>
  </w:style>
  <w:style w:type="character" w:styleId="24">
    <w:name w:val="Hyperlink"/>
    <w:qFormat/>
    <w:uiPriority w:val="99"/>
    <w:rPr>
      <w:rFonts w:cs="Times New Roman"/>
      <w:color w:val="0563C1"/>
      <w:u w:val="single"/>
    </w:rPr>
  </w:style>
  <w:style w:type="character" w:styleId="25">
    <w:name w:val="HTML Code"/>
    <w:basedOn w:val="19"/>
    <w:semiHidden/>
    <w:unhideWhenUsed/>
    <w:qFormat/>
    <w:locked/>
    <w:uiPriority w:val="99"/>
    <w:rPr>
      <w:rFonts w:hint="default" w:ascii="Consolas" w:hAnsi="Consolas" w:eastAsia="Consolas" w:cs="Consolas"/>
      <w:sz w:val="21"/>
      <w:szCs w:val="21"/>
      <w:bdr w:val="single" w:color="auto" w:sz="2" w:space="0"/>
    </w:rPr>
  </w:style>
  <w:style w:type="character" w:styleId="26">
    <w:name w:val="annotation reference"/>
    <w:basedOn w:val="19"/>
    <w:qFormat/>
    <w:uiPriority w:val="99"/>
    <w:rPr>
      <w:rFonts w:cs="Times New Roman"/>
      <w:sz w:val="21"/>
    </w:rPr>
  </w:style>
  <w:style w:type="character" w:styleId="27">
    <w:name w:val="HTML Keyboard"/>
    <w:basedOn w:val="19"/>
    <w:semiHidden/>
    <w:unhideWhenUsed/>
    <w:qFormat/>
    <w:locked/>
    <w:uiPriority w:val="99"/>
    <w:rPr>
      <w:rFonts w:hint="default" w:ascii="Consolas" w:hAnsi="Consolas" w:eastAsia="Consolas" w:cs="Consolas"/>
      <w:sz w:val="21"/>
      <w:szCs w:val="21"/>
    </w:rPr>
  </w:style>
  <w:style w:type="character" w:styleId="28">
    <w:name w:val="HTML Sample"/>
    <w:basedOn w:val="19"/>
    <w:semiHidden/>
    <w:unhideWhenUsed/>
    <w:qFormat/>
    <w:locked/>
    <w:uiPriority w:val="99"/>
    <w:rPr>
      <w:rFonts w:ascii="Consolas" w:hAnsi="Consolas" w:eastAsia="Consolas" w:cs="Consolas"/>
      <w:sz w:val="21"/>
      <w:szCs w:val="21"/>
    </w:rPr>
  </w:style>
  <w:style w:type="character" w:customStyle="1" w:styleId="29">
    <w:name w:val="标题 1 Char"/>
    <w:link w:val="3"/>
    <w:qFormat/>
    <w:locked/>
    <w:uiPriority w:val="99"/>
    <w:rPr>
      <w:rFonts w:cs="Times New Roman"/>
      <w:b/>
      <w:kern w:val="44"/>
      <w:sz w:val="44"/>
    </w:rPr>
  </w:style>
  <w:style w:type="character" w:customStyle="1" w:styleId="30">
    <w:name w:val="批注文字 Char"/>
    <w:link w:val="5"/>
    <w:qFormat/>
    <w:locked/>
    <w:uiPriority w:val="99"/>
    <w:rPr>
      <w:rFonts w:cs="Times New Roman"/>
      <w:kern w:val="2"/>
      <w:sz w:val="24"/>
    </w:rPr>
  </w:style>
  <w:style w:type="character" w:customStyle="1" w:styleId="31">
    <w:name w:val="正文文本缩进 Char"/>
    <w:link w:val="7"/>
    <w:qFormat/>
    <w:locked/>
    <w:uiPriority w:val="99"/>
    <w:rPr>
      <w:rFonts w:ascii="等线" w:eastAsia="等线" w:cs="Times New Roman"/>
      <w:kern w:val="2"/>
      <w:sz w:val="22"/>
    </w:rPr>
  </w:style>
  <w:style w:type="character" w:customStyle="1" w:styleId="32">
    <w:name w:val="纯文本 Char"/>
    <w:link w:val="10"/>
    <w:qFormat/>
    <w:locked/>
    <w:uiPriority w:val="99"/>
    <w:rPr>
      <w:rFonts w:ascii="宋体" w:hAnsi="Courier New" w:cs="Times New Roman"/>
      <w:kern w:val="2"/>
      <w:sz w:val="21"/>
    </w:rPr>
  </w:style>
  <w:style w:type="character" w:customStyle="1" w:styleId="33">
    <w:name w:val="日期 Char"/>
    <w:link w:val="11"/>
    <w:qFormat/>
    <w:locked/>
    <w:uiPriority w:val="99"/>
    <w:rPr>
      <w:rFonts w:cs="Times New Roman"/>
      <w:kern w:val="2"/>
      <w:sz w:val="24"/>
    </w:rPr>
  </w:style>
  <w:style w:type="character" w:customStyle="1" w:styleId="34">
    <w:name w:val="批注框文本 Char"/>
    <w:link w:val="12"/>
    <w:semiHidden/>
    <w:qFormat/>
    <w:locked/>
    <w:uiPriority w:val="99"/>
    <w:rPr>
      <w:rFonts w:cs="Times New Roman"/>
      <w:sz w:val="2"/>
    </w:rPr>
  </w:style>
  <w:style w:type="character" w:customStyle="1" w:styleId="35">
    <w:name w:val="页脚 Char"/>
    <w:link w:val="13"/>
    <w:semiHidden/>
    <w:qFormat/>
    <w:locked/>
    <w:uiPriority w:val="99"/>
    <w:rPr>
      <w:rFonts w:cs="Times New Roman"/>
      <w:sz w:val="18"/>
      <w:szCs w:val="18"/>
    </w:rPr>
  </w:style>
  <w:style w:type="character" w:customStyle="1" w:styleId="36">
    <w:name w:val="页眉 Char"/>
    <w:link w:val="14"/>
    <w:qFormat/>
    <w:locked/>
    <w:uiPriority w:val="99"/>
    <w:rPr>
      <w:rFonts w:cs="Times New Roman"/>
      <w:kern w:val="2"/>
      <w:sz w:val="18"/>
    </w:rPr>
  </w:style>
  <w:style w:type="character" w:customStyle="1" w:styleId="37">
    <w:name w:val="批注主题 Char"/>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出段落 Char"/>
    <w:link w:val="40"/>
    <w:qFormat/>
    <w:locked/>
    <w:uiPriority w:val="34"/>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Char"/>
    <w:link w:val="6"/>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6"/>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8">
    <w:name w:val="列出段落3"/>
    <w:basedOn w:val="1"/>
    <w:qFormat/>
    <w:uiPriority w:val="99"/>
    <w:pPr>
      <w:ind w:firstLine="420" w:firstLineChars="200"/>
    </w:pPr>
    <w:rPr>
      <w:szCs w:val="20"/>
    </w:rPr>
  </w:style>
  <w:style w:type="character" w:customStyle="1" w:styleId="59">
    <w:name w:val="列出段落 Char1"/>
    <w:qFormat/>
    <w:locked/>
    <w:uiPriority w:val="34"/>
    <w:rPr>
      <w:rFonts w:ascii="Calibri" w:hAnsi="Calibri"/>
      <w:kern w:val="2"/>
      <w:sz w:val="22"/>
    </w:rPr>
  </w:style>
  <w:style w:type="character" w:customStyle="1" w:styleId="60">
    <w:name w:val="wea-thumbnails-doc-content-subtitle"/>
    <w:basedOn w:val="19"/>
    <w:qFormat/>
    <w:uiPriority w:val="0"/>
    <w:rPr>
      <w:color w:val="9A9A9A"/>
    </w:rPr>
  </w:style>
  <w:style w:type="character" w:customStyle="1" w:styleId="61">
    <w:name w:val="first-of-type"/>
    <w:basedOn w:val="19"/>
    <w:qFormat/>
    <w:uiPriority w:val="0"/>
    <w:rPr>
      <w:color w:val="FF0000"/>
    </w:rPr>
  </w:style>
  <w:style w:type="character" w:customStyle="1" w:styleId="62">
    <w:name w:val="first-of-type1"/>
    <w:basedOn w:val="19"/>
    <w:uiPriority w:val="0"/>
    <w:rPr>
      <w:color w:val="FF0000"/>
    </w:rPr>
  </w:style>
  <w:style w:type="character" w:customStyle="1" w:styleId="63">
    <w:name w:val="first-of-type2"/>
    <w:basedOn w:val="19"/>
    <w:qFormat/>
    <w:uiPriority w:val="0"/>
    <w:rPr>
      <w:color w:val="FF0000"/>
    </w:rPr>
  </w:style>
  <w:style w:type="character" w:customStyle="1" w:styleId="64">
    <w:name w:val="ant-table-row-expand-icon4"/>
    <w:basedOn w:val="19"/>
    <w:qFormat/>
    <w:uiPriority w:val="0"/>
    <w:rPr>
      <w:vanish/>
    </w:rPr>
  </w:style>
  <w:style w:type="character" w:customStyle="1" w:styleId="65">
    <w:name w:val="auto-pass-node"/>
    <w:basedOn w:val="19"/>
    <w:uiPriority w:val="0"/>
    <w:rPr>
      <w:color w:val="DC4446"/>
      <w:bdr w:val="single" w:color="DC4446" w:sz="6" w:space="0"/>
      <w:shd w:val="clear" w:fill="A9E2FF"/>
    </w:rPr>
  </w:style>
  <w:style w:type="character" w:customStyle="1" w:styleId="66">
    <w:name w:val="ant-tree-iconele"/>
    <w:basedOn w:val="19"/>
    <w:qFormat/>
    <w:uiPriority w:val="0"/>
  </w:style>
  <w:style w:type="character" w:customStyle="1" w:styleId="67">
    <w:name w:val="ant-radio+*"/>
    <w:basedOn w:val="19"/>
    <w:qFormat/>
    <w:uiPriority w:val="0"/>
  </w:style>
  <w:style w:type="character" w:customStyle="1" w:styleId="68">
    <w:name w:val="ant-tree-switcher9"/>
    <w:basedOn w:val="19"/>
    <w:qFormat/>
    <w:uiPriority w:val="0"/>
  </w:style>
  <w:style w:type="character" w:customStyle="1" w:styleId="69">
    <w:name w:val="cke_dialog_ui_button"/>
    <w:basedOn w:val="19"/>
    <w:qFormat/>
    <w:uiPriority w:val="0"/>
  </w:style>
  <w:style w:type="character" w:customStyle="1" w:styleId="70">
    <w:name w:val="wea-dropdown-triangle2"/>
    <w:basedOn w:val="19"/>
    <w:qFormat/>
    <w:uiPriority w:val="0"/>
  </w:style>
  <w:style w:type="character" w:customStyle="1" w:styleId="71">
    <w:name w:val="button"/>
    <w:basedOn w:val="19"/>
    <w:qFormat/>
    <w:uiPriority w:val="0"/>
  </w:style>
  <w:style w:type="character" w:customStyle="1" w:styleId="72">
    <w:name w:val="button1"/>
    <w:basedOn w:val="19"/>
    <w:qFormat/>
    <w:uiPriority w:val="0"/>
  </w:style>
  <w:style w:type="character" w:customStyle="1" w:styleId="73">
    <w:name w:val="current-node"/>
    <w:basedOn w:val="19"/>
    <w:qFormat/>
    <w:uiPriority w:val="0"/>
    <w:rPr>
      <w:bdr w:val="single" w:color="F5B87B" w:sz="6" w:space="0"/>
      <w:shd w:val="clear" w:fill="FFE8CC"/>
    </w:rPr>
  </w:style>
  <w:style w:type="character" w:customStyle="1" w:styleId="74">
    <w:name w:val="tmpztreemove_arrow"/>
    <w:basedOn w:val="19"/>
    <w:qFormat/>
    <w:uiPriority w:val="0"/>
  </w:style>
  <w:style w:type="character" w:customStyle="1" w:styleId="75">
    <w:name w:val="cke_colorbox"/>
    <w:basedOn w:val="19"/>
    <w:qFormat/>
    <w:uiPriority w:val="0"/>
  </w:style>
  <w:style w:type="character" w:customStyle="1" w:styleId="76">
    <w:name w:val="cke_colorbox1"/>
    <w:basedOn w:val="19"/>
    <w:qFormat/>
    <w:uiPriority w:val="0"/>
  </w:style>
  <w:style w:type="character" w:customStyle="1" w:styleId="77">
    <w:name w:val="cke_colorbox2"/>
    <w:basedOn w:val="19"/>
    <w:qFormat/>
    <w:uiPriority w:val="0"/>
  </w:style>
  <w:style w:type="character" w:customStyle="1" w:styleId="78">
    <w:name w:val="cke_colorbox3"/>
    <w:basedOn w:val="19"/>
    <w:qFormat/>
    <w:uiPriority w:val="0"/>
    <w:rPr>
      <w:bdr w:val="single" w:color="808080" w:sz="6" w:space="0"/>
    </w:rPr>
  </w:style>
  <w:style w:type="character" w:customStyle="1" w:styleId="79">
    <w:name w:val="disabled4"/>
    <w:basedOn w:val="19"/>
    <w:qFormat/>
    <w:uiPriority w:val="0"/>
    <w:rPr>
      <w:color w:val="AAAAAA"/>
      <w:shd w:val="clear" w:fill="F7F7F7"/>
    </w:rPr>
  </w:style>
  <w:style w:type="character" w:customStyle="1" w:styleId="80">
    <w:name w:val="not-pass-node"/>
    <w:basedOn w:val="19"/>
    <w:qFormat/>
    <w:uiPriority w:val="0"/>
    <w:rPr>
      <w:bdr w:val="single" w:color="5ABD6B" w:sz="6" w:space="0"/>
      <w:shd w:val="clear" w:fill="BFF3C3"/>
    </w:rPr>
  </w:style>
  <w:style w:type="character" w:customStyle="1" w:styleId="81">
    <w:name w:val="cke_notification_progress"/>
    <w:basedOn w:val="19"/>
    <w:qFormat/>
    <w:uiPriority w:val="0"/>
    <w:rPr>
      <w:shd w:val="clear" w:fill="0F74A8"/>
    </w:rPr>
  </w:style>
  <w:style w:type="character" w:customStyle="1" w:styleId="82">
    <w:name w:val="cke_path_empty2"/>
    <w:basedOn w:val="19"/>
    <w:qFormat/>
    <w:uiPriority w:val="0"/>
    <w:rPr>
      <w:b/>
      <w:bCs/>
      <w:color w:val="484848"/>
      <w:sz w:val="16"/>
      <w:szCs w:val="16"/>
      <w:u w:val="none"/>
    </w:rPr>
  </w:style>
  <w:style w:type="character" w:customStyle="1" w:styleId="83">
    <w:name w:val="ant-select-tree-checkbox2"/>
    <w:basedOn w:val="19"/>
    <w:qFormat/>
    <w:uiPriority w:val="0"/>
  </w:style>
  <w:style w:type="character" w:customStyle="1" w:styleId="84">
    <w:name w:val="ant-select-tree-iconele"/>
    <w:basedOn w:val="19"/>
    <w:qFormat/>
    <w:uiPriority w:val="0"/>
  </w:style>
  <w:style w:type="character" w:customStyle="1" w:styleId="85">
    <w:name w:val="ant-select-tree-switcher"/>
    <w:basedOn w:val="19"/>
    <w:qFormat/>
    <w:uiPriority w:val="0"/>
  </w:style>
  <w:style w:type="character" w:customStyle="1" w:styleId="86">
    <w:name w:val="ant-tree-checkbox5"/>
    <w:basedOn w:val="19"/>
    <w:qFormat/>
    <w:uiPriority w:val="0"/>
  </w:style>
  <w:style w:type="character" w:customStyle="1" w:styleId="87">
    <w:name w:val="hover37"/>
    <w:basedOn w:val="19"/>
    <w:qFormat/>
    <w:uiPriority w:val="0"/>
    <w:rPr>
      <w:color w:val="009DFF"/>
    </w:rPr>
  </w:style>
  <w:style w:type="character" w:customStyle="1" w:styleId="88">
    <w:name w:val="hover38"/>
    <w:basedOn w:val="19"/>
    <w:qFormat/>
    <w:uiPriority w:val="0"/>
    <w:rPr>
      <w:color w:val="009DFF"/>
    </w:rPr>
  </w:style>
  <w:style w:type="character" w:customStyle="1" w:styleId="89">
    <w:name w:val="isrevision"/>
    <w:basedOn w:val="19"/>
    <w:qFormat/>
    <w:uiPriority w:val="0"/>
    <w:rPr>
      <w:color w:val="000000"/>
      <w:sz w:val="18"/>
      <w:szCs w:val="18"/>
      <w:bdr w:val="single" w:color="E9E9E9" w:sz="6" w:space="0"/>
      <w:shd w:val="clear" w:fill="FFFFFF"/>
    </w:rPr>
  </w:style>
  <w:style w:type="character" w:customStyle="1" w:styleId="90">
    <w:name w:val="passed-node"/>
    <w:basedOn w:val="19"/>
    <w:qFormat/>
    <w:uiPriority w:val="0"/>
    <w:rPr>
      <w:bdr w:val="single" w:color="49A8D4" w:sz="6" w:space="0"/>
      <w:shd w:val="clear" w:fill="A9E3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9D60A-CF54-4BCD-8F3F-98C0B34B153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3743</Words>
  <Characters>21340</Characters>
  <Lines>177</Lines>
  <Paragraphs>50</Paragraphs>
  <TotalTime>0</TotalTime>
  <ScaleCrop>false</ScaleCrop>
  <LinksUpToDate>false</LinksUpToDate>
  <CharactersWithSpaces>25033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2021-10-28T08:17:00Z</dcterms:created>
  <dc:creator>微软用户</dc:creator>
  <cp:lastModifiedBy>Administrator</cp:lastModifiedBy>
  <cp:lastPrinted>2019-11-22T01:53:00Z</cp:lastPrinted>
  <dcterms:modified xsi:type="dcterms:W3CDTF">2021-11-03T07:31:11Z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FDA4583A8ECC43888592E10722EC992B</vt:lpwstr>
  </property>
</Properties>
</file>