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1"/>
      <w:bookmarkStart w:id="1" w:name="OLE_LINK2"/>
      <w:r>
        <w:rPr>
          <w:b/>
          <w:sz w:val="44"/>
          <w:szCs w:val="44"/>
        </w:rPr>
        <w:t>南京信息工程大学</w:t>
      </w:r>
      <w:bookmarkEnd w:id="0"/>
      <w:bookmarkEnd w:id="1"/>
      <w:r>
        <w:rPr>
          <w:rFonts w:hint="default" w:eastAsia="宋体"/>
          <w:b/>
          <w:sz w:val="44"/>
          <w:szCs w:val="44"/>
        </w:rPr>
        <w:t>大气酸雨环境下钢构件材料防护涂层设计与性能评价虚拟仿真软件</w:t>
      </w:r>
      <w:r>
        <w:rPr>
          <w:rFonts w:hint="eastAsia" w:ascii="宋体" w:hAnsi="宋体"/>
          <w:b/>
          <w:sz w:val="44"/>
          <w:szCs w:val="44"/>
        </w:rPr>
        <w:t>采购</w:t>
      </w:r>
      <w:r>
        <w:rPr>
          <w:rFonts w:hint="eastAsia"/>
          <w:b/>
          <w:sz w:val="44"/>
          <w:szCs w:val="44"/>
        </w:rPr>
        <w:t>项目</w:t>
      </w:r>
      <w:r>
        <w:rPr>
          <w:b/>
          <w:sz w:val="44"/>
          <w:szCs w:val="44"/>
        </w:rPr>
        <w:t>招标文件</w:t>
      </w:r>
    </w:p>
    <w:p>
      <w:pPr>
        <w:pStyle w:val="2"/>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w:t>
      </w:r>
      <w:r>
        <w:rPr>
          <w:rFonts w:hint="eastAsia" w:ascii="宋体" w:hAnsi="宋体" w:cs="Times New Roman"/>
          <w:sz w:val="28"/>
          <w:szCs w:val="28"/>
          <w:u w:val="single"/>
        </w:rPr>
        <w:t xml:space="preserve"> </w:t>
      </w:r>
      <w:r>
        <w:rPr>
          <w:rFonts w:hint="default" w:ascii="宋体" w:hAnsi="宋体" w:cs="Times New Roman"/>
          <w:sz w:val="28"/>
          <w:szCs w:val="28"/>
          <w:u w:val="single"/>
        </w:rPr>
        <w:t>JZCG-2021-00176</w:t>
      </w:r>
      <w:r>
        <w:rPr>
          <w:rFonts w:hint="eastAsia" w:ascii="宋体" w:hAnsi="宋体" w:cs="Times New Roman"/>
          <w:sz w:val="28"/>
          <w:szCs w:val="28"/>
          <w:u w:val="single"/>
        </w:rPr>
        <w:t xml:space="preserve"> </w:t>
      </w:r>
      <w:r>
        <w:rPr>
          <w:rFonts w:hint="eastAsia" w:ascii="宋体" w:hAnsi="宋体" w:cs="仿宋"/>
          <w:sz w:val="28"/>
          <w:szCs w:val="28"/>
        </w:rPr>
        <w:t>）</w:t>
      </w:r>
    </w:p>
    <w:p>
      <w:pPr>
        <w:adjustRightInd w:val="0"/>
        <w:snapToGrid w:val="0"/>
        <w:spacing w:line="360" w:lineRule="auto"/>
        <w:jc w:val="center"/>
        <w:rPr>
          <w:rFonts w:ascii="宋体" w:cs="仿宋"/>
          <w:sz w:val="28"/>
          <w:szCs w:val="28"/>
        </w:rPr>
      </w:pPr>
    </w:p>
    <w:p>
      <w:pPr>
        <w:adjustRightInd/>
        <w:snapToGrid/>
        <w:spacing w:line="360" w:lineRule="auto"/>
        <w:ind w:firstLine="560" w:firstLineChars="200"/>
        <w:jc w:val="center"/>
        <w:rPr>
          <w:rFonts w:ascii="宋体" w:hAnsi="宋体" w:cs="Times New Roman"/>
          <w:sz w:val="28"/>
          <w:szCs w:val="28"/>
          <w:u w:val="single"/>
        </w:rPr>
      </w:pPr>
      <w:r>
        <w:rPr>
          <w:rFonts w:ascii="宋体" w:hAnsi="宋体" w:cs="Times New Roman"/>
          <w:sz w:val="28"/>
          <w:szCs w:val="28"/>
          <w:u w:val="single"/>
        </w:rPr>
        <w:t>(20</w:t>
      </w:r>
      <w:r>
        <w:rPr>
          <w:rFonts w:hint="default" w:ascii="宋体" w:hAnsi="宋体" w:cs="Times New Roman"/>
          <w:sz w:val="28"/>
          <w:szCs w:val="28"/>
          <w:u w:val="single"/>
        </w:rPr>
        <w:t>2</w:t>
      </w:r>
      <w:r>
        <w:rPr>
          <w:rFonts w:ascii="宋体" w:hAnsi="宋体" w:cs="Times New Roman"/>
          <w:sz w:val="28"/>
          <w:szCs w:val="28"/>
          <w:u w:val="single"/>
        </w:rPr>
        <w:t>1</w:t>
      </w:r>
      <w:r>
        <w:rPr>
          <w:rFonts w:hint="default" w:ascii="宋体" w:hAnsi="宋体" w:cs="Times New Roman"/>
          <w:sz w:val="28"/>
          <w:szCs w:val="28"/>
          <w:u w:val="single"/>
        </w:rPr>
        <w:t>年</w:t>
      </w:r>
      <w:r>
        <w:rPr>
          <w:rFonts w:ascii="宋体" w:hAnsi="宋体" w:cs="Times New Roman"/>
          <w:sz w:val="28"/>
          <w:szCs w:val="28"/>
          <w:u w:val="single"/>
        </w:rPr>
        <w:t>12</w:t>
      </w:r>
      <w:r>
        <w:rPr>
          <w:rFonts w:hint="default" w:ascii="宋体" w:hAnsi="宋体" w:cs="Times New Roman"/>
          <w:sz w:val="28"/>
          <w:szCs w:val="28"/>
          <w:u w:val="single"/>
        </w:rPr>
        <w:t>月</w:t>
      </w:r>
      <w:r>
        <w:rPr>
          <w:rFonts w:hint="eastAsia" w:ascii="宋体" w:hAnsi="宋体" w:cs="Times New Roman"/>
          <w:sz w:val="28"/>
          <w:szCs w:val="28"/>
          <w:u w:val="single"/>
          <w:lang w:val="en-US" w:eastAsia="zh-CN"/>
        </w:rPr>
        <w:t>3</w:t>
      </w:r>
      <w:r>
        <w:rPr>
          <w:rFonts w:ascii="宋体" w:hAnsi="宋体" w:cs="Times New Roman"/>
          <w:sz w:val="28"/>
          <w:szCs w:val="28"/>
          <w:u w:val="single"/>
        </w:rPr>
        <w:t>0</w:t>
      </w:r>
      <w:r>
        <w:rPr>
          <w:rFonts w:hint="default" w:ascii="宋体" w:hAnsi="宋体" w:cs="Times New Roman"/>
          <w:sz w:val="28"/>
          <w:szCs w:val="28"/>
          <w:u w:val="single"/>
        </w:rPr>
        <w:t>日1</w:t>
      </w:r>
      <w:r>
        <w:rPr>
          <w:rFonts w:hint="eastAsia" w:ascii="宋体" w:hAnsi="宋体" w:cs="Times New Roman"/>
          <w:sz w:val="28"/>
          <w:szCs w:val="28"/>
          <w:u w:val="single"/>
          <w:lang w:val="en-US" w:eastAsia="zh-CN"/>
        </w:rPr>
        <w:t>0</w:t>
      </w:r>
      <w:r>
        <w:rPr>
          <w:rFonts w:hint="default" w:ascii="宋体" w:hAnsi="宋体" w:cs="Times New Roman"/>
          <w:sz w:val="28"/>
          <w:szCs w:val="28"/>
          <w:u w:val="single"/>
        </w:rPr>
        <w:t>：</w:t>
      </w:r>
      <w:r>
        <w:rPr>
          <w:rFonts w:ascii="宋体" w:hAnsi="宋体" w:cs="Times New Roman"/>
          <w:sz w:val="28"/>
          <w:szCs w:val="28"/>
          <w:u w:val="single"/>
        </w:rPr>
        <w:t>00</w:t>
      </w:r>
      <w:r>
        <w:rPr>
          <w:rFonts w:hint="default" w:ascii="宋体" w:hAnsi="宋体" w:cs="Times New Roman"/>
          <w:sz w:val="28"/>
          <w:szCs w:val="28"/>
          <w:u w:val="single"/>
        </w:rPr>
        <w:t>定标发标版</w:t>
      </w:r>
      <w:r>
        <w:rPr>
          <w:rFonts w:ascii="宋体" w:hAnsi="宋体" w:cs="Times New Roman"/>
          <w:sz w:val="28"/>
          <w:szCs w:val="28"/>
          <w:u w:val="single"/>
        </w:rPr>
        <w:t>)</w:t>
      </w:r>
    </w:p>
    <w:p>
      <w:pPr>
        <w:jc w:val="center"/>
        <w:rPr>
          <w:b/>
          <w:sz w:val="28"/>
          <w:szCs w:val="28"/>
        </w:rPr>
      </w:pPr>
    </w:p>
    <w:p>
      <w:pPr>
        <w:keepNext w:val="0"/>
        <w:keepLines w:val="0"/>
        <w:widowControl/>
        <w:suppressLineNumbers w:val="0"/>
        <w:pBdr>
          <w:top w:val="none" w:color="auto" w:sz="0" w:space="0"/>
          <w:left w:val="none" w:color="auto" w:sz="0" w:space="0"/>
          <w:right w:val="none" w:color="auto" w:sz="0" w:space="0"/>
        </w:pBdr>
        <w:spacing w:before="0" w:beforeAutospacing="0" w:after="0" w:afterAutospacing="0" w:line="24" w:lineRule="atLeast"/>
        <w:ind w:left="0" w:right="0" w:firstLine="560" w:firstLineChars="200"/>
        <w:jc w:val="left"/>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w:t>
      </w:r>
      <w:r>
        <w:rPr>
          <w:rFonts w:hint="eastAsia" w:ascii="宋体" w:hAnsi="宋体" w:eastAsia="宋体"/>
          <w:sz w:val="28"/>
          <w:szCs w:val="28"/>
          <w:lang w:val="en-US" w:eastAsia="zh-CN"/>
        </w:rPr>
        <w:t>化学与材料学院</w:t>
      </w:r>
      <w:r>
        <w:rPr>
          <w:rFonts w:ascii="宋体" w:hAnsi="宋体"/>
          <w:sz w:val="28"/>
          <w:szCs w:val="28"/>
        </w:rPr>
        <w:t>委托，就</w:t>
      </w:r>
      <w:r>
        <w:rPr>
          <w:rFonts w:hint="default" w:ascii="宋体" w:hAnsi="宋体"/>
          <w:sz w:val="28"/>
          <w:szCs w:val="28"/>
        </w:rPr>
        <w:t>大气酸雨环境下钢构件材料防护涂层设计与性能评价虚拟仿真软件</w:t>
      </w:r>
      <w:r>
        <w:rPr>
          <w:rFonts w:hint="eastAsia" w:ascii="宋体" w:hAnsi="宋体"/>
          <w:sz w:val="28"/>
          <w:szCs w:val="28"/>
        </w:rPr>
        <w:t>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40"/>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40"/>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default" w:ascii="宋体" w:hAnsi="宋体"/>
          <w:kern w:val="2"/>
          <w:sz w:val="28"/>
          <w:szCs w:val="28"/>
        </w:rPr>
        <w:t>大气酸雨环境下钢构件材料防护涂层设计与性能评价虚拟仿真软件采购项目</w:t>
      </w:r>
      <w:r>
        <w:rPr>
          <w:rFonts w:ascii="宋体" w:hAnsi="宋体"/>
          <w:kern w:val="2"/>
          <w:sz w:val="28"/>
          <w:szCs w:val="28"/>
        </w:rPr>
        <w:t>。</w:t>
      </w:r>
    </w:p>
    <w:p>
      <w:pPr>
        <w:spacing w:line="30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4"/>
          <w:b/>
          <w:color w:val="auto"/>
          <w:sz w:val="24"/>
        </w:rPr>
        <w:t>https://bulletin.nuist.edu.cn/779/lis</w:t>
      </w:r>
      <w:r>
        <w:rPr>
          <w:rStyle w:val="24"/>
          <w:color w:val="auto"/>
          <w:sz w:val="24"/>
        </w:rPr>
        <w:t>t.htm</w:t>
      </w:r>
      <w:r>
        <w:rPr>
          <w:rStyle w:val="24"/>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u w:val="single"/>
        </w:rPr>
        <w:t>zbc.nuist.edu.cn</w:t>
      </w:r>
      <w:r>
        <w:rPr>
          <w:rFonts w:ascii="宋体" w:hAnsi="宋体"/>
          <w:b/>
          <w:sz w:val="24"/>
          <w:szCs w:val="28"/>
          <w:u w:val="single"/>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.招标文件由我校采购人、项目归口管理部门和招标办联合起草；经学校相关职能部门会审通过形成正式招标文件。同时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份纸质的正式招标文件，由招标办负责人和招标办工作人员同时签字并加盖财务处骑缝章后，分别交招标办、项目归口管理部门（或采购人）、审计处各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rPr>
      </w:pPr>
      <w:r>
        <w:rPr>
          <w:rFonts w:hint="eastAsia" w:ascii="宋体" w:hAnsi="宋体" w:cs="宋体"/>
          <w:sz w:val="28"/>
          <w:szCs w:val="28"/>
        </w:rPr>
        <w:t>5.正式的答疑回复文件也按上述方式处理留存。</w:t>
      </w:r>
    </w:p>
    <w:p>
      <w:pPr>
        <w:spacing w:line="360" w:lineRule="auto"/>
        <w:ind w:firstLine="570"/>
        <w:jc w:val="left"/>
        <w:rPr>
          <w:rFonts w:ascii="宋体" w:hAnsi="宋体" w:cs="宋体"/>
          <w:sz w:val="28"/>
          <w:szCs w:val="28"/>
        </w:rPr>
      </w:pPr>
      <w:r>
        <w:rPr>
          <w:rFonts w:hint="eastAsia" w:ascii="宋体" w:hAnsi="宋体" w:cs="宋体"/>
          <w:sz w:val="28"/>
          <w:szCs w:val="28"/>
        </w:rPr>
        <w:t>6.投标有效期：自开标之日起90天内投标有效。</w:t>
      </w:r>
    </w:p>
    <w:p>
      <w:pPr>
        <w:spacing w:line="360" w:lineRule="auto"/>
        <w:ind w:firstLine="570"/>
        <w:jc w:val="left"/>
        <w:rPr>
          <w:rFonts w:ascii="宋体" w:hAnsi="宋体" w:cs="宋体"/>
          <w:sz w:val="28"/>
          <w:szCs w:val="28"/>
        </w:rPr>
      </w:pPr>
      <w:r>
        <w:rPr>
          <w:rFonts w:hint="eastAsia" w:ascii="宋体" w:hAnsi="宋体" w:cs="宋体"/>
          <w:sz w:val="28"/>
          <w:szCs w:val="28"/>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u w:val="single"/>
        </w:rPr>
      </w:pPr>
      <w:r>
        <w:rPr>
          <w:rFonts w:hint="eastAsia" w:ascii="宋体" w:hAnsi="宋体" w:cs="Arial"/>
          <w:i/>
          <w:iCs/>
          <w:sz w:val="28"/>
          <w:szCs w:val="28"/>
          <w:u w:val="single"/>
        </w:rPr>
        <w:t>（一）参加政府采购的供应商应当具备政府采购法</w:t>
      </w:r>
      <w:r>
        <w:rPr>
          <w:rFonts w:ascii="宋体" w:hAnsi="宋体" w:cs="Arial"/>
          <w:i/>
          <w:iCs/>
          <w:sz w:val="28"/>
          <w:szCs w:val="28"/>
          <w:u w:val="single"/>
        </w:rPr>
        <w:t>第二十二条</w:t>
      </w:r>
      <w:r>
        <w:rPr>
          <w:rFonts w:hint="eastAsia" w:ascii="宋体" w:hAnsi="宋体" w:cs="Arial"/>
          <w:i/>
          <w:iCs/>
          <w:sz w:val="28"/>
          <w:szCs w:val="28"/>
          <w:u w:val="single"/>
        </w:rPr>
        <w:t>第一款</w:t>
      </w:r>
      <w:r>
        <w:rPr>
          <w:rFonts w:ascii="宋体" w:hAnsi="宋体" w:cs="Arial"/>
          <w:i/>
          <w:iCs/>
          <w:sz w:val="28"/>
          <w:szCs w:val="28"/>
          <w:u w:val="single"/>
        </w:rPr>
        <w:t>规定</w:t>
      </w:r>
      <w:r>
        <w:rPr>
          <w:rFonts w:hint="eastAsia" w:ascii="宋体" w:hAnsi="宋体" w:cs="Arial"/>
          <w:i/>
          <w:iCs/>
          <w:sz w:val="28"/>
          <w:szCs w:val="28"/>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8.本项目拒绝下述供应商参加本次采购活动的情形：</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rPr>
      </w:pPr>
      <w:r>
        <w:rPr>
          <w:rFonts w:hint="eastAsia" w:ascii="宋体" w:hAnsi="宋体" w:cs="宋体"/>
          <w:bCs/>
          <w:sz w:val="28"/>
          <w:szCs w:val="28"/>
        </w:rPr>
        <w:t>（3）供应商被“信用中国”网站（www.creditchina.gov.cn）、“中国政府采</w:t>
      </w:r>
      <w:r>
        <w:rPr>
          <w:rFonts w:hint="eastAsia" w:ascii="宋体" w:hAnsi="宋体" w:cs="宋体"/>
          <w:sz w:val="28"/>
          <w:szCs w:val="28"/>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rPr>
      </w:pPr>
      <w:r>
        <w:rPr>
          <w:rFonts w:hint="eastAsia" w:ascii="宋体" w:hAnsi="宋体" w:cs="宋体"/>
          <w:sz w:val="28"/>
          <w:szCs w:val="28"/>
        </w:rPr>
        <w:t>9.本项目不接受联合体投标。</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rPr>
      </w:pPr>
      <w:r>
        <w:rPr>
          <w:rFonts w:hint="eastAsia" w:ascii="宋体" w:hAnsi="宋体" w:cs="宋体"/>
          <w:sz w:val="28"/>
          <w:szCs w:val="28"/>
        </w:rPr>
        <w:t>六、本项目预算</w:t>
      </w:r>
      <w:r>
        <w:rPr>
          <w:rFonts w:hint="default" w:ascii="宋体" w:hAnsi="宋体" w:cs="Times New Roman"/>
          <w:sz w:val="28"/>
          <w:szCs w:val="28"/>
        </w:rPr>
        <w:t>价为</w:t>
      </w:r>
      <w:r>
        <w:rPr>
          <w:rFonts w:ascii="宋体" w:hAnsi="宋体" w:cs="Times New Roman"/>
          <w:sz w:val="28"/>
          <w:szCs w:val="28"/>
        </w:rPr>
        <w:t>30</w:t>
      </w:r>
      <w:r>
        <w:rPr>
          <w:rFonts w:hint="default" w:ascii="宋体" w:hAnsi="宋体" w:cs="Times New Roman"/>
          <w:sz w:val="28"/>
          <w:szCs w:val="28"/>
        </w:rPr>
        <w:t>万</w:t>
      </w:r>
      <w:r>
        <w:rPr>
          <w:rFonts w:hint="eastAsia" w:ascii="宋体" w:hAnsi="宋体" w:cs="宋体"/>
          <w:sz w:val="28"/>
          <w:szCs w:val="28"/>
        </w:rPr>
        <w:t>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napToGrid w:val="0"/>
        <w:spacing w:line="538" w:lineRule="exact"/>
        <w:ind w:firstLine="560" w:firstLineChars="200"/>
        <w:rPr>
          <w:rFonts w:ascii="宋体" w:hAnsi="宋体" w:cs="宋体"/>
          <w:bCs/>
          <w:sz w:val="28"/>
          <w:szCs w:val="28"/>
        </w:rPr>
      </w:pPr>
      <w:r>
        <w:rPr>
          <w:rFonts w:ascii="宋体" w:hAnsi="宋体" w:cs="宋体"/>
          <w:sz w:val="28"/>
          <w:szCs w:val="28"/>
        </w:rPr>
        <w:t>1.</w:t>
      </w:r>
      <w:r>
        <w:rPr>
          <w:rFonts w:hint="eastAsia" w:ascii="宋体" w:hAnsi="宋体" w:cs="宋体"/>
          <w:sz w:val="28"/>
          <w:szCs w:val="28"/>
        </w:rPr>
        <w:t>投标人根据招标公告向我校提出报名后，</w:t>
      </w:r>
      <w:r>
        <w:rPr>
          <w:rFonts w:hint="eastAsia" w:ascii="宋体" w:hAnsi="宋体" w:cs="宋体"/>
          <w:bCs/>
          <w:sz w:val="28"/>
          <w:szCs w:val="28"/>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rPr>
      </w:pPr>
      <w:r>
        <w:rPr>
          <w:rFonts w:hint="eastAsia" w:ascii="宋体" w:hAnsi="宋体" w:cs="宋体"/>
          <w:sz w:val="28"/>
          <w:szCs w:val="28"/>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rPr>
      </w:pPr>
      <w:r>
        <w:rPr>
          <w:rFonts w:hint="eastAsia" w:ascii="宋体" w:hAnsi="宋体" w:cs="宋体"/>
          <w:sz w:val="28"/>
          <w:szCs w:val="28"/>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default" w:ascii="宋体" w:hAnsi="宋体" w:cs="Times New Roman"/>
          <w:b/>
          <w:bCs/>
          <w:sz w:val="28"/>
          <w:szCs w:val="28"/>
        </w:rPr>
        <w:t>“JZCG-2021-00176资料费”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w:t>
      </w:r>
      <w:r>
        <w:rPr>
          <w:rFonts w:hint="default" w:ascii="宋体" w:hAnsi="宋体" w:cs="Times New Roman"/>
          <w:b w:val="0"/>
          <w:bCs w:val="0"/>
          <w:sz w:val="28"/>
          <w:szCs w:val="28"/>
        </w:rPr>
        <w:t>中标价的10%</w:t>
      </w:r>
      <w:r>
        <w:rPr>
          <w:rFonts w:hint="eastAsia" w:ascii="宋体" w:hAnsi="宋体" w:cs="宋体"/>
          <w:sz w:val="28"/>
          <w:szCs w:val="28"/>
        </w:rPr>
        <w:t>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5"/>
      </w:pPr>
      <w:r>
        <w:rPr>
          <w:rFonts w:hint="eastAsia" w:ascii="宋体" w:hAnsi="宋体" w:cs="宋体"/>
          <w:sz w:val="28"/>
          <w:szCs w:val="28"/>
        </w:rPr>
        <w:t>（3）附件6合同仅为参考样本，最终以通过我校审核后签署的合同为准。</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hint="eastAsia" w:ascii="宋体" w:hAnsi="宋体" w:cs="宋体"/>
          <w:sz w:val="28"/>
          <w:szCs w:val="28"/>
        </w:rPr>
      </w:pPr>
      <w:r>
        <w:rPr>
          <w:rFonts w:hint="eastAsia" w:ascii="宋体" w:hAnsi="宋体" w:cs="宋体"/>
          <w:sz w:val="28"/>
          <w:szCs w:val="28"/>
        </w:rPr>
        <w:t>针对国内供应货物，签订合同后，按合同约定时间全部货物交付安装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hint="eastAsia" w:ascii="宋体" w:hAnsi="宋体" w:cs="宋体"/>
          <w:sz w:val="28"/>
          <w:szCs w:val="28"/>
        </w:rPr>
      </w:pPr>
      <w:r>
        <w:rPr>
          <w:rFonts w:hint="eastAsia" w:ascii="宋体" w:hAnsi="宋体" w:cs="宋体"/>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。请各投标人务必在转账留言栏备注填写</w:t>
      </w:r>
      <w:r>
        <w:rPr>
          <w:rFonts w:hint="eastAsia" w:ascii="宋体" w:hAnsi="宋体" w:cs="宋体"/>
          <w:b/>
          <w:sz w:val="28"/>
          <w:szCs w:val="28"/>
        </w:rPr>
        <w:t>“</w:t>
      </w:r>
      <w:r>
        <w:rPr>
          <w:rFonts w:hint="default" w:ascii="宋体" w:hAnsi="宋体" w:cs="Times New Roman"/>
          <w:b/>
          <w:bCs/>
          <w:sz w:val="28"/>
          <w:szCs w:val="28"/>
        </w:rPr>
        <w:t>JZCG-2021-00176</w:t>
      </w:r>
      <w:r>
        <w:rPr>
          <w:rFonts w:hint="eastAsia" w:ascii="宋体" w:hAnsi="宋体" w:cs="宋体"/>
          <w:b/>
          <w:bCs/>
          <w:sz w:val="28"/>
          <w:szCs w:val="28"/>
        </w:rPr>
        <w:t>资料费</w:t>
      </w:r>
      <w:r>
        <w:rPr>
          <w:rFonts w:hint="eastAsia" w:ascii="宋体" w:hAnsi="宋体" w:cs="宋体"/>
          <w:b/>
          <w:sz w:val="28"/>
          <w:szCs w:val="28"/>
        </w:rPr>
        <w:t>”</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hint="eastAsia" w:ascii="宋体" w:hAnsi="宋体" w:cs="宋体"/>
          <w:b/>
          <w:bCs/>
          <w:sz w:val="28"/>
          <w:szCs w:val="28"/>
        </w:rPr>
      </w:pPr>
      <w:r>
        <w:rPr>
          <w:rFonts w:ascii="宋体" w:hAnsi="宋体" w:cs="宋体"/>
          <w:sz w:val="28"/>
          <w:szCs w:val="28"/>
        </w:rPr>
        <w:t>5.</w:t>
      </w:r>
      <w:r>
        <w:rPr>
          <w:rFonts w:hint="eastAsia" w:ascii="宋体" w:hAnsi="宋体" w:cs="宋体"/>
          <w:sz w:val="28"/>
          <w:szCs w:val="28"/>
        </w:rPr>
        <w:t>履约保证金：</w:t>
      </w:r>
      <w:r>
        <w:rPr>
          <w:rFonts w:hint="eastAsia" w:ascii="宋体" w:hAnsi="宋体" w:cs="宋体"/>
          <w:b/>
          <w:bCs/>
          <w:sz w:val="28"/>
          <w:szCs w:val="28"/>
        </w:rPr>
        <w:t>中标价10%。</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hint="eastAsia" w:ascii="宋体" w:hAnsi="宋体" w:cs="宋体"/>
          <w:b w:val="0"/>
          <w:sz w:val="28"/>
          <w:szCs w:val="28"/>
          <w:u w:val="single"/>
        </w:rPr>
        <w:t>202</w:t>
      </w:r>
      <w:r>
        <w:rPr>
          <w:rFonts w:hint="eastAsia" w:ascii="宋体" w:hAnsi="宋体" w:cs="宋体"/>
          <w:b w:val="0"/>
          <w:sz w:val="28"/>
          <w:szCs w:val="28"/>
          <w:u w:val="single"/>
          <w:lang w:val="en-US" w:eastAsia="zh-CN"/>
        </w:rPr>
        <w:t>2</w:t>
      </w:r>
      <w:r>
        <w:rPr>
          <w:rFonts w:hint="eastAsia" w:ascii="宋体" w:hAnsi="宋体" w:cs="宋体"/>
          <w:b w:val="0"/>
          <w:sz w:val="28"/>
          <w:szCs w:val="28"/>
          <w:u w:val="single"/>
        </w:rPr>
        <w:t>年</w:t>
      </w:r>
      <w:r>
        <w:rPr>
          <w:rFonts w:hint="eastAsia" w:ascii="宋体" w:hAnsi="宋体" w:cs="宋体"/>
          <w:b w:val="0"/>
          <w:sz w:val="28"/>
          <w:szCs w:val="28"/>
          <w:u w:val="single"/>
          <w:lang w:val="en-US" w:eastAsia="zh-CN"/>
        </w:rPr>
        <w:t>01</w:t>
      </w:r>
      <w:r>
        <w:rPr>
          <w:rFonts w:hint="eastAsia" w:ascii="宋体" w:hAnsi="宋体" w:cs="宋体"/>
          <w:b w:val="0"/>
          <w:sz w:val="28"/>
          <w:szCs w:val="28"/>
          <w:u w:val="single"/>
        </w:rPr>
        <w:t>月</w:t>
      </w:r>
      <w:r>
        <w:rPr>
          <w:rFonts w:hint="eastAsia" w:ascii="宋体" w:hAnsi="宋体" w:cs="宋体"/>
          <w:b w:val="0"/>
          <w:sz w:val="28"/>
          <w:szCs w:val="28"/>
          <w:u w:val="single"/>
          <w:lang w:val="en-US" w:eastAsia="zh-CN"/>
        </w:rPr>
        <w:t>06</w:t>
      </w:r>
      <w:r>
        <w:rPr>
          <w:rFonts w:hint="eastAsia" w:ascii="宋体" w:hAnsi="宋体" w:cs="宋体"/>
          <w:b w:val="0"/>
          <w:sz w:val="28"/>
          <w:szCs w:val="28"/>
          <w:u w:val="single"/>
        </w:rPr>
        <w:t>日11：3</w:t>
      </w:r>
      <w:r>
        <w:rPr>
          <w:rFonts w:hint="eastAsia" w:ascii="宋体" w:hAnsi="宋体" w:cs="宋体"/>
          <w:sz w:val="28"/>
          <w:szCs w:val="28"/>
          <w:u w:val="single"/>
        </w:rPr>
        <w:fldChar w:fldCharType="begin"/>
      </w:r>
      <w:r>
        <w:rPr>
          <w:rFonts w:hint="eastAsia" w:ascii="宋体" w:hAnsi="宋体" w:cs="宋体"/>
          <w:sz w:val="28"/>
          <w:szCs w:val="28"/>
          <w:u w:val="single"/>
        </w:rPr>
        <w:instrText xml:space="preserve"> HYPERLINK "mailto:30前将问题一律以word格式或txt格式发至89523765@qq.com" </w:instrText>
      </w:r>
      <w:r>
        <w:rPr>
          <w:rFonts w:hint="eastAsia" w:ascii="宋体" w:hAnsi="宋体" w:cs="宋体"/>
          <w:sz w:val="28"/>
          <w:szCs w:val="28"/>
          <w:u w:val="single"/>
        </w:rPr>
        <w:fldChar w:fldCharType="separate"/>
      </w:r>
      <w:r>
        <w:rPr>
          <w:rFonts w:hint="eastAsia" w:ascii="宋体" w:hAnsi="宋体" w:cs="宋体"/>
          <w:b w:val="0"/>
          <w:sz w:val="28"/>
          <w:szCs w:val="28"/>
          <w:u w:val="single"/>
        </w:rPr>
        <w:t>0</w:t>
      </w:r>
      <w:r>
        <w:rPr>
          <w:rFonts w:hint="eastAsia" w:ascii="宋体" w:hAnsi="宋体" w:cs="宋体"/>
          <w:sz w:val="28"/>
          <w:szCs w:val="28"/>
          <w:u w:val="none"/>
        </w:rPr>
        <w:t>前将问题以word格式或txt格式发至2483567991@qq.com</w:t>
      </w:r>
      <w:r>
        <w:rPr>
          <w:rFonts w:hint="eastAsia" w:ascii="宋体" w:hAnsi="宋体" w:cs="宋体"/>
          <w:sz w:val="28"/>
          <w:szCs w:val="28"/>
          <w:u w:val="single"/>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keepNext w:val="0"/>
        <w:keepLines w:val="0"/>
        <w:widowControl/>
        <w:suppressLineNumbers w:val="0"/>
        <w:spacing w:before="75" w:beforeAutospacing="0" w:after="75" w:afterAutospacing="0"/>
        <w:ind w:left="0" w:right="0" w:firstLine="555"/>
        <w:jc w:val="left"/>
        <w:rPr>
          <w:rFonts w:ascii="宋体" w:hAnsi="宋体"/>
          <w:sz w:val="28"/>
          <w:szCs w:val="28"/>
          <w:highlight w:val="yellow"/>
        </w:rPr>
      </w:pPr>
      <w:r>
        <w:rPr>
          <w:rFonts w:hint="eastAsia" w:ascii="宋体" w:hAnsi="宋体"/>
          <w:sz w:val="28"/>
          <w:szCs w:val="28"/>
        </w:rPr>
        <w:t>（2）投标截止时间：</w:t>
      </w:r>
      <w:r>
        <w:rPr>
          <w:rFonts w:hint="eastAsia" w:ascii="宋体" w:hAnsi="宋体" w:eastAsia="宋体"/>
          <w:sz w:val="28"/>
          <w:szCs w:val="28"/>
          <w:lang w:val="en-US" w:eastAsia="zh-CN"/>
        </w:rPr>
        <w:t>2022年01月19日09：00（北京时间）</w:t>
      </w:r>
      <w:r>
        <w:rPr>
          <w:rFonts w:hint="default" w:ascii="宋体" w:hAnsi="宋体" w:eastAsia="宋体"/>
          <w:sz w:val="28"/>
          <w:szCs w:val="28"/>
        </w:rPr>
        <w:t>。</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招标办。联系人：马老师、罗老师、刘老师；联系电话：025-58731441。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keepNext w:val="0"/>
        <w:keepLines w:val="0"/>
        <w:widowControl/>
        <w:suppressLineNumbers w:val="0"/>
        <w:spacing w:before="75" w:beforeAutospacing="0" w:after="75" w:afterAutospacing="0"/>
        <w:ind w:left="0" w:right="0" w:firstLine="555"/>
        <w:jc w:val="left"/>
        <w:rPr>
          <w:rFonts w:ascii="宋体" w:hAnsi="宋体"/>
          <w:sz w:val="28"/>
          <w:szCs w:val="28"/>
        </w:rPr>
      </w:pPr>
      <w:r>
        <w:rPr>
          <w:rFonts w:hint="eastAsia" w:ascii="宋体" w:hAnsi="宋体"/>
          <w:sz w:val="28"/>
          <w:szCs w:val="28"/>
        </w:rPr>
        <w:t>（1）开标、唱标：</w:t>
      </w:r>
      <w:r>
        <w:rPr>
          <w:rFonts w:hint="eastAsia" w:ascii="宋体" w:hAnsi="宋体" w:eastAsia="宋体"/>
          <w:sz w:val="28"/>
          <w:szCs w:val="28"/>
          <w:lang w:val="en-US" w:eastAsia="zh-CN"/>
        </w:rPr>
        <w:t>2022年01月19日09：00（北京时间）</w:t>
      </w:r>
      <w:r>
        <w:rPr>
          <w:rFonts w:hint="default" w:ascii="宋体" w:hAnsi="宋体" w:cs="宋体"/>
          <w:kern w:val="0"/>
          <w:sz w:val="28"/>
          <w:szCs w:val="28"/>
        </w:rPr>
        <w:t>；</w:t>
      </w:r>
      <w:r>
        <w:rPr>
          <w:rFonts w:hint="eastAsia" w:ascii="宋体" w:hAnsi="宋体"/>
          <w:sz w:val="28"/>
          <w:szCs w:val="28"/>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rPr>
          <w:rFonts w:hint="eastAsia"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）招标办：联系电话：</w:t>
      </w:r>
      <w:r>
        <w:rPr>
          <w:rFonts w:ascii="宋体" w:hAnsi="宋体"/>
          <w:sz w:val="28"/>
          <w:szCs w:val="28"/>
        </w:rPr>
        <w:t>025-58731441</w:t>
      </w:r>
      <w:r>
        <w:rPr>
          <w:rFonts w:hint="eastAsia" w:ascii="宋体" w:hAnsi="宋体"/>
          <w:sz w:val="28"/>
          <w:szCs w:val="28"/>
        </w:rPr>
        <w:t>，联系人：马老师、罗老师、刘老师；</w:t>
      </w:r>
    </w:p>
    <w:p>
      <w:pPr>
        <w:snapToGrid w:val="0"/>
        <w:spacing w:line="360" w:lineRule="auto"/>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w:t>
      </w:r>
      <w:r>
        <w:rPr>
          <w:rFonts w:hint="eastAsia"/>
          <w:sz w:val="28"/>
          <w:szCs w:val="28"/>
          <w:lang w:eastAsia="zh-CN"/>
        </w:rPr>
        <w:t>：</w:t>
      </w:r>
      <w:r>
        <w:rPr>
          <w:rFonts w:hint="eastAsia" w:ascii="宋体" w:hAnsi="宋体" w:eastAsia="宋体" w:cs="Times New Roman"/>
          <w:kern w:val="2"/>
          <w:sz w:val="28"/>
          <w:szCs w:val="28"/>
          <w:lang w:val="en-US" w:eastAsia="zh-CN" w:bidi="ar-SA"/>
        </w:rPr>
        <w:t>13851407280 ，联系人：吴老师。</w:t>
      </w:r>
    </w:p>
    <w:p>
      <w:pPr>
        <w:pStyle w:val="2"/>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南京信息工程大学招标办</w:t>
      </w:r>
    </w:p>
    <w:p>
      <w:pPr>
        <w:pStyle w:val="11"/>
        <w:spacing w:line="360" w:lineRule="auto"/>
        <w:ind w:left="99" w:leftChars="47" w:firstLine="4919" w:firstLineChars="1750"/>
        <w:rPr>
          <w:rStyle w:val="47"/>
          <w:rFonts w:ascii="宋体" w:hAnsi="Times New Roman" w:eastAsia="宋体"/>
          <w:sz w:val="28"/>
          <w:szCs w:val="28"/>
        </w:rPr>
      </w:pPr>
      <w:r>
        <w:rPr>
          <w:rStyle w:val="47"/>
          <w:rFonts w:ascii="宋体" w:hAnsi="宋体" w:eastAsia="宋体"/>
          <w:sz w:val="28"/>
          <w:szCs w:val="28"/>
        </w:rPr>
        <w:t>20</w:t>
      </w:r>
      <w:r>
        <w:rPr>
          <w:rStyle w:val="47"/>
          <w:rFonts w:hint="eastAsia" w:ascii="宋体" w:hAnsi="宋体" w:eastAsia="宋体"/>
          <w:sz w:val="28"/>
          <w:szCs w:val="28"/>
        </w:rPr>
        <w:t>2</w:t>
      </w:r>
      <w:r>
        <w:rPr>
          <w:rStyle w:val="47"/>
          <w:rFonts w:ascii="宋体" w:hAnsi="宋体" w:eastAsia="宋体"/>
          <w:sz w:val="28"/>
          <w:szCs w:val="28"/>
        </w:rPr>
        <w:t>1</w:t>
      </w:r>
      <w:r>
        <w:rPr>
          <w:rStyle w:val="47"/>
          <w:rFonts w:hint="eastAsia" w:ascii="宋体" w:hAnsi="宋体" w:eastAsia="宋体"/>
          <w:sz w:val="28"/>
          <w:szCs w:val="28"/>
        </w:rPr>
        <w:t>年</w:t>
      </w:r>
      <w:r>
        <w:rPr>
          <w:rStyle w:val="47"/>
          <w:rFonts w:ascii="宋体" w:hAnsi="宋体"/>
          <w:sz w:val="28"/>
          <w:szCs w:val="28"/>
        </w:rPr>
        <w:t>12</w:t>
      </w:r>
      <w:r>
        <w:rPr>
          <w:rStyle w:val="47"/>
          <w:rFonts w:hint="eastAsia" w:ascii="宋体" w:hAnsi="宋体" w:eastAsia="宋体"/>
          <w:sz w:val="28"/>
          <w:szCs w:val="28"/>
        </w:rPr>
        <w:t>月</w:t>
      </w:r>
      <w:r>
        <w:rPr>
          <w:rStyle w:val="47"/>
          <w:rFonts w:hint="eastAsia" w:ascii="宋体" w:hAnsi="宋体"/>
          <w:sz w:val="28"/>
          <w:szCs w:val="28"/>
          <w:lang w:val="en-US"/>
        </w:rPr>
        <w:t>30</w:t>
      </w:r>
      <w:r>
        <w:rPr>
          <w:rStyle w:val="47"/>
          <w:rFonts w:hint="eastAsia" w:ascii="宋体" w:hAnsi="宋体" w:eastAsia="宋体"/>
          <w:sz w:val="28"/>
          <w:szCs w:val="28"/>
        </w:rPr>
        <w:t>日</w:t>
      </w:r>
    </w:p>
    <w:bookmarkEnd w:id="8"/>
    <w:p>
      <w:pPr>
        <w:pStyle w:val="10"/>
        <w:adjustRightInd w:val="0"/>
        <w:snapToGrid w:val="0"/>
        <w:spacing w:before="120" w:after="120" w:line="360" w:lineRule="auto"/>
        <w:rPr>
          <w:rStyle w:val="47"/>
          <w:rFonts w:ascii="宋体" w:hAnsi="宋体" w:eastAsia="宋体"/>
          <w:b w:val="0"/>
          <w:sz w:val="28"/>
          <w:szCs w:val="28"/>
        </w:rPr>
      </w:pPr>
      <w:r>
        <w:rPr>
          <w:rStyle w:val="47"/>
          <w:rFonts w:ascii="宋体" w:hAnsi="Times New Roman" w:eastAsia="宋体"/>
          <w:b w:val="0"/>
          <w:sz w:val="28"/>
          <w:szCs w:val="28"/>
        </w:rPr>
        <w:br w:type="page"/>
      </w:r>
      <w:bookmarkStart w:id="9" w:name="_Toc462564147"/>
      <w:r>
        <w:rPr>
          <w:rFonts w:ascii="Times New Roman" w:hAnsi="Times New Roman"/>
          <w:b/>
          <w:bCs/>
          <w:sz w:val="24"/>
          <w:szCs w:val="24"/>
        </w:rPr>
        <w:t>附件1：</w:t>
      </w:r>
    </w:p>
    <w:p>
      <w:pPr>
        <w:spacing w:line="360" w:lineRule="auto"/>
        <w:ind w:left="180"/>
        <w:jc w:val="center"/>
        <w:rPr>
          <w:rFonts w:hAnsi="宋体"/>
          <w:b/>
          <w:sz w:val="28"/>
          <w:szCs w:val="28"/>
        </w:rPr>
      </w:pPr>
      <w:r>
        <w:rPr>
          <w:rFonts w:hint="eastAsia" w:hAnsi="宋体"/>
          <w:b/>
          <w:sz w:val="28"/>
          <w:szCs w:val="28"/>
        </w:rPr>
        <w:t>招标项目名称、数量、主要技术要求及其他要求</w:t>
      </w:r>
    </w:p>
    <w:p>
      <w:pPr>
        <w:widowControl/>
        <w:spacing w:line="360" w:lineRule="auto"/>
        <w:jc w:val="left"/>
        <w:rPr>
          <w:rFonts w:ascii="宋体" w:hAnsi="宋体" w:cs="宋体"/>
          <w:b w:val="0"/>
          <w:kern w:val="0"/>
          <w:sz w:val="28"/>
          <w:szCs w:val="28"/>
        </w:rPr>
      </w:pPr>
      <w:r>
        <w:rPr>
          <w:rFonts w:hint="default" w:ascii="宋体" w:hAnsi="宋体" w:cs="宋体"/>
          <w:b/>
          <w:bCs/>
          <w:kern w:val="0"/>
          <w:sz w:val="28"/>
          <w:szCs w:val="28"/>
        </w:rPr>
        <w:t>招标项目名称：</w:t>
      </w:r>
      <w:r>
        <w:rPr>
          <w:rFonts w:hint="default" w:ascii="宋体" w:hAnsi="宋体" w:cs="宋体"/>
          <w:bCs w:val="0"/>
          <w:kern w:val="0"/>
          <w:sz w:val="28"/>
          <w:szCs w:val="28"/>
        </w:rPr>
        <w:t>大气酸雨环境下钢构件材料防护涂层设计与性能评价虚拟仿真实验软件定制开发项目。</w:t>
      </w:r>
    </w:p>
    <w:p>
      <w:pPr>
        <w:widowControl/>
        <w:spacing w:line="360" w:lineRule="auto"/>
        <w:jc w:val="left"/>
        <w:rPr>
          <w:rFonts w:ascii="宋体" w:hAnsi="宋体"/>
          <w:b/>
          <w:sz w:val="24"/>
        </w:rPr>
      </w:pPr>
      <w:r>
        <w:rPr>
          <w:rFonts w:hint="default" w:ascii="宋体" w:hAnsi="宋体" w:cs="宋体"/>
          <w:b/>
          <w:bCs/>
          <w:kern w:val="0"/>
          <w:sz w:val="28"/>
          <w:szCs w:val="28"/>
        </w:rPr>
        <w:t>招标项目数量：</w:t>
      </w:r>
      <w:r>
        <w:rPr>
          <w:rFonts w:hint="default" w:ascii="宋体" w:hAnsi="宋体" w:cs="宋体"/>
          <w:kern w:val="0"/>
          <w:sz w:val="28"/>
          <w:szCs w:val="28"/>
        </w:rPr>
        <w:t>1项</w:t>
      </w:r>
    </w:p>
    <w:p>
      <w:pPr>
        <w:widowControl/>
        <w:spacing w:line="360" w:lineRule="auto"/>
        <w:jc w:val="left"/>
        <w:rPr>
          <w:rFonts w:ascii="宋体" w:hAnsi="宋体" w:cs="宋体"/>
          <w:b/>
          <w:bCs/>
          <w:kern w:val="0"/>
          <w:sz w:val="28"/>
          <w:szCs w:val="28"/>
        </w:rPr>
      </w:pPr>
      <w:r>
        <w:rPr>
          <w:rFonts w:hint="default" w:ascii="宋体" w:hAnsi="宋体" w:cs="宋体"/>
          <w:b/>
          <w:bCs/>
          <w:kern w:val="0"/>
          <w:sz w:val="28"/>
          <w:szCs w:val="28"/>
        </w:rPr>
        <w:t>主要技术要求及其他要求：</w:t>
      </w:r>
    </w:p>
    <w:p>
      <w:pPr>
        <w:pStyle w:val="5"/>
        <w:spacing w:line="360" w:lineRule="auto"/>
        <w:rPr>
          <w:rFonts w:ascii="宋体" w:hAnsi="宋体"/>
          <w:b/>
          <w:sz w:val="28"/>
          <w:szCs w:val="28"/>
        </w:rPr>
      </w:pPr>
      <w:r>
        <w:rPr>
          <w:rFonts w:ascii="宋体" w:hAnsi="宋体"/>
          <w:b/>
          <w:sz w:val="28"/>
          <w:szCs w:val="28"/>
        </w:rPr>
        <w:t>1.</w:t>
      </w:r>
      <w:r>
        <w:rPr>
          <w:rFonts w:hint="eastAsia" w:ascii="宋体" w:hAnsi="宋体"/>
          <w:b/>
          <w:sz w:val="28"/>
          <w:szCs w:val="28"/>
        </w:rPr>
        <w:t>项目简介</w:t>
      </w:r>
    </w:p>
    <w:p>
      <w:pPr>
        <w:pStyle w:val="5"/>
        <w:spacing w:line="360" w:lineRule="auto"/>
        <w:rPr>
          <w:rFonts w:ascii="宋体" w:hAnsi="宋体"/>
          <w:sz w:val="28"/>
          <w:szCs w:val="28"/>
        </w:rPr>
      </w:pPr>
      <w:r>
        <w:rPr>
          <w:rFonts w:hint="eastAsia" w:ascii="宋体" w:hAnsi="宋体"/>
          <w:sz w:val="28"/>
          <w:szCs w:val="28"/>
        </w:rPr>
        <w:t>随着冶金、化工、能源（火力发电）、轨道交通等工业发展，使空气中因燃料燃烧等排放的大量</w:t>
      </w:r>
      <w:r>
        <w:rPr>
          <w:rFonts w:ascii="宋体" w:hAnsi="宋体"/>
          <w:sz w:val="28"/>
          <w:szCs w:val="28"/>
        </w:rPr>
        <w:t>SO2</w:t>
      </w:r>
      <w:r>
        <w:rPr>
          <w:rFonts w:hint="eastAsia" w:ascii="宋体" w:hAnsi="宋体"/>
          <w:sz w:val="28"/>
          <w:szCs w:val="28"/>
        </w:rPr>
        <w:t>和</w:t>
      </w:r>
      <w:r>
        <w:rPr>
          <w:rFonts w:ascii="宋体" w:hAnsi="宋体"/>
          <w:sz w:val="28"/>
          <w:szCs w:val="28"/>
        </w:rPr>
        <w:t>NO2</w:t>
      </w:r>
      <w:r>
        <w:rPr>
          <w:rFonts w:hint="eastAsia" w:ascii="宋体" w:hAnsi="宋体"/>
          <w:sz w:val="28"/>
          <w:szCs w:val="28"/>
        </w:rPr>
        <w:t>进入大气中，进而转化为二次污染物硝酸和硫酸</w:t>
      </w:r>
      <w:r>
        <w:rPr>
          <w:rFonts w:ascii="宋体" w:hAnsi="宋体"/>
          <w:sz w:val="28"/>
          <w:szCs w:val="28"/>
        </w:rPr>
        <w:t>,</w:t>
      </w:r>
      <w:r>
        <w:rPr>
          <w:rFonts w:hint="eastAsia" w:ascii="宋体" w:hAnsi="宋体"/>
          <w:sz w:val="28"/>
          <w:szCs w:val="28"/>
        </w:rPr>
        <w:t>它们都易溶于水，形成酸性水滴，通过风的长距离运输以酸雨、酸雪、酸雾等形式返回地面，使设备、工程构件、建筑物等的使用寿命大大缩短，尤其我国江浙一带作为酸雨影响的重灾区，雨水的</w:t>
      </w:r>
      <w:r>
        <w:rPr>
          <w:rFonts w:ascii="宋体" w:hAnsi="宋体"/>
          <w:sz w:val="28"/>
          <w:szCs w:val="28"/>
        </w:rPr>
        <w:t>pH</w:t>
      </w:r>
      <w:r>
        <w:rPr>
          <w:rFonts w:hint="eastAsia" w:ascii="宋体" w:hAnsi="宋体"/>
          <w:sz w:val="28"/>
          <w:szCs w:val="28"/>
        </w:rPr>
        <w:t>值可降低到</w:t>
      </w:r>
      <w:r>
        <w:rPr>
          <w:rFonts w:ascii="宋体" w:hAnsi="宋体"/>
          <w:sz w:val="28"/>
          <w:szCs w:val="28"/>
        </w:rPr>
        <w:t>3.2</w:t>
      </w:r>
      <w:r>
        <w:rPr>
          <w:rFonts w:hint="eastAsia" w:ascii="微软雅黑" w:hAnsi="微软雅黑" w:eastAsia="微软雅黑" w:cs="微软雅黑"/>
          <w:sz w:val="28"/>
          <w:szCs w:val="28"/>
        </w:rPr>
        <w:t>〜</w:t>
      </w:r>
      <w:r>
        <w:rPr>
          <w:rFonts w:ascii="宋体" w:hAnsi="宋体"/>
          <w:sz w:val="28"/>
          <w:szCs w:val="28"/>
        </w:rPr>
        <w:t>3.8</w:t>
      </w:r>
      <w:r>
        <w:rPr>
          <w:rFonts w:hint="eastAsia" w:ascii="宋体" w:hAnsi="宋体"/>
          <w:sz w:val="28"/>
          <w:szCs w:val="28"/>
        </w:rPr>
        <w:t>，导致大气环境酸度使普碳钢的腐蚀速率增大数倍，混凝土建筑物的腐蚀破坏大大加速。</w:t>
      </w:r>
    </w:p>
    <w:p>
      <w:pPr>
        <w:pStyle w:val="5"/>
        <w:spacing w:line="360" w:lineRule="auto"/>
        <w:rPr>
          <w:rFonts w:ascii="宋体" w:hAnsi="宋体"/>
          <w:sz w:val="28"/>
          <w:szCs w:val="28"/>
        </w:rPr>
      </w:pPr>
      <w:r>
        <w:rPr>
          <w:rFonts w:hint="eastAsia" w:ascii="宋体" w:hAnsi="宋体"/>
          <w:sz w:val="28"/>
          <w:szCs w:val="28"/>
        </w:rPr>
        <w:t>结合国家对重点基础材料的战略需求，以大气环境中酸雨对材料的侵蚀问题为大背景，针对酸雨环境下酸性介质、雨水冲刷等引起的基础钢构件材料表面失效问题，基于申请人所在团队已有的原创技术，双层辉光等离子冶金方法进行酸雨防护涂层的设计，通过仿真模拟该防护涂层的制备过程，以及模拟酸雨环境中各因素耦合对基础钢构件材料和防护涂层表面性能的影响，具有重要的战略意义。该课程设置以解决实际工程问题为出发点，学以致用；以科研中的新技术反哺教学，实现科教相融；以思政元素引入为根基，提升专业素养和科学精神。</w:t>
      </w:r>
    </w:p>
    <w:p>
      <w:pPr>
        <w:pStyle w:val="5"/>
        <w:spacing w:line="360" w:lineRule="auto"/>
        <w:rPr>
          <w:rFonts w:ascii="宋体" w:hAnsi="宋体"/>
          <w:sz w:val="28"/>
          <w:szCs w:val="28"/>
        </w:rPr>
      </w:pPr>
      <w:r>
        <w:rPr>
          <w:rFonts w:hint="eastAsia" w:ascii="宋体" w:hAnsi="宋体"/>
          <w:sz w:val="28"/>
          <w:szCs w:val="28"/>
        </w:rPr>
        <w:t>通过该虚拟仿真课程的学习不仅可以让同学们全程体验从酸雨引起的基础钢构件的失效、防护涂层的制备到酸雨冲刷性能测试分析的完整过程，而且可以了解双层辉光等离子放电机制获得新型防护涂层的前沿科学研究能力。解决传统实验环境恶劣、自然环境不确定性、环境危险系数高和实验设备贵、周期长、耗材贵等难题。学生将置身于较为逼真的虚拟实验场景中，利用虚拟技术完成整个实验操作，实现学生点击实验装置和仪器设备，进入具体实验操作过程，设置相关问题和互动环节，演示和训练评测相互结合。快速掌握前沿新技术用于酸雨防护涂层的制备及检测的前沿知识，同时也可以用于材料表面处理领域培训的学习。通过还原材料酸雨环境下的各种行为特征，让同学们了解实际工况环境中材料的应用问题，提高同学们在材料表面防护设计和分析方面的能力，养成严肃认真的工作作风和实事求是的科学态度，为学生今后从事材料失效、防护及相关学科的研究打下基础。</w:t>
      </w:r>
    </w:p>
    <w:p>
      <w:pPr>
        <w:pStyle w:val="5"/>
        <w:spacing w:line="360" w:lineRule="auto"/>
        <w:rPr>
          <w:rFonts w:ascii="宋体" w:hAnsi="宋体"/>
          <w:b/>
          <w:sz w:val="28"/>
          <w:szCs w:val="28"/>
        </w:rPr>
      </w:pPr>
      <w:r>
        <w:rPr>
          <w:rFonts w:hint="eastAsia" w:ascii="宋体" w:hAnsi="宋体"/>
          <w:b/>
          <w:sz w:val="28"/>
          <w:szCs w:val="28"/>
        </w:rPr>
        <w:t>2.技术要求</w:t>
      </w:r>
    </w:p>
    <w:p>
      <w:pPr>
        <w:pStyle w:val="5"/>
        <w:spacing w:line="360" w:lineRule="auto"/>
        <w:rPr>
          <w:rFonts w:ascii="宋体" w:hAnsi="宋体"/>
          <w:sz w:val="28"/>
          <w:szCs w:val="28"/>
        </w:rPr>
      </w:pPr>
      <w:r>
        <w:rPr>
          <w:rFonts w:hint="eastAsia" w:ascii="宋体" w:hAnsi="宋体"/>
          <w:sz w:val="28"/>
          <w:szCs w:val="28"/>
        </w:rPr>
        <w:t>2.1.支持在Win7及以上操作系统上运行。</w:t>
      </w:r>
    </w:p>
    <w:p>
      <w:pPr>
        <w:pStyle w:val="5"/>
        <w:spacing w:line="360" w:lineRule="auto"/>
        <w:rPr>
          <w:rFonts w:ascii="宋体" w:hAnsi="宋体"/>
          <w:sz w:val="28"/>
          <w:szCs w:val="28"/>
        </w:rPr>
      </w:pPr>
      <w:r>
        <w:rPr>
          <w:rFonts w:hint="eastAsia" w:ascii="宋体" w:hAnsi="宋体"/>
          <w:sz w:val="28"/>
          <w:szCs w:val="28"/>
        </w:rPr>
        <w:t>2.2.操作方便，使用键盘鼠标即可操作，不需要外加设备。</w:t>
      </w:r>
    </w:p>
    <w:p>
      <w:pPr>
        <w:pStyle w:val="5"/>
        <w:spacing w:line="360" w:lineRule="auto"/>
        <w:rPr>
          <w:rFonts w:ascii="宋体" w:hAnsi="宋体"/>
          <w:sz w:val="28"/>
          <w:szCs w:val="28"/>
        </w:rPr>
      </w:pPr>
      <w:r>
        <w:rPr>
          <w:rFonts w:hint="eastAsia" w:ascii="宋体" w:hAnsi="宋体"/>
          <w:sz w:val="28"/>
          <w:szCs w:val="28"/>
        </w:rPr>
        <w:t>2.3.虚拟实验结果要求：通过虚拟实验得出的实验结果应具有合理性、科学性及不确定性。</w:t>
      </w:r>
    </w:p>
    <w:p>
      <w:pPr>
        <w:pStyle w:val="5"/>
        <w:spacing w:line="360" w:lineRule="auto"/>
        <w:rPr>
          <w:rFonts w:ascii="宋体" w:hAnsi="宋体"/>
          <w:sz w:val="28"/>
          <w:szCs w:val="28"/>
        </w:rPr>
      </w:pPr>
      <w:r>
        <w:rPr>
          <w:rFonts w:hint="eastAsia" w:ascii="宋体" w:hAnsi="宋体"/>
          <w:sz w:val="28"/>
          <w:szCs w:val="28"/>
        </w:rPr>
        <w:t>2.4.实验采用unity3D技术开发，平台使用java开发，平台要求不限制操作系统，windows,linux,unix服务器上均可运行。</w:t>
      </w:r>
    </w:p>
    <w:p>
      <w:pPr>
        <w:pStyle w:val="5"/>
        <w:spacing w:line="360" w:lineRule="auto"/>
        <w:rPr>
          <w:rFonts w:ascii="宋体" w:hAnsi="宋体"/>
          <w:sz w:val="28"/>
          <w:szCs w:val="28"/>
        </w:rPr>
      </w:pPr>
      <w:r>
        <w:rPr>
          <w:rFonts w:hint="eastAsia" w:ascii="宋体" w:hAnsi="宋体"/>
          <w:sz w:val="28"/>
          <w:szCs w:val="28"/>
        </w:rPr>
        <w:t>2.5．所开发的虚拟仿真实验必须以B/S模式运行，无需安装客户端，虚拟仿真实验能直接用浏览器打开进行实验，能实时记录实验过程信息、参数、实验结果，能通过平台提交虚拟仿真实验报告。</w:t>
      </w:r>
    </w:p>
    <w:p>
      <w:pPr>
        <w:pStyle w:val="5"/>
        <w:spacing w:line="360" w:lineRule="auto"/>
        <w:rPr>
          <w:rFonts w:ascii="宋体" w:hAnsi="宋体"/>
          <w:sz w:val="28"/>
          <w:szCs w:val="28"/>
        </w:rPr>
      </w:pPr>
      <w:r>
        <w:rPr>
          <w:rFonts w:hint="eastAsia" w:ascii="宋体" w:hAnsi="宋体"/>
          <w:sz w:val="28"/>
          <w:szCs w:val="28"/>
        </w:rPr>
        <w:t>2.6．虚拟仿真实验环境要求：虚拟仿真实验应包括实验中所需要的各类实验场景，如实验室、虚拟设备以及仿真室内外工作场景，可实现多场景室内外自由漫游。</w:t>
      </w:r>
    </w:p>
    <w:p>
      <w:pPr>
        <w:pStyle w:val="5"/>
        <w:spacing w:line="360" w:lineRule="auto"/>
        <w:rPr>
          <w:rFonts w:ascii="宋体" w:hAnsi="宋体"/>
          <w:b/>
          <w:sz w:val="28"/>
          <w:szCs w:val="28"/>
        </w:rPr>
      </w:pPr>
      <w:r>
        <w:rPr>
          <w:rFonts w:ascii="宋体" w:hAnsi="宋体"/>
          <w:b/>
          <w:sz w:val="28"/>
          <w:szCs w:val="28"/>
        </w:rPr>
        <w:t>3.</w:t>
      </w:r>
      <w:r>
        <w:rPr>
          <w:rFonts w:hint="eastAsia" w:ascii="宋体" w:hAnsi="宋体"/>
          <w:b/>
          <w:sz w:val="28"/>
          <w:szCs w:val="28"/>
        </w:rPr>
        <w:t>功能要求</w:t>
      </w:r>
    </w:p>
    <w:p>
      <w:pPr>
        <w:pStyle w:val="5"/>
        <w:spacing w:line="360" w:lineRule="auto"/>
        <w:rPr>
          <w:rFonts w:ascii="宋体" w:hAnsi="宋体"/>
          <w:sz w:val="28"/>
          <w:szCs w:val="28"/>
        </w:rPr>
      </w:pPr>
      <w:r>
        <w:rPr>
          <w:rFonts w:hint="eastAsia" w:ascii="宋体" w:hAnsi="宋体"/>
          <w:sz w:val="28"/>
          <w:szCs w:val="28"/>
        </w:rPr>
        <w:t>3.1．虚拟实验采用全三维建模，具有实验原理和相关知识学习：主要介绍与该实验相关的知识。</w:t>
      </w:r>
    </w:p>
    <w:p>
      <w:pPr>
        <w:pStyle w:val="5"/>
        <w:spacing w:line="360" w:lineRule="auto"/>
        <w:rPr>
          <w:rFonts w:ascii="宋体" w:hAnsi="宋体"/>
          <w:sz w:val="28"/>
          <w:szCs w:val="28"/>
        </w:rPr>
      </w:pPr>
      <w:r>
        <w:rPr>
          <w:rFonts w:hint="eastAsia" w:ascii="宋体" w:hAnsi="宋体"/>
          <w:sz w:val="28"/>
          <w:szCs w:val="28"/>
        </w:rPr>
        <w:t>3.2．虚拟实验软件提供虚拟实验的演示、学习和考核等不同模式，并且在整个实验过程中可以在不同模式之间无缝自由切换。在演示模式中，系统自动执行虚拟实验演示操作方法。在学习模式中，通过打开提示，可以根据详细的步骤提示、3D物体上的红光闪烁引导对于实验操作步骤进行学习，在引导下完成虚拟实验。在考核模式下，操作者在没有提示的情况下独立完成整个实验。详细的步骤提示可以通过平台自由修改。</w:t>
      </w:r>
    </w:p>
    <w:p>
      <w:pPr>
        <w:pStyle w:val="5"/>
        <w:spacing w:line="360" w:lineRule="auto"/>
        <w:rPr>
          <w:rFonts w:ascii="宋体" w:hAnsi="宋体"/>
          <w:sz w:val="28"/>
          <w:szCs w:val="28"/>
        </w:rPr>
      </w:pPr>
      <w:r>
        <w:rPr>
          <w:rFonts w:hint="eastAsia" w:ascii="宋体" w:hAnsi="宋体"/>
          <w:sz w:val="28"/>
          <w:szCs w:val="28"/>
        </w:rPr>
        <w:t>3.3．打分和计时：在不通过管理平台修改设置的情况下，系统按照预先设定的默认方式进行打分和计时。也可以通过管理平台进行以下操作：修改每个步骤的打分、加入其它错误扣分方式、修改默认计时时间等。</w:t>
      </w:r>
    </w:p>
    <w:p>
      <w:pPr>
        <w:pStyle w:val="5"/>
        <w:spacing w:line="360" w:lineRule="auto"/>
        <w:rPr>
          <w:rFonts w:ascii="宋体" w:hAnsi="宋体"/>
          <w:sz w:val="28"/>
          <w:szCs w:val="28"/>
        </w:rPr>
      </w:pPr>
      <w:r>
        <w:rPr>
          <w:rFonts w:hint="eastAsia" w:ascii="宋体" w:hAnsi="宋体"/>
          <w:sz w:val="28"/>
          <w:szCs w:val="28"/>
        </w:rPr>
        <w:t>3.4．实验加载后，会出现实验封面，该封面上一般会显示实验名称、主要仪器设备的图像。</w:t>
      </w:r>
    </w:p>
    <w:p>
      <w:pPr>
        <w:pStyle w:val="5"/>
        <w:spacing w:line="360" w:lineRule="auto"/>
        <w:rPr>
          <w:rFonts w:ascii="宋体" w:hAnsi="宋体"/>
          <w:sz w:val="28"/>
          <w:szCs w:val="28"/>
        </w:rPr>
      </w:pPr>
      <w:r>
        <w:rPr>
          <w:rFonts w:hint="eastAsia" w:ascii="宋体" w:hAnsi="宋体"/>
          <w:sz w:val="28"/>
          <w:szCs w:val="28"/>
        </w:rPr>
        <w:t>3.5．进入实验中以后首先进入前置教学环节。首先展示与实验相关的教学知识，如实验目的、实验原理。点击“跳过目的原理”进入下一教学环节。在文字、图片介绍之后，会在三维场景中对于实验所涉及的仪器和装置及其重要部件进行介绍。</w:t>
      </w:r>
    </w:p>
    <w:p>
      <w:pPr>
        <w:pStyle w:val="5"/>
        <w:spacing w:line="360" w:lineRule="auto"/>
        <w:rPr>
          <w:rFonts w:ascii="宋体" w:hAnsi="宋体"/>
          <w:sz w:val="28"/>
          <w:szCs w:val="28"/>
        </w:rPr>
      </w:pPr>
      <w:r>
        <w:rPr>
          <w:rFonts w:hint="eastAsia" w:ascii="宋体" w:hAnsi="宋体"/>
          <w:sz w:val="28"/>
          <w:szCs w:val="28"/>
        </w:rPr>
        <w:t>3.6．虚拟实验通过W、A、S、D控制前进、后退、左移和右移，Z、X控制放大、缩小，鼠标右键控制角度，鼠标左键控制选取物品。</w:t>
      </w:r>
    </w:p>
    <w:p>
      <w:pPr>
        <w:pStyle w:val="5"/>
        <w:spacing w:line="360" w:lineRule="auto"/>
        <w:rPr>
          <w:rFonts w:ascii="宋体" w:hAnsi="宋体"/>
          <w:sz w:val="28"/>
          <w:szCs w:val="28"/>
        </w:rPr>
      </w:pPr>
      <w:r>
        <w:rPr>
          <w:rFonts w:hint="eastAsia" w:ascii="宋体" w:hAnsi="宋体"/>
          <w:sz w:val="28"/>
          <w:szCs w:val="28"/>
        </w:rPr>
        <w:t>3.7．实验配备语音系统，操作过程通过语音系统，进行操作步骤提示，语音提示内容可以通过平台自由修改，并且与实验中所显示的文字提示内容可以分别独立修改。</w:t>
      </w:r>
    </w:p>
    <w:p>
      <w:pPr>
        <w:pStyle w:val="5"/>
        <w:spacing w:line="360" w:lineRule="auto"/>
        <w:rPr>
          <w:rFonts w:ascii="宋体" w:hAnsi="宋体"/>
          <w:sz w:val="28"/>
          <w:szCs w:val="28"/>
        </w:rPr>
      </w:pPr>
      <w:r>
        <w:rPr>
          <w:rFonts w:hint="eastAsia" w:ascii="宋体" w:hAnsi="宋体" w:cs="宋体"/>
          <w:b/>
          <w:bCs/>
          <w:sz w:val="28"/>
          <w:szCs w:val="28"/>
        </w:rPr>
        <w:t>★</w:t>
      </w:r>
      <w:r>
        <w:rPr>
          <w:rFonts w:hint="eastAsia" w:ascii="宋体" w:hAnsi="宋体"/>
          <w:sz w:val="28"/>
          <w:szCs w:val="28"/>
        </w:rPr>
        <w:t>3.8．交互界面可以更换皮肤，至少提供三种皮肤可供切换。</w:t>
      </w:r>
    </w:p>
    <w:p>
      <w:pPr>
        <w:pStyle w:val="5"/>
        <w:spacing w:line="360" w:lineRule="auto"/>
        <w:rPr>
          <w:rFonts w:ascii="宋体" w:hAnsi="宋体"/>
          <w:sz w:val="28"/>
          <w:szCs w:val="28"/>
        </w:rPr>
      </w:pPr>
      <w:r>
        <w:rPr>
          <w:rFonts w:hint="eastAsia" w:ascii="宋体" w:hAnsi="宋体"/>
          <w:sz w:val="28"/>
          <w:szCs w:val="28"/>
        </w:rPr>
        <w:t>3.9．在实验过程中可以随时通过左上角的系统菜单学习实验目的、实验原理，查看实验相关数据。</w:t>
      </w:r>
    </w:p>
    <w:p>
      <w:pPr>
        <w:pStyle w:val="5"/>
        <w:spacing w:line="360" w:lineRule="auto"/>
        <w:rPr>
          <w:rFonts w:ascii="宋体" w:hAnsi="宋体"/>
          <w:sz w:val="28"/>
          <w:szCs w:val="28"/>
        </w:rPr>
      </w:pPr>
      <w:r>
        <w:rPr>
          <w:rFonts w:hint="eastAsia" w:ascii="宋体" w:hAnsi="宋体"/>
          <w:sz w:val="28"/>
          <w:szCs w:val="28"/>
        </w:rPr>
        <w:t>3.10．在实验过程中可以在不同的大步骤之间自由切换，可以随时跳转到其他大步骤。</w:t>
      </w:r>
    </w:p>
    <w:p>
      <w:pPr>
        <w:pStyle w:val="5"/>
        <w:spacing w:line="360" w:lineRule="auto"/>
        <w:rPr>
          <w:rFonts w:ascii="宋体" w:hAnsi="宋体"/>
          <w:sz w:val="28"/>
          <w:szCs w:val="28"/>
        </w:rPr>
      </w:pPr>
      <w:r>
        <w:rPr>
          <w:rFonts w:hint="eastAsia" w:ascii="宋体" w:hAnsi="宋体"/>
          <w:sz w:val="28"/>
          <w:szCs w:val="28"/>
        </w:rPr>
        <w:t>3.11．实验结果、成绩以及相关有用实验记录能够自动上传至平台，学生可以根据实验记录进行数据处理，书写实验报告，老师可以根据实验记录和自动评分进行综合打分。</w:t>
      </w:r>
    </w:p>
    <w:p>
      <w:pPr>
        <w:pStyle w:val="5"/>
        <w:spacing w:line="360" w:lineRule="auto"/>
        <w:rPr>
          <w:rFonts w:ascii="宋体" w:hAnsi="宋体"/>
          <w:sz w:val="28"/>
          <w:szCs w:val="28"/>
        </w:rPr>
      </w:pPr>
      <w:r>
        <w:rPr>
          <w:rFonts w:hint="eastAsia" w:ascii="宋体" w:hAnsi="宋体"/>
          <w:sz w:val="28"/>
          <w:szCs w:val="28"/>
        </w:rPr>
        <w:t>3.12．能够记录学生多次实验的用时、成绩，可以通过相关数据对于学生学习情况进行综合评价与研究，可以给出一组学生（例如一个班级、一个院系）的成绩分布统计。</w:t>
      </w:r>
    </w:p>
    <w:p>
      <w:pPr>
        <w:pStyle w:val="5"/>
        <w:spacing w:line="360" w:lineRule="auto"/>
        <w:rPr>
          <w:rFonts w:ascii="宋体" w:hAnsi="宋体"/>
          <w:sz w:val="28"/>
          <w:szCs w:val="28"/>
        </w:rPr>
      </w:pPr>
      <w:r>
        <w:rPr>
          <w:rFonts w:hint="eastAsia" w:ascii="宋体" w:hAnsi="宋体"/>
          <w:sz w:val="28"/>
          <w:szCs w:val="28"/>
        </w:rPr>
        <w:t>3.13．教师可以在实验的任意部分插入讲解文字和图片，也可以在实验过程中的任何一个环节插入试题，包括选择题、判断题、主观题中的任意一个或多个，系统能够自动对于选择题、判断题进行打分，能够将主观题的回答结果上传平台自动添加至实验报告中，供教师综合评判。</w:t>
      </w:r>
    </w:p>
    <w:p>
      <w:pPr>
        <w:pStyle w:val="5"/>
        <w:spacing w:line="360" w:lineRule="auto"/>
        <w:rPr>
          <w:rFonts w:ascii="宋体" w:hAnsi="宋体"/>
          <w:sz w:val="28"/>
          <w:szCs w:val="28"/>
        </w:rPr>
      </w:pPr>
      <w:r>
        <w:rPr>
          <w:rFonts w:hint="eastAsia" w:ascii="宋体" w:hAnsi="宋体"/>
          <w:sz w:val="28"/>
          <w:szCs w:val="28"/>
        </w:rPr>
        <w:t>3.14. 步骤提示中可以清楚地区分显示已经完成的步骤和尚未进行的步骤。学生完成操作步骤时长教师可以在后台自由设定。</w:t>
      </w:r>
    </w:p>
    <w:p>
      <w:pPr>
        <w:pStyle w:val="5"/>
        <w:spacing w:line="360" w:lineRule="auto"/>
        <w:rPr>
          <w:rFonts w:ascii="宋体" w:hAnsi="宋体"/>
          <w:b/>
          <w:sz w:val="28"/>
          <w:szCs w:val="28"/>
        </w:rPr>
      </w:pPr>
      <w:r>
        <w:rPr>
          <w:rFonts w:hint="eastAsia" w:ascii="宋体" w:hAnsi="宋体"/>
          <w:b/>
          <w:sz w:val="28"/>
          <w:szCs w:val="28"/>
        </w:rPr>
        <w:t>4. 开放性要求：</w:t>
      </w:r>
    </w:p>
    <w:p>
      <w:pPr>
        <w:pStyle w:val="5"/>
        <w:spacing w:line="360" w:lineRule="auto"/>
        <w:rPr>
          <w:rFonts w:ascii="宋体" w:hAnsi="宋体"/>
          <w:sz w:val="28"/>
          <w:szCs w:val="28"/>
        </w:rPr>
      </w:pPr>
      <w:r>
        <w:rPr>
          <w:rFonts w:hint="eastAsia" w:ascii="宋体" w:hAnsi="宋体"/>
          <w:sz w:val="28"/>
          <w:szCs w:val="28"/>
        </w:rPr>
        <w:t>外网用户能够通过密码登录使用，具体包括：</w:t>
      </w:r>
    </w:p>
    <w:p>
      <w:pPr>
        <w:pStyle w:val="5"/>
        <w:spacing w:line="360" w:lineRule="auto"/>
        <w:rPr>
          <w:rFonts w:ascii="宋体" w:hAnsi="宋体"/>
          <w:sz w:val="28"/>
          <w:szCs w:val="28"/>
        </w:rPr>
      </w:pPr>
      <w:r>
        <w:rPr>
          <w:rFonts w:hint="eastAsia" w:ascii="宋体" w:hAnsi="宋体"/>
          <w:sz w:val="28"/>
          <w:szCs w:val="28"/>
        </w:rPr>
        <w:t>4.1实验系统Web仿真界面可实现：用户注册登陆；预约仿真实验时间；用浏览器访问网站页面，学习实验相关理论知识；在预约时段内进行实验：在实验界面设置实验参数，观察仿真数据变化，保存仿真结果，撰写实验报告；用户需在计划时间内完成仿真实验考核。</w:t>
      </w:r>
    </w:p>
    <w:p>
      <w:pPr>
        <w:pStyle w:val="5"/>
        <w:spacing w:line="360" w:lineRule="auto"/>
        <w:rPr>
          <w:rFonts w:ascii="宋体" w:hAnsi="宋体"/>
          <w:sz w:val="28"/>
          <w:szCs w:val="28"/>
        </w:rPr>
      </w:pPr>
      <w:r>
        <w:rPr>
          <w:rFonts w:hint="eastAsia" w:ascii="宋体" w:hAnsi="宋体"/>
          <w:sz w:val="28"/>
          <w:szCs w:val="28"/>
        </w:rPr>
        <w:t>4.2实验系统后台管理可实现：用户信息管理，包括删除、添加、修改；实验项目管理，包括删除、添加、修改；用户实验报告管理，筛选用户实验报告，可导入、导出；客观试题由实验系统自动评判并保存成绩；实验报告由管理员在后台进行评判，并保存成绩。</w:t>
      </w:r>
    </w:p>
    <w:p>
      <w:pPr>
        <w:pStyle w:val="5"/>
        <w:spacing w:line="360" w:lineRule="auto"/>
        <w:rPr>
          <w:rFonts w:ascii="宋体" w:hAnsi="宋体"/>
          <w:b/>
          <w:sz w:val="28"/>
          <w:szCs w:val="28"/>
        </w:rPr>
      </w:pPr>
      <w:r>
        <w:rPr>
          <w:rFonts w:ascii="宋体" w:hAnsi="宋体"/>
          <w:b/>
          <w:sz w:val="28"/>
          <w:szCs w:val="28"/>
        </w:rPr>
        <w:t>5.</w:t>
      </w:r>
      <w:r>
        <w:rPr>
          <w:rFonts w:hint="eastAsia" w:ascii="宋体" w:hAnsi="宋体"/>
          <w:b/>
          <w:sz w:val="28"/>
          <w:szCs w:val="28"/>
        </w:rPr>
        <w:t>实验内容要求</w:t>
      </w:r>
    </w:p>
    <w:p>
      <w:pPr>
        <w:pStyle w:val="5"/>
        <w:spacing w:line="360" w:lineRule="auto"/>
        <w:rPr>
          <w:rFonts w:ascii="宋体" w:hAnsi="宋体"/>
          <w:sz w:val="28"/>
          <w:szCs w:val="28"/>
        </w:rPr>
      </w:pPr>
      <w:r>
        <w:rPr>
          <w:rFonts w:hint="eastAsia" w:ascii="宋体" w:hAnsi="宋体"/>
          <w:sz w:val="28"/>
          <w:szCs w:val="28"/>
        </w:rPr>
        <w:t>虚拟仿真实验方案拟采用模块化设计，各模块间相对独立，又相辅相成，可有效扩展，拟从以下几个方面对大气酸雨环境下钢构件材料防护涂层设计与性能评价进行学习探索，方案内容包括：实验简介、实验目的和背景设计、双层辉光等离子放电在普通碳钢（Q235低碳钢和45钢）表面制备Ni-Cr防护涂层模块的实验原理设计，包括但不限于：基础钢构件遭受酸雨环境冲刷侵蚀失效的实验原理、双层辉光等离子放电制备防护涂层的实验原理、酸雨环境下的涂层防护机理（雨水中防护机理、雨水冲刷作用下的防护机理）；所需仪器设计、实验步骤设计等。酸雨环境下普通碳钢的失效以及 Ni-Cr 防护涂层的耐蚀行为评价模块的实验原理设计、实验目的、所需仪器设计、实验步骤设计；系统评价、申报平台搭建等几个模块。按照模块的功能进行各个区域之间进行无缝切换，以全面的三维空间模拟强烈的带入感。</w:t>
      </w:r>
    </w:p>
    <w:p>
      <w:pPr>
        <w:pStyle w:val="5"/>
        <w:spacing w:line="360" w:lineRule="auto"/>
        <w:ind w:firstLine="281" w:firstLineChars="100"/>
        <w:rPr>
          <w:rFonts w:ascii="宋体" w:hAnsi="宋体"/>
          <w:sz w:val="28"/>
          <w:szCs w:val="28"/>
        </w:rPr>
      </w:pPr>
      <w:r>
        <w:rPr>
          <w:rFonts w:hint="eastAsia" w:ascii="宋体" w:hAnsi="宋体" w:cs="宋体"/>
          <w:b/>
          <w:bCs/>
          <w:sz w:val="28"/>
          <w:szCs w:val="28"/>
        </w:rPr>
        <w:t>★</w:t>
      </w:r>
      <w:r>
        <w:rPr>
          <w:rFonts w:hint="eastAsia" w:ascii="宋体" w:hAnsi="宋体"/>
          <w:sz w:val="28"/>
          <w:szCs w:val="28"/>
        </w:rPr>
        <w:t>5.1提供大气酸雨环境下钢构件材料防护涂层设计与性能评价虚拟仿真实验项目的整体策划设计、脚本采集和编写、实验目的、背景设计和实验开场动画导入。</w:t>
      </w:r>
    </w:p>
    <w:p>
      <w:pPr>
        <w:pStyle w:val="5"/>
        <w:spacing w:line="360" w:lineRule="auto"/>
        <w:ind w:firstLine="281" w:firstLineChars="100"/>
        <w:rPr>
          <w:rFonts w:ascii="宋体" w:hAnsi="宋体"/>
          <w:sz w:val="28"/>
          <w:szCs w:val="28"/>
        </w:rPr>
      </w:pPr>
      <w:r>
        <w:rPr>
          <w:rFonts w:hint="eastAsia" w:ascii="宋体" w:hAnsi="宋体" w:cs="宋体"/>
          <w:b/>
          <w:bCs/>
          <w:sz w:val="28"/>
          <w:szCs w:val="28"/>
        </w:rPr>
        <w:t>★</w:t>
      </w:r>
      <w:r>
        <w:rPr>
          <w:rFonts w:hint="eastAsia" w:ascii="宋体" w:hAnsi="宋体"/>
          <w:sz w:val="28"/>
          <w:szCs w:val="28"/>
        </w:rPr>
        <w:t>5.2双层辉光等离子放电在普通碳钢（Q235低碳钢和45钢）表面制备Ni-Cr防护涂层模块方案设计包括但不限于装置搭建、工艺参数设计、基体及靶材预处理、获取真空及其工作原理、双辉光放电现象及防护涂层制备过程、取样及后期样品处理、涂层微观组织表征及结合力测试、数据表达等内容。</w:t>
      </w:r>
    </w:p>
    <w:p>
      <w:pPr>
        <w:pStyle w:val="5"/>
        <w:spacing w:line="360" w:lineRule="auto"/>
        <w:ind w:firstLine="281" w:firstLineChars="100"/>
        <w:rPr>
          <w:rFonts w:ascii="宋体" w:hAnsi="宋体"/>
          <w:sz w:val="28"/>
          <w:szCs w:val="28"/>
        </w:rPr>
      </w:pPr>
      <w:r>
        <w:rPr>
          <w:rFonts w:hint="eastAsia" w:ascii="宋体" w:hAnsi="宋体" w:cs="宋体"/>
          <w:b/>
          <w:bCs/>
          <w:sz w:val="28"/>
          <w:szCs w:val="28"/>
        </w:rPr>
        <w:t>★</w:t>
      </w:r>
      <w:r>
        <w:rPr>
          <w:rFonts w:hint="eastAsia" w:ascii="宋体" w:hAnsi="宋体"/>
          <w:sz w:val="28"/>
          <w:szCs w:val="28"/>
        </w:rPr>
        <w:t>5.3酸雨环境下普通碳钢的失效以及 Ni-Cr 防护涂层的耐蚀行为评价模块方案设计包括但不限于装置搭建、实验设计、不同条件下酸型（硫酸及硝酸型）酸雨中普通碳钢失效研究、对比改性碳钢与普通碳钢在不同酸性酸雨环境中的动态淋雨实验、静态淋雨实验、腐蚀微观组织及成分研究、腐蚀机理等内容。</w:t>
      </w:r>
    </w:p>
    <w:p>
      <w:pPr>
        <w:pStyle w:val="5"/>
        <w:spacing w:line="360" w:lineRule="auto"/>
        <w:ind w:firstLine="281" w:firstLineChars="100"/>
        <w:rPr>
          <w:rFonts w:ascii="宋体" w:hAnsi="宋体"/>
          <w:sz w:val="28"/>
          <w:szCs w:val="28"/>
        </w:rPr>
      </w:pPr>
      <w:r>
        <w:rPr>
          <w:rFonts w:hint="eastAsia" w:ascii="宋体" w:hAnsi="宋体" w:cs="宋体"/>
          <w:b/>
          <w:bCs/>
          <w:sz w:val="28"/>
          <w:szCs w:val="28"/>
        </w:rPr>
        <w:t>★</w:t>
      </w:r>
      <w:r>
        <w:rPr>
          <w:rFonts w:hint="eastAsia" w:ascii="宋体" w:hAnsi="宋体"/>
          <w:sz w:val="28"/>
          <w:szCs w:val="28"/>
        </w:rPr>
        <w:t>5.4提供基于大数据分析和人工智能的学习评价功能，申报平台网站设计及搭建、项目申报书的辅助修改、申报视频和引导视频的脚本素材设计、软件著作权的协助申报等。</w:t>
      </w:r>
    </w:p>
    <w:p>
      <w:pPr>
        <w:pStyle w:val="5"/>
        <w:spacing w:line="360" w:lineRule="auto"/>
        <w:ind w:firstLine="0"/>
        <w:rPr>
          <w:rFonts w:ascii="宋体" w:hAnsi="宋体"/>
          <w:b/>
          <w:sz w:val="28"/>
          <w:szCs w:val="28"/>
        </w:rPr>
      </w:pPr>
      <w:r>
        <w:rPr>
          <w:rFonts w:hint="eastAsia" w:ascii="宋体" w:hAnsi="宋体"/>
          <w:b/>
          <w:sz w:val="28"/>
          <w:szCs w:val="28"/>
        </w:rPr>
        <w:t>质量标准</w:t>
      </w:r>
    </w:p>
    <w:p>
      <w:pPr>
        <w:pStyle w:val="5"/>
        <w:spacing w:line="360" w:lineRule="auto"/>
        <w:rPr>
          <w:rFonts w:ascii="宋体" w:hAnsi="宋体"/>
          <w:sz w:val="28"/>
          <w:szCs w:val="28"/>
        </w:rPr>
      </w:pPr>
      <w:r>
        <w:rPr>
          <w:rFonts w:hint="eastAsia" w:ascii="宋体" w:hAnsi="宋体"/>
          <w:sz w:val="28"/>
          <w:szCs w:val="28"/>
        </w:rPr>
        <w:t>1.交付的虚拟仿真实验教学软件应符合国家虚拟仿真实验教学项目的要求（详见《教育部办公厅关于开展2019年度国家虚拟仿真实验教学项目认定工作的通知》教高厅函[2019]33号文件要求，以及2021年国家相关新的文件要求）。</w:t>
      </w:r>
    </w:p>
    <w:p>
      <w:pPr>
        <w:pStyle w:val="5"/>
        <w:spacing w:line="360" w:lineRule="auto"/>
        <w:rPr>
          <w:rFonts w:ascii="宋体" w:hAnsi="宋体"/>
          <w:sz w:val="28"/>
          <w:szCs w:val="28"/>
        </w:rPr>
      </w:pPr>
      <w:r>
        <w:rPr>
          <w:rFonts w:hint="eastAsia" w:ascii="宋体" w:hAnsi="宋体"/>
          <w:sz w:val="28"/>
          <w:szCs w:val="28"/>
        </w:rPr>
        <w:t>2. 交付的大气酸雨环境下钢构件材料防护涂层设计与性能评价虚拟仿真教学软件应包括实验简介、实验目的和背景设计、双层辉光等离子放电在普通碳钢（Q235低碳钢和45钢）表面制备Ni-Cr防护涂层模块的实验原理设计，包括但不限于：基础钢构件遭受酸雨环境冲刷侵蚀失效的实验原理、双层辉光等离子放电制备防护涂层的实验原理、酸雨环境下的涂层防护机理（雨水中防护机理、雨水冲刷作用下的防护机理）；所需仪器设计、实验步骤设计等。酸雨环境下普通碳钢的失效以及 Ni-Cr 防护涂层的耐蚀行为评价模块的实验原理设计、实验目的、所需仪器设计、实验步骤设计；系统评价、申报平台搭建等几个模块。按照模块的功能进行各个区域之间进行无缝切换，以全面的三维空间模拟强烈的带入感。实验满足不少于2个课时的实验教学需求，学生实际参与的交互性实验操作步骤须不少于50步。</w:t>
      </w:r>
    </w:p>
    <w:p>
      <w:pPr>
        <w:pStyle w:val="5"/>
        <w:spacing w:line="360" w:lineRule="auto"/>
        <w:rPr>
          <w:rFonts w:ascii="宋体" w:hAnsi="宋体"/>
          <w:sz w:val="28"/>
          <w:szCs w:val="28"/>
        </w:rPr>
      </w:pPr>
      <w:r>
        <w:rPr>
          <w:rFonts w:hint="eastAsia" w:ascii="宋体" w:hAnsi="宋体"/>
          <w:sz w:val="28"/>
          <w:szCs w:val="28"/>
        </w:rPr>
        <w:t>3.交付的虚拟仿真实验教学软件应确保支持的最大并发数不少于200，当超过并发数的实验请求时能够提供排队提示服务。</w:t>
      </w:r>
    </w:p>
    <w:p>
      <w:pPr>
        <w:pStyle w:val="5"/>
        <w:spacing w:line="360" w:lineRule="auto"/>
        <w:rPr>
          <w:rFonts w:ascii="宋体" w:hAnsi="宋体"/>
          <w:sz w:val="28"/>
          <w:szCs w:val="28"/>
        </w:rPr>
      </w:pPr>
      <w:r>
        <w:rPr>
          <w:rFonts w:hint="eastAsia" w:ascii="宋体" w:hAnsi="宋体"/>
          <w:sz w:val="28"/>
          <w:szCs w:val="28"/>
        </w:rPr>
        <w:t>4.实验软件在线运行不需任何插件，软件在浏览器上完全加载的时间不超过1分钟（以江苏省虚拟仿真实验项目评审会的现场网络环境为准）。</w:t>
      </w:r>
    </w:p>
    <w:p>
      <w:pPr>
        <w:pStyle w:val="5"/>
        <w:ind w:firstLine="0"/>
        <w:rPr>
          <w:b/>
          <w:bCs/>
          <w:sz w:val="28"/>
          <w:szCs w:val="28"/>
        </w:rPr>
      </w:pPr>
      <w:r>
        <w:rPr>
          <w:rFonts w:hint="eastAsia"/>
          <w:b/>
          <w:bCs/>
          <w:sz w:val="28"/>
          <w:szCs w:val="28"/>
        </w:rPr>
        <w:t>其他要求：</w:t>
      </w:r>
    </w:p>
    <w:p>
      <w:pPr>
        <w:pStyle w:val="5"/>
        <w:spacing w:line="360" w:lineRule="auto"/>
        <w:rPr>
          <w:rFonts w:ascii="宋体" w:hAnsi="宋体"/>
          <w:sz w:val="28"/>
          <w:szCs w:val="28"/>
        </w:rPr>
      </w:pPr>
      <w:r>
        <w:rPr>
          <w:rFonts w:hint="eastAsia" w:ascii="宋体" w:hAnsi="宋体"/>
          <w:sz w:val="28"/>
          <w:szCs w:val="28"/>
        </w:rPr>
        <w:t>1、本次建设的虚拟仿真实验教学项目供应商必须将项目网页版部署到学校服务器，确保与江苏省高等学校虚拟仿真实验教学共享平台实现对接，实验项目资源能够直接接入共享平台，无需进行二次开发与格式转换，相关费用由项目供应商承担。</w:t>
      </w:r>
    </w:p>
    <w:p>
      <w:pPr>
        <w:pStyle w:val="5"/>
        <w:spacing w:line="360" w:lineRule="auto"/>
        <w:rPr>
          <w:rFonts w:ascii="宋体" w:hAnsi="宋体"/>
          <w:sz w:val="28"/>
          <w:szCs w:val="28"/>
        </w:rPr>
      </w:pPr>
      <w:r>
        <w:rPr>
          <w:rFonts w:hint="eastAsia" w:ascii="宋体" w:hAnsi="宋体"/>
          <w:sz w:val="28"/>
          <w:szCs w:val="28"/>
        </w:rPr>
        <w:t>2、本次建设的虚拟仿真实验教学项目必须满足接入国家级虚拟仿真项目申报平台（实验空间-国家虚拟仿真实验教学共享服务平台）技术要求，相关费用由项目供应商承担。</w:t>
      </w:r>
    </w:p>
    <w:p>
      <w:pPr>
        <w:pStyle w:val="5"/>
        <w:spacing w:line="360" w:lineRule="auto"/>
        <w:rPr>
          <w:rFonts w:ascii="宋体" w:hAnsi="宋体"/>
          <w:sz w:val="28"/>
          <w:szCs w:val="28"/>
        </w:rPr>
      </w:pPr>
      <w:r>
        <w:rPr>
          <w:rFonts w:hint="eastAsia" w:ascii="宋体" w:hAnsi="宋体"/>
          <w:sz w:val="28"/>
          <w:szCs w:val="28"/>
        </w:rPr>
        <w:t>3、所有资源最终全部生成可在互联网上直接运行的格式，客户端使用时无须下载或安装任何程序、插件即可直接运行使用。</w:t>
      </w:r>
    </w:p>
    <w:p>
      <w:pPr>
        <w:pStyle w:val="5"/>
        <w:spacing w:line="360" w:lineRule="auto"/>
        <w:rPr>
          <w:rFonts w:ascii="宋体" w:hAnsi="宋体"/>
          <w:sz w:val="28"/>
          <w:szCs w:val="28"/>
        </w:rPr>
      </w:pPr>
      <w:r>
        <w:rPr>
          <w:rFonts w:hint="eastAsia" w:ascii="宋体" w:hAnsi="宋体"/>
          <w:sz w:val="28"/>
          <w:szCs w:val="28"/>
        </w:rPr>
        <w:t>4、所有资源在开发过程中可根据用户方的具体要求配合开发，并可以不断完善已建资源内容。</w:t>
      </w:r>
    </w:p>
    <w:p>
      <w:pPr>
        <w:pStyle w:val="5"/>
        <w:spacing w:line="360" w:lineRule="auto"/>
        <w:rPr>
          <w:rFonts w:ascii="宋体" w:hAnsi="宋体"/>
          <w:sz w:val="28"/>
          <w:szCs w:val="28"/>
        </w:rPr>
      </w:pPr>
      <w:r>
        <w:rPr>
          <w:rFonts w:hint="eastAsia" w:ascii="宋体" w:hAnsi="宋体"/>
          <w:sz w:val="28"/>
          <w:szCs w:val="28"/>
        </w:rPr>
        <w:t>5、▲所有资源开发必须在签订合同后</w:t>
      </w:r>
      <w:r>
        <w:rPr>
          <w:rFonts w:ascii="宋体" w:hAnsi="宋体"/>
          <w:sz w:val="28"/>
          <w:szCs w:val="28"/>
        </w:rPr>
        <w:t>2</w:t>
      </w:r>
      <w:r>
        <w:rPr>
          <w:rFonts w:hint="eastAsia" w:ascii="宋体" w:hAnsi="宋体"/>
          <w:sz w:val="28"/>
          <w:szCs w:val="28"/>
        </w:rPr>
        <w:t>0日历天内安装调试完成。</w:t>
      </w:r>
    </w:p>
    <w:p>
      <w:pPr>
        <w:pStyle w:val="5"/>
        <w:spacing w:line="360" w:lineRule="auto"/>
        <w:rPr>
          <w:rFonts w:ascii="宋体" w:hAnsi="宋体"/>
          <w:sz w:val="28"/>
          <w:szCs w:val="28"/>
        </w:rPr>
      </w:pPr>
      <w:r>
        <w:rPr>
          <w:rFonts w:hint="eastAsia" w:ascii="宋体" w:hAnsi="宋体"/>
          <w:sz w:val="28"/>
          <w:szCs w:val="28"/>
        </w:rPr>
        <w:t>6、▲开发完成的软件，学校享有本项目开发成果的知识产权。</w:t>
      </w:r>
    </w:p>
    <w:p>
      <w:pPr>
        <w:pStyle w:val="5"/>
        <w:spacing w:line="360" w:lineRule="auto"/>
        <w:rPr>
          <w:rFonts w:ascii="宋体" w:hAnsi="宋体"/>
          <w:sz w:val="28"/>
          <w:szCs w:val="28"/>
        </w:rPr>
      </w:pPr>
      <w:r>
        <w:rPr>
          <w:rFonts w:hint="eastAsia" w:ascii="宋体" w:hAnsi="宋体"/>
          <w:sz w:val="28"/>
          <w:szCs w:val="28"/>
        </w:rPr>
        <w:t>7、供应商免费提供至少2年技术服务，在此免费维护期内，提供免费的升级、更新服务，并负责后续维护、维修和故障排除等技术工作。实验投入使用时，提供虚拟仿真实验web版。</w:t>
      </w:r>
    </w:p>
    <w:p>
      <w:pPr>
        <w:pStyle w:val="5"/>
        <w:spacing w:line="360" w:lineRule="auto"/>
        <w:rPr>
          <w:rFonts w:hint="eastAsia" w:ascii="宋体" w:hAnsi="宋体"/>
          <w:sz w:val="28"/>
          <w:szCs w:val="28"/>
        </w:rPr>
      </w:pPr>
      <w:r>
        <w:rPr>
          <w:rFonts w:hint="eastAsia" w:ascii="宋体" w:hAnsi="宋体"/>
          <w:sz w:val="28"/>
          <w:szCs w:val="28"/>
        </w:rPr>
        <w:t>8、▲有服务于各大高校等国家级虚拟仿真项目申报任务的经验，并成功获得国家级化学材料类学科认定项目数量不少于10项。（提供合同或中标通知书及实验空间评为国家级项目截图为确认依据）</w:t>
      </w:r>
    </w:p>
    <w:p>
      <w:pPr>
        <w:ind w:firstLine="354" w:firstLineChars="147"/>
        <w:rPr>
          <w:rFonts w:hint="eastAsia" w:ascii="宋体" w:eastAsia="宋体"/>
          <w:b/>
          <w:bCs w:val="0"/>
          <w:sz w:val="24"/>
          <w:szCs w:val="24"/>
          <w:highlight w:val="none"/>
          <w:lang w:val="zh-CN"/>
        </w:rPr>
      </w:pPr>
      <w:r>
        <w:rPr>
          <w:rFonts w:hint="eastAsia" w:ascii="宋体" w:eastAsia="宋体"/>
          <w:b/>
          <w:bCs w:val="0"/>
          <w:sz w:val="24"/>
          <w:szCs w:val="24"/>
          <w:highlight w:val="none"/>
        </w:rPr>
        <w:t>（本部分内容由南京信息工程大学</w:t>
      </w:r>
      <w:r>
        <w:rPr>
          <w:rFonts w:hint="eastAsia" w:ascii="宋体" w:eastAsia="宋体"/>
          <w:b/>
          <w:bCs w:val="0"/>
          <w:sz w:val="24"/>
          <w:szCs w:val="24"/>
          <w:highlight w:val="none"/>
          <w:lang w:val="en-US" w:eastAsia="zh-CN"/>
        </w:rPr>
        <w:t>化学与材料学院</w:t>
      </w:r>
      <w:r>
        <w:rPr>
          <w:rFonts w:hint="eastAsia" w:ascii="宋体" w:eastAsia="宋体"/>
          <w:b/>
          <w:bCs w:val="0"/>
          <w:sz w:val="24"/>
          <w:szCs w:val="24"/>
          <w:highlight w:val="none"/>
        </w:rPr>
        <w:t>提供并负责）</w:t>
      </w:r>
    </w:p>
    <w:p>
      <w:pPr>
        <w:ind w:firstLine="354" w:firstLineChars="147"/>
        <w:rPr>
          <w:rFonts w:hint="eastAsia" w:ascii="宋体" w:eastAsia="宋体"/>
          <w:b/>
          <w:bCs w:val="0"/>
          <w:sz w:val="24"/>
          <w:szCs w:val="24"/>
          <w:highlight w:val="none"/>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pStyle w:val="8"/>
        <w:ind w:firstLine="660"/>
        <w:jc w:val="left"/>
        <w:rPr>
          <w:rFonts w:ascii="宋体" w:hAnsi="宋体" w:eastAsia="宋体"/>
          <w:b/>
          <w:sz w:val="24"/>
          <w:szCs w:val="24"/>
        </w:rPr>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hint="eastAsia"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hAnsi="宋体"/>
                <w:b/>
                <w:sz w:val="28"/>
                <w:szCs w:val="28"/>
              </w:rPr>
            </w:pPr>
            <w:r>
              <w:rPr>
                <w:rFonts w:hint="eastAsia" w:ascii="宋体" w:hAnsi="宋体"/>
                <w:b/>
                <w:sz w:val="28"/>
                <w:szCs w:val="28"/>
              </w:rPr>
              <w:t>品牌</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rPr>
            </w:pPr>
          </w:p>
        </w:tc>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bookmarkEnd w:id="9"/>
    <w:bookmarkEnd w:id="10"/>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spacing w:line="360" w:lineRule="auto"/>
        <w:rPr>
          <w:rFonts w:ascii="宋体" w:hAnsi="宋体"/>
          <w:b/>
          <w:sz w:val="28"/>
          <w:szCs w:val="28"/>
        </w:rPr>
      </w:pPr>
      <w:r>
        <w:rPr>
          <w:rFonts w:hint="eastAsia" w:ascii="宋体" w:hAnsi="宋体"/>
          <w:b/>
          <w:sz w:val="28"/>
          <w:szCs w:val="28"/>
        </w:rPr>
        <w:t xml:space="preserve">售后服务  </w:t>
      </w:r>
    </w:p>
    <w:p>
      <w:pPr>
        <w:spacing w:line="360" w:lineRule="auto"/>
        <w:rPr>
          <w:rFonts w:ascii="宋体" w:hAnsi="宋体"/>
          <w:sz w:val="28"/>
          <w:szCs w:val="28"/>
        </w:rPr>
      </w:pPr>
      <w:r>
        <w:rPr>
          <w:rFonts w:hint="eastAsia" w:ascii="宋体" w:hAnsi="宋体"/>
          <w:sz w:val="28"/>
          <w:szCs w:val="28"/>
        </w:rPr>
        <w:t>1、质保期2年，质保期内免费维护及升级。</w:t>
      </w:r>
    </w:p>
    <w:p>
      <w:pPr>
        <w:spacing w:line="360" w:lineRule="auto"/>
        <w:rPr>
          <w:rFonts w:ascii="宋体" w:hAnsi="宋体"/>
          <w:sz w:val="28"/>
          <w:szCs w:val="28"/>
        </w:rPr>
      </w:pPr>
      <w:r>
        <w:rPr>
          <w:rFonts w:hint="eastAsia" w:ascii="宋体" w:hAnsi="宋体"/>
          <w:sz w:val="28"/>
          <w:szCs w:val="28"/>
        </w:rPr>
        <w:t>2、质保期过后，厂商终身维护，并提供成本价零配件、免收人工差旅费。</w:t>
      </w:r>
    </w:p>
    <w:p>
      <w:pPr>
        <w:spacing w:line="360" w:lineRule="auto"/>
        <w:rPr>
          <w:rFonts w:ascii="宋体" w:hAnsi="宋体"/>
          <w:sz w:val="28"/>
          <w:szCs w:val="28"/>
        </w:rPr>
      </w:pPr>
      <w:r>
        <w:rPr>
          <w:rFonts w:hint="eastAsia" w:ascii="宋体" w:hAnsi="宋体"/>
          <w:sz w:val="28"/>
          <w:szCs w:val="28"/>
        </w:rPr>
        <w:t>3、现场安装调试、并安排现场技术培训，终身提供技术服务、技术支持。</w:t>
      </w:r>
    </w:p>
    <w:p>
      <w:pPr>
        <w:spacing w:line="360" w:lineRule="auto"/>
        <w:rPr>
          <w:rFonts w:hint="eastAsia" w:ascii="宋体" w:hAnsi="宋体"/>
          <w:sz w:val="28"/>
          <w:szCs w:val="28"/>
        </w:rPr>
      </w:pPr>
      <w:r>
        <w:rPr>
          <w:rFonts w:hint="eastAsia" w:ascii="宋体" w:hAnsi="宋体"/>
          <w:sz w:val="28"/>
          <w:szCs w:val="28"/>
        </w:rPr>
        <w:t>4、所开发的软件知识产权归南京信息工程大学所有，完成软件著作权证书的申请。</w:t>
      </w:r>
    </w:p>
    <w:p>
      <w:pPr>
        <w:spacing w:line="360" w:lineRule="auto"/>
        <w:rPr>
          <w:rFonts w:hint="default" w:ascii="宋体" w:hAnsi="宋体"/>
          <w:sz w:val="28"/>
          <w:szCs w:val="28"/>
          <w:lang w:val="en-US" w:eastAsia="zh-CN"/>
        </w:rPr>
      </w:pPr>
      <w:r>
        <w:rPr>
          <w:rFonts w:hint="eastAsia" w:ascii="宋体" w:hAnsi="宋体"/>
          <w:sz w:val="28"/>
          <w:szCs w:val="28"/>
          <w:lang w:val="en-US" w:eastAsia="zh-CN"/>
        </w:rPr>
        <w:t>5、中标单位提供的软件产品在投入使用之前，必须通过网络安全检查。不能通过的，应整改至通过为止。相关整改费用由中标单位承担。经整改仍不能通过的，发包方有权解除合同，并不承担任何费用。</w:t>
      </w:r>
    </w:p>
    <w:p>
      <w:pPr>
        <w:spacing w:line="360" w:lineRule="auto"/>
        <w:rPr>
          <w:rFonts w:ascii="宋体" w:hAnsi="宋体"/>
          <w:b/>
          <w:sz w:val="28"/>
          <w:szCs w:val="28"/>
        </w:rPr>
      </w:pPr>
      <w:r>
        <w:rPr>
          <w:rFonts w:hint="eastAsia" w:ascii="宋体" w:hAnsi="宋体"/>
          <w:b/>
          <w:sz w:val="28"/>
          <w:szCs w:val="28"/>
        </w:rPr>
        <w:t>交货期、交货方式及交货地点</w:t>
      </w:r>
    </w:p>
    <w:p>
      <w:pPr>
        <w:spacing w:line="360" w:lineRule="auto"/>
        <w:rPr>
          <w:rFonts w:ascii="宋体" w:hAnsi="宋体"/>
          <w:sz w:val="28"/>
          <w:szCs w:val="28"/>
        </w:rPr>
      </w:pPr>
      <w:r>
        <w:rPr>
          <w:rFonts w:hint="eastAsia" w:ascii="宋体" w:hAnsi="宋体"/>
          <w:sz w:val="28"/>
          <w:szCs w:val="28"/>
        </w:rPr>
        <w:t>1、交货期：所有资源开发必须在签订合同后20日历天内安装调试完成并上线运行。</w:t>
      </w:r>
    </w:p>
    <w:p>
      <w:pPr>
        <w:spacing w:line="360" w:lineRule="auto"/>
        <w:rPr>
          <w:rFonts w:ascii="宋体" w:hAnsi="宋体"/>
          <w:sz w:val="28"/>
          <w:szCs w:val="28"/>
        </w:rPr>
      </w:pPr>
      <w:r>
        <w:rPr>
          <w:rFonts w:hint="eastAsia" w:ascii="宋体" w:hAnsi="宋体"/>
          <w:sz w:val="28"/>
          <w:szCs w:val="28"/>
        </w:rPr>
        <w:t>2、交货方式：中标人在买方指定地点交货，并完成安装、调试。</w:t>
      </w:r>
    </w:p>
    <w:p>
      <w:pPr>
        <w:spacing w:line="360" w:lineRule="auto"/>
        <w:rPr>
          <w:rFonts w:ascii="宋体" w:hAnsi="宋体"/>
          <w:sz w:val="24"/>
        </w:rPr>
      </w:pPr>
      <w:r>
        <w:rPr>
          <w:rFonts w:hint="eastAsia" w:ascii="宋体" w:hAnsi="宋体"/>
          <w:sz w:val="28"/>
          <w:szCs w:val="28"/>
        </w:rPr>
        <w:t>3、交货地点：南京信息工程大学。</w:t>
      </w:r>
    </w:p>
    <w:p>
      <w:pPr>
        <w:pStyle w:val="5"/>
        <w:spacing w:line="360" w:lineRule="auto"/>
        <w:ind w:left="0" w:leftChars="0" w:firstLine="0" w:firstLineChars="0"/>
        <w:rPr>
          <w:rFonts w:hint="default" w:ascii="宋体" w:hAnsi="宋体" w:eastAsia="宋体"/>
          <w:sz w:val="28"/>
          <w:szCs w:val="28"/>
          <w:lang w:val="en-US" w:eastAsia="zh-CN"/>
        </w:rPr>
      </w:pPr>
      <w:r>
        <w:rPr>
          <w:rFonts w:hint="eastAsia" w:ascii="宋体" w:hAnsi="宋体"/>
          <w:sz w:val="28"/>
          <w:szCs w:val="28"/>
          <w:lang w:val="en-US" w:eastAsia="zh-CN"/>
        </w:rPr>
        <w:t>4、合同文本为参考文本，最终以发包方审核意见为准。</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2"/>
        <w:ind w:left="1470" w:right="1470"/>
        <w:rPr>
          <w:rFonts w:ascii="宋体" w:hAnsi="宋体" w:cs="仿宋"/>
          <w:b/>
          <w:bCs/>
          <w:sz w:val="28"/>
          <w:szCs w:val="28"/>
        </w:rPr>
      </w:pPr>
    </w:p>
    <w:p>
      <w:pPr>
        <w:pStyle w:val="2"/>
        <w:ind w:left="1470" w:right="1470"/>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560" w:firstLineChars="200"/>
        <w:rPr>
          <w:sz w:val="28"/>
          <w:szCs w:val="28"/>
        </w:rPr>
      </w:pPr>
      <w:r>
        <w:rPr>
          <w:rFonts w:hint="eastAsia" w:ascii="宋体" w:hAnsi="宋体"/>
          <w:sz w:val="28"/>
          <w:szCs w:val="28"/>
        </w:rPr>
        <w:t>本项目采用综合评分法，总分为：</w:t>
      </w:r>
      <w:r>
        <w:rPr>
          <w:rFonts w:ascii="宋体" w:hAnsi="宋体"/>
          <w:sz w:val="28"/>
          <w:szCs w:val="28"/>
        </w:rPr>
        <w:t>100</w:t>
      </w:r>
      <w:r>
        <w:rPr>
          <w:rFonts w:hint="eastAsia" w:ascii="宋体" w:hAnsi="宋体"/>
          <w:sz w:val="28"/>
          <w:szCs w:val="28"/>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rPr>
            </w:pPr>
            <w:r>
              <w:rPr>
                <w:rFonts w:hint="eastAsia" w:ascii="宋体" w:hAnsi="宋体" w:cs="宋体"/>
                <w:szCs w:val="21"/>
              </w:rPr>
              <w:t>序号</w:t>
            </w:r>
          </w:p>
        </w:tc>
        <w:tc>
          <w:tcPr>
            <w:tcW w:w="1276" w:type="dxa"/>
          </w:tcPr>
          <w:p>
            <w:pPr>
              <w:kinsoku w:val="0"/>
              <w:overflowPunct w:val="0"/>
              <w:spacing w:before="88" w:after="120"/>
              <w:jc w:val="center"/>
              <w:rPr>
                <w:rFonts w:ascii="宋体" w:hAnsi="宋体" w:cs="宋体"/>
                <w:szCs w:val="21"/>
              </w:rPr>
            </w:pPr>
            <w:r>
              <w:rPr>
                <w:rFonts w:hint="eastAsia" w:ascii="宋体" w:hAnsi="宋体" w:cs="宋体"/>
                <w:szCs w:val="21"/>
              </w:rPr>
              <w:t>评审因素</w:t>
            </w:r>
          </w:p>
        </w:tc>
        <w:tc>
          <w:tcPr>
            <w:tcW w:w="5103" w:type="dxa"/>
          </w:tcPr>
          <w:p>
            <w:pPr>
              <w:kinsoku w:val="0"/>
              <w:overflowPunct w:val="0"/>
              <w:spacing w:before="88" w:after="120"/>
              <w:ind w:right="34" w:rightChars="16"/>
              <w:jc w:val="center"/>
              <w:rPr>
                <w:rFonts w:ascii="宋体" w:hAnsi="宋体" w:cs="宋体"/>
                <w:szCs w:val="21"/>
              </w:rPr>
            </w:pPr>
            <w:r>
              <w:rPr>
                <w:rFonts w:hint="eastAsia" w:ascii="宋体" w:hAnsi="宋体" w:cs="宋体"/>
                <w:szCs w:val="21"/>
              </w:rPr>
              <w:t>评分细节</w:t>
            </w:r>
          </w:p>
        </w:tc>
        <w:tc>
          <w:tcPr>
            <w:tcW w:w="1048" w:type="dxa"/>
          </w:tcPr>
          <w:p>
            <w:pPr>
              <w:kinsoku w:val="0"/>
              <w:overflowPunct w:val="0"/>
              <w:spacing w:before="88" w:after="120"/>
              <w:ind w:left="172"/>
              <w:rPr>
                <w:rFonts w:ascii="宋体" w:hAnsi="宋体" w:cs="宋体"/>
                <w:szCs w:val="21"/>
              </w:rPr>
            </w:pPr>
            <w:r>
              <w:rPr>
                <w:rFonts w:hint="eastAsia" w:ascii="宋体" w:hAnsi="宋体" w:cs="宋体"/>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rPr>
            </w:pPr>
            <w:r>
              <w:rPr>
                <w:rFonts w:hint="eastAsia" w:ascii="宋体" w:hAnsi="宋体" w:cs="宋体"/>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1.1</w:t>
            </w:r>
          </w:p>
        </w:tc>
        <w:tc>
          <w:tcPr>
            <w:tcW w:w="1276" w:type="dxa"/>
            <w:vAlign w:val="center"/>
          </w:tcPr>
          <w:p>
            <w:pPr>
              <w:kinsoku w:val="0"/>
              <w:overflowPunct w:val="0"/>
              <w:spacing w:after="120" w:line="360" w:lineRule="exact"/>
              <w:ind w:right="155"/>
              <w:jc w:val="center"/>
              <w:rPr>
                <w:rFonts w:ascii="宋体" w:hAnsi="宋体" w:cs="宋体"/>
                <w:szCs w:val="21"/>
              </w:rPr>
            </w:pPr>
            <w:r>
              <w:rPr>
                <w:rFonts w:hint="eastAsia" w:ascii="宋体" w:hAnsi="宋体" w:cs="宋体"/>
                <w:szCs w:val="21"/>
              </w:rPr>
              <w:t>投标报价</w:t>
            </w:r>
          </w:p>
        </w:tc>
        <w:tc>
          <w:tcPr>
            <w:tcW w:w="5103" w:type="dxa"/>
          </w:tcPr>
          <w:p>
            <w:pPr>
              <w:spacing w:line="360" w:lineRule="exact"/>
              <w:rPr>
                <w:rFonts w:ascii="宋体" w:hAnsi="宋体" w:cs="宋体"/>
                <w:kern w:val="0"/>
                <w:szCs w:val="21"/>
              </w:rPr>
            </w:pPr>
            <w:r>
              <w:rPr>
                <w:rFonts w:hint="eastAsia" w:ascii="宋体" w:hAnsi="宋体" w:cs="宋体"/>
                <w:kern w:val="0"/>
                <w:szCs w:val="21"/>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rPr>
            </w:pPr>
            <w:r>
              <w:rPr>
                <w:rFonts w:hint="eastAsia" w:ascii="宋体" w:hAnsi="宋体" w:cs="宋体"/>
                <w:kern w:val="0"/>
                <w:szCs w:val="21"/>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rPr>
            </w:pPr>
            <w:r>
              <w:rPr>
                <w:rFonts w:hint="eastAsia" w:ascii="宋体" w:hAnsi="宋体" w:cs="宋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rPr>
            </w:pPr>
            <w:r>
              <w:rPr>
                <w:rFonts w:hint="eastAsia" w:ascii="宋体" w:hAnsi="宋体" w:cs="宋体"/>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1704" w:type="dxa"/>
            <w:tcBorders>
              <w:bottom w:val="single" w:color="auto" w:sz="4" w:space="0"/>
            </w:tcBorders>
            <w:vAlign w:val="center"/>
          </w:tcPr>
          <w:p>
            <w:pPr>
              <w:spacing w:line="360" w:lineRule="exact"/>
              <w:jc w:val="center"/>
              <w:rPr>
                <w:rFonts w:ascii="宋体" w:hAnsi="宋体" w:cs="宋体"/>
                <w:kern w:val="0"/>
                <w:szCs w:val="21"/>
              </w:rPr>
            </w:pPr>
            <w:r>
              <w:rPr>
                <w:rFonts w:hint="eastAsia" w:ascii="宋体" w:hAnsi="宋体" w:cs="宋体"/>
                <w:kern w:val="0"/>
                <w:szCs w:val="21"/>
              </w:rPr>
              <w:t>2.1</w:t>
            </w:r>
          </w:p>
        </w:tc>
        <w:tc>
          <w:tcPr>
            <w:tcW w:w="1276" w:type="dxa"/>
            <w:tcBorders>
              <w:bottom w:val="single" w:color="auto" w:sz="4" w:space="0"/>
            </w:tcBorders>
            <w:vAlign w:val="center"/>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技术参数</w:t>
            </w:r>
          </w:p>
        </w:tc>
        <w:tc>
          <w:tcPr>
            <w:tcW w:w="5103" w:type="dxa"/>
            <w:tcBorders>
              <w:bottom w:val="single" w:color="auto" w:sz="4" w:space="0"/>
            </w:tcBorders>
          </w:tcPr>
          <w:p>
            <w:pPr>
              <w:spacing w:line="360" w:lineRule="exact"/>
              <w:rPr>
                <w:rFonts w:ascii="宋体" w:hAnsi="宋体" w:cs="宋体"/>
                <w:kern w:val="0"/>
                <w:szCs w:val="21"/>
              </w:rPr>
            </w:pPr>
            <w:r>
              <w:rPr>
                <w:rFonts w:hint="eastAsia" w:ascii="宋体" w:hAnsi="宋体" w:cs="宋体"/>
                <w:kern w:val="0"/>
                <w:szCs w:val="21"/>
              </w:rPr>
              <w:t>技术参数全部满足招标要求的得满分；打★号指标为核心指标项，如有负偏离按无效投标处理；打▲项为重要指标项，有一项负偏离扣</w:t>
            </w:r>
            <w:r>
              <w:rPr>
                <w:rFonts w:ascii="宋体" w:hAnsi="宋体" w:cs="宋体"/>
                <w:kern w:val="0"/>
                <w:szCs w:val="21"/>
              </w:rPr>
              <w:t>2</w:t>
            </w:r>
            <w:r>
              <w:rPr>
                <w:rFonts w:hint="eastAsia" w:ascii="宋体" w:hAnsi="宋体" w:cs="宋体"/>
                <w:kern w:val="0"/>
                <w:szCs w:val="21"/>
              </w:rPr>
              <w:t>分，扣完为止。非打★</w:t>
            </w:r>
            <w:r>
              <w:rPr>
                <w:rFonts w:hint="eastAsia" w:ascii="宋体" w:hAnsi="宋体" w:cs="宋体"/>
                <w:kern w:val="0"/>
                <w:szCs w:val="21"/>
                <w:lang w:val="en-US" w:eastAsia="zh-CN"/>
              </w:rPr>
              <w:t>和</w:t>
            </w:r>
            <w:r>
              <w:rPr>
                <w:rFonts w:hint="eastAsia" w:ascii="宋体" w:hAnsi="宋体" w:cs="宋体"/>
                <w:kern w:val="0"/>
                <w:szCs w:val="21"/>
              </w:rPr>
              <w:t>▲号指标，有一项负偏离扣</w:t>
            </w:r>
            <w:r>
              <w:rPr>
                <w:rFonts w:ascii="宋体" w:hAnsi="宋体" w:cs="宋体"/>
                <w:kern w:val="0"/>
                <w:szCs w:val="21"/>
              </w:rPr>
              <w:t>1</w:t>
            </w:r>
            <w:r>
              <w:rPr>
                <w:rFonts w:hint="eastAsia" w:ascii="宋体" w:hAnsi="宋体" w:cs="宋体"/>
                <w:kern w:val="0"/>
                <w:szCs w:val="21"/>
              </w:rPr>
              <w:t>分，扣完为止。严重负偏离影响设备性能的经半数以上评委认定，本项得零分。</w:t>
            </w:r>
          </w:p>
        </w:tc>
        <w:tc>
          <w:tcPr>
            <w:tcW w:w="1048" w:type="dxa"/>
            <w:tcBorders>
              <w:bottom w:val="single" w:color="auto" w:sz="4" w:space="0"/>
            </w:tcBorders>
            <w:vAlign w:val="center"/>
          </w:tcPr>
          <w:p>
            <w:pPr>
              <w:spacing w:line="36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704" w:type="dxa"/>
            <w:tcBorders>
              <w:top w:val="single" w:color="auto" w:sz="4" w:space="0"/>
              <w:bottom w:val="single" w:color="auto" w:sz="4" w:space="0"/>
            </w:tcBorders>
            <w:vAlign w:val="center"/>
          </w:tcPr>
          <w:p>
            <w:pPr>
              <w:spacing w:line="36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.2</w:t>
            </w:r>
          </w:p>
        </w:tc>
        <w:tc>
          <w:tcPr>
            <w:tcW w:w="1276" w:type="dxa"/>
            <w:tcBorders>
              <w:top w:val="single" w:color="auto" w:sz="4" w:space="0"/>
              <w:bottom w:val="single" w:color="auto" w:sz="4" w:space="0"/>
            </w:tcBorders>
            <w:vAlign w:val="center"/>
          </w:tcPr>
          <w:p>
            <w:pPr>
              <w:spacing w:line="360" w:lineRule="exact"/>
              <w:jc w:val="center"/>
              <w:rPr>
                <w:rFonts w:ascii="宋体" w:hAnsi="宋体" w:cs="宋体"/>
                <w:kern w:val="0"/>
                <w:szCs w:val="21"/>
              </w:rPr>
            </w:pPr>
            <w:r>
              <w:rPr>
                <w:rFonts w:hint="eastAsia" w:ascii="宋体" w:hAnsi="宋体" w:cs="宋体"/>
                <w:kern w:val="0"/>
                <w:szCs w:val="21"/>
              </w:rPr>
              <w:t>技术方案</w:t>
            </w:r>
          </w:p>
        </w:tc>
        <w:tc>
          <w:tcPr>
            <w:tcW w:w="5103" w:type="dxa"/>
            <w:tcBorders>
              <w:top w:val="single" w:color="auto" w:sz="4" w:space="0"/>
              <w:bottom w:val="single" w:color="auto" w:sz="4" w:space="0"/>
            </w:tcBorders>
          </w:tcPr>
          <w:p>
            <w:pPr>
              <w:spacing w:line="360" w:lineRule="exact"/>
              <w:rPr>
                <w:rFonts w:ascii="宋体" w:hAnsi="宋体" w:cs="宋体"/>
                <w:kern w:val="0"/>
                <w:szCs w:val="21"/>
              </w:rPr>
            </w:pPr>
            <w:r>
              <w:rPr>
                <w:rFonts w:hint="eastAsia" w:ascii="宋体" w:hAnsi="宋体" w:cs="宋体"/>
                <w:b w:val="0"/>
                <w:bCs/>
                <w:kern w:val="0"/>
                <w:szCs w:val="21"/>
              </w:rPr>
              <w:t>1.</w:t>
            </w:r>
            <w:r>
              <w:rPr>
                <w:rFonts w:hint="eastAsia" w:ascii="宋体" w:hAnsi="宋体" w:cs="宋体"/>
                <w:b w:val="0"/>
                <w:bCs/>
                <w:kern w:val="0"/>
                <w:szCs w:val="21"/>
                <w:lang w:val="en-US" w:eastAsia="zh-CN"/>
              </w:rPr>
              <w:t>项目</w:t>
            </w:r>
            <w:r>
              <w:rPr>
                <w:rFonts w:hint="eastAsia" w:ascii="宋体" w:hAnsi="宋体" w:cs="宋体"/>
                <w:b w:val="0"/>
                <w:bCs/>
                <w:kern w:val="0"/>
                <w:szCs w:val="21"/>
              </w:rPr>
              <w:t>的体系架构、功能模块，设计方案科学、严密、合理及关键技术指标的符合程度综合评分。科学、合理、针对性强的得5分；基本合理可行2分，</w:t>
            </w:r>
            <w:r>
              <w:rPr>
                <w:rFonts w:hint="eastAsia" w:ascii="宋体" w:hAnsi="宋体" w:cs="宋体"/>
                <w:b w:val="0"/>
                <w:bCs/>
                <w:kern w:val="0"/>
                <w:szCs w:val="21"/>
                <w:lang w:val="en-US" w:eastAsia="zh-CN"/>
              </w:rPr>
              <w:t>方案不合理或不提供</w:t>
            </w:r>
            <w:r>
              <w:rPr>
                <w:rFonts w:hint="eastAsia" w:ascii="宋体" w:hAnsi="宋体" w:cs="宋体"/>
                <w:b w:val="0"/>
                <w:bCs/>
                <w:kern w:val="0"/>
                <w:szCs w:val="21"/>
              </w:rPr>
              <w:t>的不得分。</w:t>
            </w:r>
            <w:r>
              <w:rPr>
                <w:rFonts w:hint="eastAsia" w:ascii="宋体" w:hAnsi="宋体" w:cs="宋体"/>
                <w:b w:val="0"/>
                <w:bCs/>
                <w:kern w:val="0"/>
                <w:szCs w:val="21"/>
              </w:rPr>
              <w:cr/>
            </w:r>
            <w:r>
              <w:rPr>
                <w:rFonts w:hint="eastAsia" w:ascii="宋体" w:hAnsi="宋体" w:cs="宋体"/>
                <w:b w:val="0"/>
                <w:bCs/>
                <w:kern w:val="0"/>
                <w:szCs w:val="21"/>
              </w:rPr>
              <w:t>2.</w:t>
            </w:r>
            <w:r>
              <w:rPr>
                <w:rFonts w:hint="eastAsia" w:ascii="宋体" w:hAnsi="宋体" w:cs="宋体"/>
                <w:b w:val="0"/>
                <w:bCs/>
                <w:kern w:val="0"/>
                <w:szCs w:val="21"/>
                <w:lang w:val="en-US" w:eastAsia="zh-CN"/>
              </w:rPr>
              <w:t>方案</w:t>
            </w:r>
            <w:r>
              <w:rPr>
                <w:rFonts w:hint="eastAsia" w:ascii="宋体" w:hAnsi="宋体" w:cs="宋体"/>
                <w:b w:val="0"/>
                <w:bCs/>
                <w:kern w:val="0"/>
                <w:szCs w:val="21"/>
              </w:rPr>
              <w:t>提供详细</w:t>
            </w:r>
            <w:r>
              <w:rPr>
                <w:rFonts w:hint="eastAsia" w:ascii="宋体" w:hAnsi="宋体" w:cs="宋体"/>
                <w:b w:val="0"/>
                <w:bCs/>
                <w:kern w:val="0"/>
                <w:szCs w:val="21"/>
                <w:lang w:val="en-US" w:eastAsia="zh-CN"/>
              </w:rPr>
              <w:t>合理</w:t>
            </w:r>
            <w:r>
              <w:rPr>
                <w:rFonts w:hint="eastAsia" w:ascii="宋体" w:hAnsi="宋体" w:cs="宋体"/>
                <w:b w:val="0"/>
                <w:bCs/>
                <w:kern w:val="0"/>
                <w:szCs w:val="21"/>
              </w:rPr>
              <w:t>的实验交互</w:t>
            </w:r>
            <w:r>
              <w:rPr>
                <w:rFonts w:hint="eastAsia" w:ascii="宋体" w:hAnsi="宋体" w:cs="宋体"/>
                <w:b w:val="0"/>
                <w:bCs/>
                <w:kern w:val="0"/>
                <w:szCs w:val="21"/>
                <w:lang w:val="en-US" w:eastAsia="zh-CN"/>
              </w:rPr>
              <w:t>步骤</w:t>
            </w:r>
            <w:r>
              <w:rPr>
                <w:rFonts w:hint="eastAsia" w:ascii="宋体" w:hAnsi="宋体" w:cs="宋体"/>
                <w:b w:val="0"/>
                <w:bCs/>
                <w:kern w:val="0"/>
                <w:szCs w:val="21"/>
              </w:rPr>
              <w:t>设计的得5分，</w:t>
            </w:r>
            <w:r>
              <w:rPr>
                <w:rFonts w:hint="eastAsia" w:ascii="宋体" w:hAnsi="宋体" w:cs="宋体"/>
                <w:b w:val="0"/>
                <w:bCs/>
                <w:kern w:val="0"/>
                <w:szCs w:val="21"/>
                <w:lang w:val="en-US" w:eastAsia="zh-CN"/>
              </w:rPr>
              <w:t>基本合理可行2分，</w:t>
            </w:r>
            <w:r>
              <w:rPr>
                <w:rFonts w:hint="eastAsia" w:ascii="宋体" w:hAnsi="宋体" w:cs="宋体"/>
                <w:b w:val="0"/>
                <w:bCs/>
                <w:kern w:val="0"/>
                <w:szCs w:val="21"/>
              </w:rPr>
              <w:t>不提供</w:t>
            </w:r>
            <w:r>
              <w:rPr>
                <w:rFonts w:hint="eastAsia" w:ascii="宋体" w:hAnsi="宋体" w:cs="宋体"/>
                <w:b w:val="0"/>
                <w:bCs/>
                <w:kern w:val="0"/>
                <w:szCs w:val="21"/>
                <w:lang w:val="en-US" w:eastAsia="zh-CN"/>
              </w:rPr>
              <w:t>或提供不合理</w:t>
            </w:r>
            <w:r>
              <w:rPr>
                <w:rFonts w:hint="eastAsia" w:ascii="宋体" w:hAnsi="宋体" w:cs="宋体"/>
                <w:b w:val="0"/>
                <w:bCs/>
                <w:kern w:val="0"/>
                <w:szCs w:val="21"/>
              </w:rPr>
              <w:t>得</w:t>
            </w:r>
            <w:r>
              <w:rPr>
                <w:rFonts w:hint="eastAsia" w:ascii="宋体" w:hAnsi="宋体" w:cs="宋体"/>
                <w:b w:val="0"/>
                <w:bCs/>
                <w:kern w:val="0"/>
                <w:szCs w:val="21"/>
                <w:lang w:val="en-US" w:eastAsia="zh-CN"/>
              </w:rPr>
              <w:t>0</w:t>
            </w:r>
            <w:r>
              <w:rPr>
                <w:rFonts w:hint="eastAsia" w:ascii="宋体" w:hAnsi="宋体" w:cs="宋体"/>
                <w:b w:val="0"/>
                <w:bCs/>
                <w:kern w:val="0"/>
                <w:szCs w:val="21"/>
              </w:rPr>
              <w:t>分。</w:t>
            </w:r>
            <w:r>
              <w:rPr>
                <w:rFonts w:hint="eastAsia" w:ascii="宋体" w:hAnsi="宋体" w:cs="宋体"/>
                <w:b w:val="0"/>
                <w:bCs/>
                <w:kern w:val="0"/>
                <w:szCs w:val="21"/>
              </w:rPr>
              <w:cr/>
            </w:r>
            <w:r>
              <w:rPr>
                <w:rFonts w:hint="eastAsia" w:ascii="宋体" w:hAnsi="宋体" w:cs="宋体"/>
                <w:b w:val="0"/>
                <w:bCs/>
                <w:kern w:val="0"/>
                <w:szCs w:val="21"/>
              </w:rPr>
              <w:t>3.</w:t>
            </w:r>
            <w:r>
              <w:rPr>
                <w:rFonts w:hint="eastAsia" w:ascii="宋体" w:hAnsi="宋体" w:cs="宋体"/>
                <w:b w:val="0"/>
                <w:bCs/>
                <w:kern w:val="0"/>
                <w:szCs w:val="21"/>
                <w:lang w:val="en-US" w:eastAsia="zh-CN"/>
              </w:rPr>
              <w:t>方案设计</w:t>
            </w:r>
            <w:r>
              <w:rPr>
                <w:rFonts w:hint="eastAsia" w:ascii="宋体" w:hAnsi="宋体" w:cs="宋体"/>
                <w:b w:val="0"/>
                <w:bCs/>
                <w:kern w:val="0"/>
                <w:szCs w:val="21"/>
              </w:rPr>
              <w:t>能提供详细的软件呈现形式的得5分，</w:t>
            </w:r>
            <w:r>
              <w:rPr>
                <w:rFonts w:hint="eastAsia" w:ascii="宋体" w:hAnsi="宋体" w:cs="宋体"/>
                <w:b w:val="0"/>
                <w:bCs/>
                <w:kern w:val="0"/>
                <w:szCs w:val="21"/>
                <w:lang w:val="en-US" w:eastAsia="zh-CN"/>
              </w:rPr>
              <w:t>呈现形式不够全面的得2分，</w:t>
            </w:r>
            <w:r>
              <w:rPr>
                <w:rFonts w:hint="eastAsia" w:ascii="宋体" w:hAnsi="宋体" w:cs="宋体"/>
                <w:b w:val="0"/>
                <w:bCs/>
                <w:kern w:val="0"/>
                <w:szCs w:val="21"/>
              </w:rPr>
              <w:t>不提供</w:t>
            </w:r>
            <w:r>
              <w:rPr>
                <w:rFonts w:hint="eastAsia" w:ascii="宋体" w:hAnsi="宋体" w:cs="宋体"/>
                <w:b w:val="0"/>
                <w:bCs/>
                <w:kern w:val="0"/>
                <w:szCs w:val="21"/>
                <w:lang w:val="en-US" w:eastAsia="zh-CN"/>
              </w:rPr>
              <w:t>或不合理</w:t>
            </w:r>
            <w:r>
              <w:rPr>
                <w:rFonts w:hint="eastAsia" w:ascii="宋体" w:hAnsi="宋体" w:cs="宋体"/>
                <w:b w:val="0"/>
                <w:bCs/>
                <w:kern w:val="0"/>
                <w:szCs w:val="21"/>
              </w:rPr>
              <w:t>得</w:t>
            </w:r>
            <w:r>
              <w:rPr>
                <w:rFonts w:hint="eastAsia" w:ascii="宋体" w:hAnsi="宋体" w:cs="宋体"/>
                <w:b w:val="0"/>
                <w:bCs/>
                <w:kern w:val="0"/>
                <w:szCs w:val="21"/>
                <w:lang w:val="en-US" w:eastAsia="zh-CN"/>
              </w:rPr>
              <w:t>0</w:t>
            </w:r>
            <w:r>
              <w:rPr>
                <w:rFonts w:hint="eastAsia" w:ascii="宋体" w:hAnsi="宋体" w:cs="宋体"/>
                <w:b w:val="0"/>
                <w:bCs/>
                <w:kern w:val="0"/>
                <w:szCs w:val="21"/>
              </w:rPr>
              <w:t>分。</w:t>
            </w:r>
            <w:r>
              <w:rPr>
                <w:rFonts w:hint="eastAsia" w:ascii="宋体" w:hAnsi="宋体" w:cs="宋体"/>
                <w:b w:val="0"/>
                <w:bCs/>
                <w:kern w:val="0"/>
                <w:szCs w:val="21"/>
              </w:rPr>
              <w:cr/>
            </w:r>
            <w:r>
              <w:rPr>
                <w:rFonts w:hint="eastAsia" w:ascii="宋体" w:hAnsi="宋体" w:cs="宋体"/>
                <w:b w:val="0"/>
                <w:bCs/>
                <w:kern w:val="0"/>
                <w:szCs w:val="21"/>
              </w:rPr>
              <w:t>4.</w:t>
            </w:r>
            <w:r>
              <w:rPr>
                <w:rFonts w:hint="eastAsia" w:ascii="宋体" w:hAnsi="宋体" w:cs="宋体"/>
                <w:b w:val="0"/>
                <w:bCs/>
                <w:kern w:val="0"/>
                <w:szCs w:val="21"/>
                <w:lang w:val="en-US" w:eastAsia="zh-CN"/>
              </w:rPr>
              <w:t>方案</w:t>
            </w:r>
            <w:r>
              <w:rPr>
                <w:rFonts w:hint="eastAsia" w:ascii="宋体" w:hAnsi="宋体" w:cs="宋体"/>
                <w:b w:val="0"/>
                <w:bCs/>
                <w:kern w:val="0"/>
                <w:szCs w:val="21"/>
              </w:rPr>
              <w:t>能提供详细</w:t>
            </w:r>
            <w:r>
              <w:rPr>
                <w:rFonts w:hint="eastAsia" w:ascii="宋体" w:hAnsi="宋体" w:cs="宋体"/>
                <w:b w:val="0"/>
                <w:bCs/>
                <w:strike w:val="0"/>
                <w:kern w:val="0"/>
                <w:szCs w:val="21"/>
                <w:lang w:val="en-US" w:eastAsia="zh-CN"/>
              </w:rPr>
              <w:t>合理的</w:t>
            </w:r>
            <w:r>
              <w:rPr>
                <w:rFonts w:hint="eastAsia" w:ascii="宋体" w:hAnsi="宋体" w:cs="宋体"/>
                <w:b w:val="0"/>
                <w:bCs/>
                <w:kern w:val="0"/>
                <w:szCs w:val="21"/>
              </w:rPr>
              <w:t>软件设计脚本的得5分，</w:t>
            </w:r>
            <w:r>
              <w:rPr>
                <w:rFonts w:hint="eastAsia" w:ascii="宋体" w:hAnsi="宋体" w:cs="宋体"/>
                <w:b w:val="0"/>
                <w:bCs/>
                <w:kern w:val="0"/>
                <w:szCs w:val="21"/>
                <w:lang w:val="en-US" w:eastAsia="zh-CN"/>
              </w:rPr>
              <w:t>提供软件设计脚本不详细的得2分，</w:t>
            </w:r>
            <w:r>
              <w:rPr>
                <w:rFonts w:hint="eastAsia" w:ascii="宋体" w:hAnsi="宋体" w:cs="宋体"/>
                <w:b w:val="0"/>
                <w:bCs/>
                <w:kern w:val="0"/>
                <w:szCs w:val="21"/>
              </w:rPr>
              <w:t>不提供</w:t>
            </w:r>
            <w:r>
              <w:rPr>
                <w:rFonts w:hint="eastAsia" w:ascii="宋体" w:hAnsi="宋体" w:cs="宋体"/>
                <w:b w:val="0"/>
                <w:bCs/>
                <w:kern w:val="0"/>
                <w:szCs w:val="21"/>
                <w:lang w:val="en-US" w:eastAsia="zh-CN"/>
              </w:rPr>
              <w:t>或不合理的</w:t>
            </w:r>
            <w:r>
              <w:rPr>
                <w:rFonts w:hint="eastAsia" w:ascii="宋体" w:hAnsi="宋体" w:cs="宋体"/>
                <w:b w:val="0"/>
                <w:bCs/>
                <w:kern w:val="0"/>
                <w:szCs w:val="21"/>
              </w:rPr>
              <w:t>得</w:t>
            </w:r>
            <w:r>
              <w:rPr>
                <w:rFonts w:hint="eastAsia" w:ascii="宋体" w:hAnsi="宋体" w:cs="宋体"/>
                <w:b w:val="0"/>
                <w:bCs/>
                <w:kern w:val="0"/>
                <w:szCs w:val="21"/>
                <w:lang w:val="en-US" w:eastAsia="zh-CN"/>
              </w:rPr>
              <w:t>0</w:t>
            </w:r>
            <w:r>
              <w:rPr>
                <w:rFonts w:hint="eastAsia" w:ascii="宋体" w:hAnsi="宋体" w:cs="宋体"/>
                <w:b w:val="0"/>
                <w:bCs/>
                <w:kern w:val="0"/>
                <w:szCs w:val="21"/>
              </w:rPr>
              <w:t>分。</w:t>
            </w:r>
          </w:p>
        </w:tc>
        <w:tc>
          <w:tcPr>
            <w:tcW w:w="1048" w:type="dxa"/>
            <w:tcBorders>
              <w:top w:val="single" w:color="auto" w:sz="4" w:space="0"/>
              <w:bottom w:val="single" w:color="auto" w:sz="4" w:space="0"/>
            </w:tcBorders>
            <w:vAlign w:val="center"/>
          </w:tcPr>
          <w:p>
            <w:pPr>
              <w:spacing w:line="36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704" w:type="dxa"/>
            <w:tcBorders>
              <w:top w:val="single" w:color="auto" w:sz="4" w:space="0"/>
              <w:bottom w:val="single" w:color="auto" w:sz="4" w:space="0"/>
            </w:tcBorders>
            <w:vAlign w:val="center"/>
          </w:tcPr>
          <w:p>
            <w:pPr>
              <w:spacing w:line="360" w:lineRule="exact"/>
              <w:jc w:val="center"/>
              <w:rPr>
                <w:rFonts w:ascii="宋体" w:hAnsi="宋体" w:cs="宋体"/>
                <w:kern w:val="0"/>
                <w:szCs w:val="21"/>
              </w:rPr>
            </w:pPr>
            <w:r>
              <w:rPr>
                <w:rFonts w:hint="eastAsia" w:ascii="宋体" w:hAnsi="宋体" w:cs="宋体"/>
                <w:kern w:val="0"/>
                <w:szCs w:val="21"/>
              </w:rPr>
              <w:t>2</w:t>
            </w:r>
            <w:r>
              <w:rPr>
                <w:rFonts w:ascii="宋体" w:hAnsi="宋体" w:cs="宋体"/>
                <w:kern w:val="0"/>
                <w:szCs w:val="21"/>
              </w:rPr>
              <w:t>.3</w:t>
            </w:r>
          </w:p>
        </w:tc>
        <w:tc>
          <w:tcPr>
            <w:tcW w:w="1276" w:type="dxa"/>
            <w:tcBorders>
              <w:top w:val="single" w:color="auto" w:sz="4" w:space="0"/>
              <w:bottom w:val="single" w:color="auto" w:sz="4" w:space="0"/>
            </w:tcBorders>
            <w:vAlign w:val="center"/>
          </w:tcPr>
          <w:p>
            <w:pPr>
              <w:spacing w:line="360" w:lineRule="exact"/>
              <w:jc w:val="center"/>
            </w:pPr>
            <w:r>
              <w:rPr>
                <w:rFonts w:hint="eastAsia"/>
              </w:rPr>
              <w:t>技术演示</w:t>
            </w:r>
          </w:p>
          <w:p>
            <w:pPr>
              <w:pStyle w:val="4"/>
            </w:pPr>
            <w:r>
              <w:rPr>
                <w:rFonts w:hint="eastAsia" w:ascii="宋体" w:hAnsi="宋体" w:eastAsia="宋体" w:cs="宋体"/>
                <w:b w:val="0"/>
                <w:sz w:val="21"/>
                <w:szCs w:val="21"/>
                <w:highlight w:val="none"/>
              </w:rPr>
              <w:t>（疫情期间可</w:t>
            </w:r>
            <w:r>
              <w:rPr>
                <w:rFonts w:ascii="宋体" w:hAnsi="宋体" w:eastAsia="宋体" w:cs="宋体"/>
                <w:b w:val="0"/>
                <w:sz w:val="21"/>
                <w:szCs w:val="21"/>
                <w:highlight w:val="none"/>
              </w:rPr>
              <w:t>U盘提供</w:t>
            </w:r>
            <w:r>
              <w:rPr>
                <w:rFonts w:hint="eastAsia" w:ascii="宋体" w:hAnsi="宋体" w:eastAsia="宋体" w:cs="宋体"/>
                <w:b w:val="0"/>
                <w:sz w:val="21"/>
                <w:szCs w:val="21"/>
              </w:rPr>
              <w:t>D</w:t>
            </w:r>
            <w:r>
              <w:rPr>
                <w:rFonts w:ascii="宋体" w:hAnsi="宋体" w:eastAsia="宋体" w:cs="宋体"/>
                <w:b w:val="0"/>
                <w:sz w:val="21"/>
                <w:szCs w:val="21"/>
              </w:rPr>
              <w:t>emo</w:t>
            </w:r>
            <w:r>
              <w:rPr>
                <w:rFonts w:ascii="宋体" w:hAnsi="宋体" w:eastAsia="宋体" w:cs="宋体"/>
                <w:b w:val="0"/>
                <w:sz w:val="21"/>
                <w:szCs w:val="21"/>
                <w:highlight w:val="none"/>
              </w:rPr>
              <w:t>操作录屏）</w:t>
            </w:r>
          </w:p>
        </w:tc>
        <w:tc>
          <w:tcPr>
            <w:tcW w:w="5103" w:type="dxa"/>
            <w:tcBorders>
              <w:top w:val="single" w:color="auto" w:sz="4" w:space="0"/>
              <w:bottom w:val="single" w:color="auto" w:sz="4" w:space="0"/>
            </w:tcBorders>
          </w:tcPr>
          <w:p>
            <w:pPr>
              <w:spacing w:line="360" w:lineRule="exact"/>
              <w:rPr>
                <w:rFonts w:ascii="宋体" w:hAnsi="宋体" w:cs="宋体"/>
                <w:kern w:val="0"/>
                <w:szCs w:val="21"/>
              </w:rPr>
            </w:pPr>
            <w:r>
              <w:rPr>
                <w:rFonts w:hint="eastAsia" w:ascii="宋体" w:hAnsi="宋体" w:cs="宋体"/>
                <w:kern w:val="0"/>
                <w:szCs w:val="21"/>
              </w:rPr>
              <w:t>（1）演示虚拟仿真实验</w:t>
            </w:r>
            <w:r>
              <w:rPr>
                <w:rFonts w:hint="eastAsia" w:ascii="宋体" w:hAnsi="宋体" w:cs="宋体"/>
                <w:kern w:val="0"/>
                <w:szCs w:val="21"/>
                <w:lang w:val="en-US" w:eastAsia="zh-CN"/>
              </w:rPr>
              <w:t>平台</w:t>
            </w:r>
            <w:r>
              <w:rPr>
                <w:rFonts w:hint="eastAsia" w:ascii="宋体" w:hAnsi="宋体" w:cs="宋体"/>
                <w:kern w:val="0"/>
                <w:szCs w:val="21"/>
              </w:rPr>
              <w:t>的演示、学习和考核三种模式，并在不同模式之间无缝自由切换功能；演示功能</w:t>
            </w:r>
            <w:r>
              <w:rPr>
                <w:rFonts w:hint="eastAsia" w:ascii="宋体" w:hAnsi="宋体" w:cs="宋体"/>
                <w:kern w:val="0"/>
                <w:szCs w:val="21"/>
                <w:lang w:val="en-US" w:eastAsia="zh-CN"/>
              </w:rPr>
              <w:t>顺畅</w:t>
            </w:r>
            <w:r>
              <w:rPr>
                <w:rFonts w:hint="eastAsia" w:ascii="宋体" w:hAnsi="宋体" w:cs="宋体"/>
                <w:kern w:val="0"/>
                <w:szCs w:val="21"/>
              </w:rPr>
              <w:t>得2分，</w:t>
            </w:r>
            <w:r>
              <w:rPr>
                <w:rFonts w:hint="eastAsia" w:ascii="宋体" w:hAnsi="宋体" w:cs="宋体"/>
                <w:kern w:val="0"/>
                <w:szCs w:val="21"/>
                <w:lang w:val="en-US" w:eastAsia="zh-CN"/>
              </w:rPr>
              <w:t>演示有间断得1分，</w:t>
            </w:r>
            <w:r>
              <w:rPr>
                <w:rFonts w:hint="eastAsia" w:ascii="宋体" w:hAnsi="宋体" w:cs="宋体"/>
                <w:kern w:val="0"/>
                <w:szCs w:val="21"/>
              </w:rPr>
              <w:t>不演示得0分。</w:t>
            </w:r>
            <w:r>
              <w:rPr>
                <w:rFonts w:hint="eastAsia" w:ascii="宋体" w:hAnsi="宋体" w:cs="宋体"/>
                <w:kern w:val="0"/>
                <w:szCs w:val="21"/>
              </w:rPr>
              <w:br w:type="textWrapping"/>
            </w:r>
            <w:r>
              <w:rPr>
                <w:rFonts w:hint="eastAsia" w:ascii="宋体" w:hAnsi="宋体" w:cs="宋体"/>
                <w:kern w:val="0"/>
                <w:szCs w:val="21"/>
              </w:rPr>
              <w:t>（2）演示基体预处理、靶材预处理交互操作功能；演示功能符合</w:t>
            </w:r>
            <w:r>
              <w:rPr>
                <w:rFonts w:hint="eastAsia" w:ascii="宋体" w:hAnsi="宋体" w:cs="宋体"/>
                <w:kern w:val="0"/>
                <w:szCs w:val="21"/>
                <w:lang w:val="en-US" w:eastAsia="zh-CN"/>
              </w:rPr>
              <w:t>实际实验要求的每个</w:t>
            </w:r>
            <w:r>
              <w:rPr>
                <w:rFonts w:hint="eastAsia" w:ascii="宋体" w:hAnsi="宋体" w:cs="宋体"/>
                <w:kern w:val="0"/>
                <w:szCs w:val="21"/>
              </w:rPr>
              <w:t>得</w:t>
            </w:r>
            <w:r>
              <w:rPr>
                <w:rFonts w:hint="eastAsia" w:ascii="宋体" w:hAnsi="宋体" w:cs="宋体"/>
                <w:kern w:val="0"/>
                <w:szCs w:val="21"/>
                <w:lang w:val="en-US" w:eastAsia="zh-CN"/>
              </w:rPr>
              <w:t>2</w:t>
            </w:r>
            <w:r>
              <w:rPr>
                <w:rFonts w:hint="eastAsia" w:ascii="宋体" w:hAnsi="宋体" w:cs="宋体"/>
                <w:kern w:val="0"/>
                <w:szCs w:val="21"/>
              </w:rPr>
              <w:t>分，</w:t>
            </w:r>
            <w:r>
              <w:rPr>
                <w:rFonts w:hint="eastAsia" w:ascii="宋体" w:hAnsi="宋体" w:cs="宋体"/>
                <w:kern w:val="0"/>
                <w:szCs w:val="21"/>
                <w:lang w:val="en-US" w:eastAsia="zh-CN"/>
              </w:rPr>
              <w:t>演示偏离实验要求的每个得0.5分，</w:t>
            </w:r>
            <w:r>
              <w:rPr>
                <w:rFonts w:hint="eastAsia" w:ascii="宋体" w:hAnsi="宋体" w:cs="宋体"/>
                <w:kern w:val="0"/>
                <w:szCs w:val="21"/>
              </w:rPr>
              <w:t>不演示</w:t>
            </w:r>
            <w:r>
              <w:rPr>
                <w:rFonts w:hint="eastAsia" w:ascii="宋体" w:hAnsi="宋体" w:cs="宋体"/>
                <w:kern w:val="0"/>
                <w:szCs w:val="21"/>
                <w:lang w:val="en-US" w:eastAsia="zh-CN"/>
              </w:rPr>
              <w:t>或功能不全的</w:t>
            </w:r>
            <w:r>
              <w:rPr>
                <w:rFonts w:hint="eastAsia" w:ascii="宋体" w:hAnsi="宋体" w:cs="宋体"/>
                <w:kern w:val="0"/>
                <w:szCs w:val="21"/>
              </w:rPr>
              <w:t>得0分</w:t>
            </w:r>
            <w:r>
              <w:rPr>
                <w:rFonts w:hint="eastAsia" w:ascii="宋体" w:hAnsi="宋体" w:cs="宋体"/>
                <w:kern w:val="0"/>
                <w:szCs w:val="21"/>
                <w:lang w:eastAsia="zh-CN"/>
              </w:rPr>
              <w:t>（</w:t>
            </w:r>
            <w:r>
              <w:rPr>
                <w:rFonts w:hint="eastAsia" w:ascii="宋体" w:hAnsi="宋体" w:cs="宋体"/>
                <w:kern w:val="0"/>
                <w:szCs w:val="21"/>
                <w:lang w:val="en-US" w:eastAsia="zh-CN"/>
              </w:rPr>
              <w:t>最高得4分</w:t>
            </w:r>
            <w:r>
              <w:rPr>
                <w:rFonts w:hint="eastAsia" w:ascii="宋体" w:hAnsi="宋体" w:cs="宋体"/>
                <w:kern w:val="0"/>
                <w:szCs w:val="21"/>
                <w:lang w:eastAsia="zh-CN"/>
              </w:rPr>
              <w:t>）</w:t>
            </w:r>
            <w:r>
              <w:rPr>
                <w:rFonts w:hint="eastAsia" w:ascii="宋体" w:hAnsi="宋体" w:cs="宋体"/>
                <w:kern w:val="0"/>
                <w:szCs w:val="21"/>
              </w:rPr>
              <w:t>。</w:t>
            </w:r>
            <w:r>
              <w:rPr>
                <w:rFonts w:hint="eastAsia" w:ascii="宋体" w:hAnsi="宋体" w:cs="宋体"/>
                <w:kern w:val="0"/>
                <w:szCs w:val="21"/>
              </w:rPr>
              <w:br w:type="textWrapping"/>
            </w:r>
            <w:r>
              <w:rPr>
                <w:rFonts w:hint="eastAsia" w:ascii="宋体" w:hAnsi="宋体" w:cs="宋体"/>
                <w:kern w:val="0"/>
                <w:szCs w:val="21"/>
              </w:rPr>
              <w:t>（3）演示静态淋雨实验、动态淋雨实验交互操作功能；演示功能符合</w:t>
            </w:r>
            <w:r>
              <w:rPr>
                <w:rFonts w:hint="eastAsia" w:ascii="宋体" w:hAnsi="宋体" w:cs="宋体"/>
                <w:kern w:val="0"/>
                <w:szCs w:val="21"/>
                <w:lang w:val="en-US" w:eastAsia="zh-CN"/>
              </w:rPr>
              <w:t>实际实验要求的每个</w:t>
            </w:r>
            <w:r>
              <w:rPr>
                <w:rFonts w:hint="eastAsia" w:ascii="宋体" w:hAnsi="宋体" w:cs="宋体"/>
                <w:kern w:val="0"/>
                <w:szCs w:val="21"/>
              </w:rPr>
              <w:t>得</w:t>
            </w:r>
            <w:r>
              <w:rPr>
                <w:rFonts w:hint="eastAsia" w:ascii="宋体" w:hAnsi="宋体" w:cs="宋体"/>
                <w:kern w:val="0"/>
                <w:szCs w:val="21"/>
                <w:lang w:val="en-US" w:eastAsia="zh-CN"/>
              </w:rPr>
              <w:t>2</w:t>
            </w:r>
            <w:r>
              <w:rPr>
                <w:rFonts w:hint="eastAsia" w:ascii="宋体" w:hAnsi="宋体" w:cs="宋体"/>
                <w:kern w:val="0"/>
                <w:szCs w:val="21"/>
              </w:rPr>
              <w:t>分，</w:t>
            </w:r>
            <w:r>
              <w:rPr>
                <w:rFonts w:hint="eastAsia" w:ascii="宋体" w:hAnsi="宋体" w:cs="宋体"/>
                <w:kern w:val="0"/>
                <w:szCs w:val="21"/>
                <w:lang w:val="en-US" w:eastAsia="zh-CN"/>
              </w:rPr>
              <w:t>演示偏离实验要求的每个得0.5分，</w:t>
            </w:r>
            <w:r>
              <w:rPr>
                <w:rFonts w:hint="eastAsia" w:ascii="宋体" w:hAnsi="宋体" w:cs="宋体"/>
                <w:kern w:val="0"/>
                <w:szCs w:val="21"/>
              </w:rPr>
              <w:t>不演示得0分</w:t>
            </w:r>
            <w:r>
              <w:rPr>
                <w:rFonts w:hint="eastAsia" w:ascii="宋体" w:hAnsi="宋体" w:cs="宋体"/>
                <w:kern w:val="0"/>
                <w:szCs w:val="21"/>
                <w:lang w:eastAsia="zh-CN"/>
              </w:rPr>
              <w:t>（</w:t>
            </w:r>
            <w:r>
              <w:rPr>
                <w:rFonts w:hint="eastAsia" w:ascii="宋体" w:hAnsi="宋体" w:cs="宋体"/>
                <w:kern w:val="0"/>
                <w:szCs w:val="21"/>
                <w:lang w:val="en-US" w:eastAsia="zh-CN"/>
              </w:rPr>
              <w:t>最高得4分</w:t>
            </w:r>
            <w:r>
              <w:rPr>
                <w:rFonts w:hint="eastAsia" w:ascii="宋体" w:hAnsi="宋体" w:cs="宋体"/>
                <w:kern w:val="0"/>
                <w:szCs w:val="21"/>
                <w:lang w:eastAsia="zh-CN"/>
              </w:rPr>
              <w:t>）</w:t>
            </w:r>
            <w:r>
              <w:rPr>
                <w:rFonts w:hint="eastAsia" w:ascii="宋体" w:hAnsi="宋体" w:cs="宋体"/>
                <w:kern w:val="0"/>
                <w:szCs w:val="21"/>
              </w:rPr>
              <w:t>。</w:t>
            </w:r>
          </w:p>
        </w:tc>
        <w:tc>
          <w:tcPr>
            <w:tcW w:w="1048" w:type="dxa"/>
            <w:tcBorders>
              <w:top w:val="single" w:color="auto" w:sz="4" w:space="0"/>
              <w:bottom w:val="single" w:color="auto" w:sz="4" w:space="0"/>
            </w:tcBorders>
            <w:vAlign w:val="center"/>
          </w:tcPr>
          <w:p>
            <w:pPr>
              <w:spacing w:line="360" w:lineRule="exact"/>
              <w:jc w:val="center"/>
              <w:rPr>
                <w:rFonts w:ascii="宋体" w:hAnsi="宋体" w:cs="宋体"/>
                <w:kern w:val="0"/>
                <w:szCs w:val="21"/>
              </w:rPr>
            </w:pPr>
            <w:r>
              <w:rPr>
                <w:rFonts w:ascii="宋体" w:hAnsi="宋体" w:cs="宋体"/>
                <w:kern w:val="0"/>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rPr>
            </w:pPr>
            <w:r>
              <w:rPr>
                <w:rFonts w:hint="eastAsia" w:ascii="宋体" w:hAnsi="宋体" w:cs="宋体"/>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3.1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服务方案的评价</w:t>
            </w:r>
          </w:p>
        </w:tc>
        <w:tc>
          <w:tcPr>
            <w:tcW w:w="5103" w:type="dxa"/>
            <w:vAlign w:val="center"/>
          </w:tcPr>
          <w:p>
            <w:pPr>
              <w:kinsoku w:val="0"/>
              <w:overflowPunct w:val="0"/>
              <w:spacing w:before="88" w:after="120" w:line="360" w:lineRule="exact"/>
              <w:ind w:right="245"/>
              <w:jc w:val="left"/>
              <w:rPr>
                <w:rFonts w:ascii="宋体" w:hAnsi="宋体" w:cs="宋体"/>
                <w:szCs w:val="21"/>
              </w:rPr>
            </w:pPr>
            <w:r>
              <w:rPr>
                <w:rFonts w:hint="eastAsia" w:ascii="宋体" w:hAnsi="宋体" w:cs="宋体"/>
                <w:szCs w:val="21"/>
              </w:rPr>
              <w:t>依据供应商提供的本次招标采购软件到校后的安装调试方案的科学合理、完整、切实可行的得</w:t>
            </w:r>
            <w:r>
              <w:rPr>
                <w:rFonts w:ascii="宋体" w:hAnsi="宋体" w:cs="宋体"/>
                <w:szCs w:val="21"/>
              </w:rPr>
              <w:t>3</w:t>
            </w:r>
            <w:r>
              <w:rPr>
                <w:rFonts w:hint="eastAsia" w:ascii="宋体" w:hAnsi="宋体" w:cs="宋体"/>
                <w:szCs w:val="21"/>
              </w:rPr>
              <w:t>分，方案完整但科学合理及可行性欠缺的得</w:t>
            </w:r>
            <w:r>
              <w:rPr>
                <w:rFonts w:ascii="宋体" w:hAnsi="宋体" w:cs="宋体"/>
                <w:szCs w:val="21"/>
              </w:rPr>
              <w:t>2</w:t>
            </w:r>
            <w:r>
              <w:rPr>
                <w:rFonts w:hint="eastAsia" w:ascii="宋体" w:hAnsi="宋体" w:cs="宋体"/>
                <w:szCs w:val="21"/>
              </w:rPr>
              <w:t>分，方案不完整且科学合理及可行性欠缺的得1分，其他或未提供的不得分。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704"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2</w:t>
            </w:r>
          </w:p>
        </w:tc>
        <w:tc>
          <w:tcPr>
            <w:tcW w:w="1276" w:type="dxa"/>
            <w:vAlign w:val="center"/>
          </w:tcPr>
          <w:p>
            <w:pPr>
              <w:kinsoku w:val="0"/>
              <w:overflowPunct w:val="0"/>
              <w:spacing w:after="120" w:line="360" w:lineRule="exact"/>
              <w:ind w:left="337"/>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售后服务方案</w:t>
            </w:r>
          </w:p>
          <w:p>
            <w:pPr>
              <w:spacing w:line="360" w:lineRule="exact"/>
              <w:jc w:val="center"/>
              <w:rPr>
                <w:rFonts w:ascii="宋体" w:hAnsi="宋体" w:cs="宋体"/>
                <w:kern w:val="0"/>
                <w:szCs w:val="21"/>
              </w:rPr>
            </w:pPr>
          </w:p>
        </w:tc>
        <w:tc>
          <w:tcPr>
            <w:tcW w:w="5103" w:type="dxa"/>
            <w:vAlign w:val="center"/>
          </w:tcPr>
          <w:p>
            <w:pPr>
              <w:kinsoku w:val="0"/>
              <w:overflowPunct w:val="0"/>
              <w:spacing w:before="88" w:after="120" w:line="360" w:lineRule="exact"/>
              <w:jc w:val="left"/>
              <w:rPr>
                <w:rFonts w:ascii="宋体" w:hAnsi="宋体" w:cs="宋体"/>
                <w:szCs w:val="21"/>
              </w:rPr>
            </w:pPr>
            <w:r>
              <w:rPr>
                <w:rFonts w:hint="eastAsia" w:ascii="宋体" w:hAnsi="宋体" w:cs="宋体"/>
                <w:szCs w:val="21"/>
              </w:rPr>
              <w:t>投标人响应招标文件质保维保服务要求，并针对本次项目提供售后服务响应标准、备件体系、故障解决方案、专业技术人员保障等服务内容，内容科学合理、完整、切实可行的得</w:t>
            </w:r>
            <w:r>
              <w:rPr>
                <w:rFonts w:ascii="宋体" w:hAnsi="宋体" w:cs="宋体"/>
                <w:szCs w:val="21"/>
              </w:rPr>
              <w:t>3</w:t>
            </w:r>
            <w:r>
              <w:rPr>
                <w:rFonts w:hint="eastAsia" w:ascii="宋体" w:hAnsi="宋体" w:cs="宋体"/>
                <w:szCs w:val="21"/>
              </w:rPr>
              <w:t>分，内容完整但科学合理及可行性欠缺的得</w:t>
            </w:r>
            <w:r>
              <w:rPr>
                <w:rFonts w:ascii="宋体" w:hAnsi="宋体" w:cs="宋体"/>
                <w:szCs w:val="21"/>
              </w:rPr>
              <w:t>2</w:t>
            </w:r>
            <w:r>
              <w:rPr>
                <w:rFonts w:hint="eastAsia" w:ascii="宋体" w:hAnsi="宋体" w:cs="宋体"/>
                <w:szCs w:val="21"/>
              </w:rPr>
              <w:t>分，内容不完整且科学合理及可行性欠缺的得1分，其他或未提供的不得分。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rPr>
            </w:pPr>
          </w:p>
          <w:p>
            <w:pPr>
              <w:kinsoku w:val="0"/>
              <w:overflowPunct w:val="0"/>
              <w:spacing w:after="120" w:line="360" w:lineRule="exact"/>
              <w:ind w:left="213"/>
              <w:rPr>
                <w:rFonts w:ascii="宋体" w:hAnsi="宋体" w:cs="宋体"/>
                <w:szCs w:val="21"/>
              </w:rPr>
            </w:pPr>
            <w:r>
              <w:rPr>
                <w:rFonts w:hint="eastAsia" w:ascii="宋体" w:hAnsi="宋体" w:cs="宋体"/>
                <w:szCs w:val="21"/>
              </w:rPr>
              <w:t>4.1</w:t>
            </w:r>
          </w:p>
        </w:tc>
        <w:tc>
          <w:tcPr>
            <w:tcW w:w="1276" w:type="dxa"/>
          </w:tcPr>
          <w:p>
            <w:pPr>
              <w:kinsoku w:val="0"/>
              <w:overflowPunct w:val="0"/>
              <w:spacing w:after="120" w:line="360" w:lineRule="exact"/>
              <w:ind w:left="155" w:right="155"/>
              <w:jc w:val="center"/>
              <w:rPr>
                <w:rFonts w:ascii="宋体" w:hAnsi="宋体" w:cs="宋体"/>
                <w:szCs w:val="21"/>
              </w:rPr>
            </w:pPr>
          </w:p>
          <w:p>
            <w:pPr>
              <w:kinsoku w:val="0"/>
              <w:overflowPunct w:val="0"/>
              <w:spacing w:after="120" w:line="360" w:lineRule="exact"/>
              <w:ind w:left="155" w:right="155"/>
              <w:jc w:val="center"/>
              <w:rPr>
                <w:rFonts w:ascii="宋体" w:hAnsi="宋体" w:cs="宋体"/>
                <w:kern w:val="0"/>
                <w:szCs w:val="21"/>
              </w:rPr>
            </w:pPr>
            <w:r>
              <w:rPr>
                <w:rFonts w:hint="eastAsia" w:ascii="宋体" w:hAnsi="宋体" w:cs="宋体"/>
                <w:szCs w:val="21"/>
              </w:rPr>
              <w:t>业绩</w:t>
            </w:r>
          </w:p>
        </w:tc>
        <w:tc>
          <w:tcPr>
            <w:tcW w:w="5103" w:type="dxa"/>
          </w:tcPr>
          <w:p>
            <w:pPr>
              <w:kinsoku w:val="0"/>
              <w:overflowPunct w:val="0"/>
              <w:spacing w:before="88" w:after="120" w:line="360" w:lineRule="exact"/>
              <w:ind w:right="155"/>
            </w:pPr>
            <w:r>
              <w:rPr>
                <w:rFonts w:hint="eastAsia"/>
              </w:rPr>
              <w:t>提供2017年以来同类项目业绩（合同复印件或中标通知书）并被评为国家级虚拟仿真项目（国家级虚拟仿真一流课程）的，每份得1分（以国家虚拟仿真实验教学项目共享服务平台http://www.ilab-x.com/网站截图为准），最高得7分。投标时须提供合同原件备查。</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ascii="宋体" w:hAnsi="宋体" w:cs="宋体"/>
                <w:kern w:val="0"/>
                <w:szCs w:val="21"/>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704" w:type="dxa"/>
            <w:vAlign w:val="center"/>
          </w:tcPr>
          <w:p>
            <w:pPr>
              <w:kinsoku w:val="0"/>
              <w:overflowPunct w:val="0"/>
              <w:spacing w:after="120" w:line="360" w:lineRule="exact"/>
              <w:rPr>
                <w:rFonts w:ascii="宋体" w:hAnsi="宋体" w:cs="宋体"/>
                <w:szCs w:val="21"/>
              </w:rPr>
            </w:pPr>
          </w:p>
          <w:p>
            <w:pPr>
              <w:kinsoku w:val="0"/>
              <w:overflowPunct w:val="0"/>
              <w:spacing w:after="120" w:line="360" w:lineRule="exact"/>
              <w:ind w:left="213"/>
              <w:jc w:val="center"/>
              <w:rPr>
                <w:rFonts w:ascii="宋体" w:hAnsi="宋体" w:cs="宋体"/>
                <w:szCs w:val="21"/>
              </w:rPr>
            </w:pPr>
            <w:r>
              <w:rPr>
                <w:rFonts w:hint="eastAsia" w:ascii="宋体" w:hAnsi="宋体" w:cs="宋体"/>
                <w:szCs w:val="21"/>
              </w:rPr>
              <w:t>5.1</w:t>
            </w:r>
          </w:p>
          <w:p>
            <w:pPr>
              <w:spacing w:line="360" w:lineRule="exact"/>
              <w:jc w:val="center"/>
              <w:rPr>
                <w:rFonts w:ascii="宋体" w:hAnsi="宋体" w:cs="宋体"/>
                <w:kern w:val="0"/>
                <w:szCs w:val="21"/>
              </w:rPr>
            </w:pPr>
          </w:p>
        </w:tc>
        <w:tc>
          <w:tcPr>
            <w:tcW w:w="1276" w:type="dxa"/>
            <w:vAlign w:val="center"/>
          </w:tcPr>
          <w:p>
            <w:pPr>
              <w:spacing w:line="360" w:lineRule="exact"/>
              <w:jc w:val="center"/>
              <w:rPr>
                <w:rFonts w:ascii="宋体" w:hAnsi="宋体" w:cs="宋体"/>
                <w:kern w:val="0"/>
                <w:szCs w:val="21"/>
              </w:rPr>
            </w:pPr>
            <w:r>
              <w:rPr>
                <w:rFonts w:hint="eastAsia" w:ascii="宋体" w:hAnsi="宋体" w:cs="宋体"/>
                <w:szCs w:val="21"/>
              </w:rPr>
              <w:t>供应商企业资质</w:t>
            </w: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投标人提供国家高新技术企业证书、软件企业证书、AAA级企业信用等级证书、ISO9001质量管理体系证书、ISO环境管理体系证书各得1分，最多得5分。须提供证书原件备查，并将复印件附在响应文件中，否则不得分（复印件加盖单位公章）</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rPr>
            </w:pPr>
            <w:r>
              <w:rPr>
                <w:rFonts w:hint="eastAsia" w:ascii="宋体" w:hAnsi="宋体"/>
                <w:szCs w:val="21"/>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rPr>
            </w:pPr>
            <w:r>
              <w:rPr>
                <w:rFonts w:hint="eastAsia" w:ascii="宋体" w:hAnsi="宋体"/>
                <w:szCs w:val="21"/>
              </w:rPr>
              <w:t>6.1</w:t>
            </w:r>
          </w:p>
        </w:tc>
        <w:tc>
          <w:tcPr>
            <w:tcW w:w="1276" w:type="dxa"/>
            <w:vAlign w:val="center"/>
          </w:tcPr>
          <w:p>
            <w:pPr>
              <w:jc w:val="center"/>
              <w:rPr>
                <w:rFonts w:ascii="宋体" w:hAnsi="宋体"/>
                <w:szCs w:val="21"/>
              </w:rPr>
            </w:pPr>
            <w:r>
              <w:rPr>
                <w:rFonts w:hint="eastAsia" w:ascii="宋体" w:hAnsi="宋体"/>
                <w:szCs w:val="21"/>
              </w:rPr>
              <w:t>投标文件便于评审</w:t>
            </w:r>
          </w:p>
        </w:tc>
        <w:tc>
          <w:tcPr>
            <w:tcW w:w="5103" w:type="dxa"/>
            <w:vAlign w:val="center"/>
          </w:tcPr>
          <w:p>
            <w:pPr>
              <w:kinsoku w:val="0"/>
              <w:overflowPunct w:val="0"/>
              <w:spacing w:before="88" w:after="120" w:line="360" w:lineRule="exact"/>
              <w:ind w:right="155"/>
              <w:rPr>
                <w:rFonts w:ascii="宋体" w:hAnsi="宋体" w:cs="宋体"/>
                <w:szCs w:val="21"/>
              </w:rPr>
            </w:pPr>
            <w:r>
              <w:rPr>
                <w:rFonts w:hint="eastAsia" w:ascii="宋体" w:hAnsi="宋体" w:cs="宋体"/>
                <w:szCs w:val="21"/>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rPr>
            </w:pPr>
            <w:r>
              <w:rPr>
                <w:rFonts w:hint="eastAsia" w:ascii="宋体" w:hAnsi="宋体"/>
                <w:szCs w:val="21"/>
              </w:rPr>
              <w:t>2</w:t>
            </w:r>
          </w:p>
        </w:tc>
      </w:tr>
    </w:tbl>
    <w:p>
      <w:pPr>
        <w:ind w:firstLine="354" w:firstLineChars="147"/>
        <w:rPr>
          <w:rFonts w:hint="eastAsia" w:ascii="宋体" w:eastAsia="宋体"/>
          <w:b/>
          <w:bCs w:val="0"/>
          <w:sz w:val="24"/>
          <w:szCs w:val="24"/>
          <w:highlight w:val="none"/>
          <w:lang w:val="zh-CN"/>
        </w:rPr>
      </w:pPr>
      <w:r>
        <w:rPr>
          <w:rFonts w:hint="eastAsia" w:ascii="宋体" w:eastAsia="宋体"/>
          <w:b/>
          <w:bCs w:val="0"/>
          <w:sz w:val="24"/>
          <w:szCs w:val="24"/>
          <w:highlight w:val="none"/>
        </w:rPr>
        <w:t>（本部分内容由南京信息工程大学</w:t>
      </w:r>
      <w:r>
        <w:rPr>
          <w:rFonts w:hint="eastAsia" w:ascii="宋体" w:eastAsia="宋体"/>
          <w:b/>
          <w:bCs w:val="0"/>
          <w:sz w:val="24"/>
          <w:szCs w:val="24"/>
          <w:highlight w:val="none"/>
          <w:lang w:val="en-US" w:eastAsia="zh-CN"/>
        </w:rPr>
        <w:t>化学与材料学院</w:t>
      </w:r>
      <w:r>
        <w:rPr>
          <w:rFonts w:hint="eastAsia" w:ascii="宋体" w:eastAsia="宋体"/>
          <w:b/>
          <w:bCs w:val="0"/>
          <w:sz w:val="24"/>
          <w:szCs w:val="24"/>
          <w:highlight w:val="none"/>
        </w:rPr>
        <w:t>提供并负责）</w:t>
      </w:r>
    </w:p>
    <w:p>
      <w:pPr>
        <w:spacing w:line="360" w:lineRule="auto"/>
        <w:rPr>
          <w:b/>
          <w:sz w:val="28"/>
          <w:szCs w:val="28"/>
        </w:rPr>
      </w:pPr>
    </w:p>
    <w:p>
      <w:pPr>
        <w:spacing w:line="360" w:lineRule="auto"/>
        <w:rPr>
          <w:rFonts w:hint="eastAsia"/>
          <w:b/>
          <w:sz w:val="28"/>
          <w:szCs w:val="28"/>
        </w:rPr>
      </w:pPr>
    </w:p>
    <w:p>
      <w:pPr>
        <w:pStyle w:val="2"/>
        <w:rPr>
          <w:rFonts w:hint="eastAsia"/>
        </w:rPr>
      </w:pPr>
      <w:bookmarkStart w:id="11" w:name="_GoBack"/>
      <w:bookmarkEnd w:id="11"/>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10"/>
        <w:adjustRightInd w:val="0"/>
        <w:snapToGrid w:val="0"/>
        <w:spacing w:before="120" w:after="120" w:line="360" w:lineRule="auto"/>
        <w:ind w:firstLine="658"/>
        <w:rPr>
          <w:rFonts w:hAnsi="宋体"/>
          <w:sz w:val="28"/>
          <w:szCs w:val="28"/>
        </w:rPr>
      </w:pPr>
      <w:r>
        <w:rPr>
          <w:rFonts w:hint="eastAsia" w:hAnsi="宋体"/>
          <w:sz w:val="28"/>
          <w:szCs w:val="28"/>
        </w:rPr>
        <w:t>项目名称：</w:t>
      </w:r>
    </w:p>
    <w:p>
      <w:pPr>
        <w:pStyle w:val="10"/>
        <w:adjustRightInd w:val="0"/>
        <w:snapToGrid w:val="0"/>
        <w:spacing w:before="120" w:after="120" w:line="360" w:lineRule="auto"/>
        <w:ind w:firstLine="658"/>
        <w:rPr>
          <w:rFonts w:hAnsi="宋体"/>
          <w:sz w:val="28"/>
          <w:szCs w:val="28"/>
        </w:rPr>
      </w:pPr>
      <w:r>
        <w:rPr>
          <w:rFonts w:hint="eastAsia" w:hAnsi="宋体"/>
          <w:sz w:val="28"/>
          <w:szCs w:val="28"/>
        </w:rPr>
        <w:t>项目编号：</w:t>
      </w:r>
    </w:p>
    <w:p>
      <w:pPr>
        <w:pStyle w:val="10"/>
        <w:adjustRightInd w:val="0"/>
        <w:snapToGrid w:val="0"/>
        <w:spacing w:before="120" w:after="120" w:line="360" w:lineRule="auto"/>
        <w:ind w:firstLine="658"/>
        <w:rPr>
          <w:rFonts w:hAnsi="宋体"/>
          <w:sz w:val="28"/>
          <w:szCs w:val="28"/>
          <w:u w:val="single"/>
        </w:rPr>
      </w:pPr>
      <w:r>
        <w:rPr>
          <w:rFonts w:hint="eastAsia" w:hAnsi="宋体"/>
          <w:sz w:val="28"/>
          <w:szCs w:val="28"/>
        </w:rPr>
        <w:t>甲方：（买方）</w:t>
      </w:r>
      <w:r>
        <w:rPr>
          <w:rFonts w:hAnsi="宋体"/>
          <w:sz w:val="28"/>
          <w:szCs w:val="28"/>
        </w:rPr>
        <w:t>__________________</w:t>
      </w:r>
    </w:p>
    <w:p>
      <w:pPr>
        <w:pStyle w:val="10"/>
        <w:adjustRightInd w:val="0"/>
        <w:snapToGrid w:val="0"/>
        <w:spacing w:before="120" w:after="120" w:line="360" w:lineRule="auto"/>
        <w:ind w:firstLine="658"/>
        <w:rPr>
          <w:rFonts w:hAnsi="宋体"/>
          <w:sz w:val="28"/>
          <w:szCs w:val="28"/>
        </w:rPr>
      </w:pPr>
      <w:r>
        <w:rPr>
          <w:rFonts w:hint="eastAsia" w:hAnsi="宋体"/>
          <w:sz w:val="28"/>
          <w:szCs w:val="28"/>
        </w:rPr>
        <w:t>乙方：（卖方）</w:t>
      </w:r>
      <w:r>
        <w:rPr>
          <w:rFonts w:hAnsi="宋体"/>
          <w:sz w:val="28"/>
          <w:szCs w:val="28"/>
        </w:rPr>
        <w:t>__________________</w:t>
      </w:r>
    </w:p>
    <w:p>
      <w:pPr>
        <w:pStyle w:val="10"/>
        <w:adjustRightInd w:val="0"/>
        <w:snapToGrid w:val="0"/>
        <w:spacing w:before="120" w:after="120" w:line="360" w:lineRule="auto"/>
        <w:ind w:firstLine="658"/>
        <w:rPr>
          <w:rFonts w:hAnsi="宋体"/>
          <w:b/>
          <w:sz w:val="28"/>
          <w:szCs w:val="28"/>
        </w:rPr>
      </w:pPr>
      <w:r>
        <w:rPr>
          <w:rFonts w:hint="eastAsia" w:hAnsi="宋体"/>
          <w:sz w:val="28"/>
          <w:szCs w:val="28"/>
        </w:rPr>
        <w:t>甲、乙双方根据甲方项目采购谈判的结果，签署本合同。</w:t>
      </w:r>
    </w:p>
    <w:p>
      <w:pPr>
        <w:pStyle w:val="10"/>
        <w:adjustRightInd w:val="0"/>
        <w:snapToGrid w:val="0"/>
        <w:spacing w:before="120" w:after="120" w:line="360" w:lineRule="auto"/>
        <w:ind w:firstLine="660"/>
        <w:rPr>
          <w:rFonts w:hAnsi="宋体"/>
          <w:b/>
          <w:sz w:val="28"/>
          <w:szCs w:val="28"/>
        </w:rPr>
      </w:pPr>
      <w:r>
        <w:rPr>
          <w:rFonts w:hint="eastAsia" w:hAnsi="宋体"/>
          <w:b/>
          <w:sz w:val="28"/>
          <w:szCs w:val="28"/>
        </w:rPr>
        <w:t>一、货物内容</w:t>
      </w:r>
    </w:p>
    <w:tbl>
      <w:tblPr>
        <w:tblStyle w:val="17"/>
        <w:tblpPr w:leftFromText="180" w:rightFromText="180" w:vertAnchor="text" w:horzAnchor="page" w:tblpX="1068" w:tblpY="698"/>
        <w:tblOverlap w:val="never"/>
        <w:tblW w:w="10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006"/>
        <w:gridCol w:w="1314"/>
        <w:gridCol w:w="116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8"/>
                <w:szCs w:val="28"/>
              </w:rPr>
            </w:pPr>
            <w:r>
              <w:rPr>
                <w:rFonts w:hint="eastAsia" w:ascii="宋体" w:hAnsi="宋体"/>
                <w:b/>
                <w:sz w:val="28"/>
                <w:szCs w:val="28"/>
              </w:rPr>
              <w:t>分包号</w:t>
            </w:r>
          </w:p>
        </w:tc>
        <w:tc>
          <w:tcPr>
            <w:tcW w:w="11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115" w:type="dxa"/>
            <w:vAlign w:val="center"/>
          </w:tcPr>
          <w:p>
            <w:pPr>
              <w:spacing w:line="360" w:lineRule="auto"/>
              <w:jc w:val="center"/>
              <w:rPr>
                <w:rFonts w:ascii="宋体"/>
                <w:b/>
                <w:sz w:val="28"/>
                <w:szCs w:val="28"/>
              </w:rPr>
            </w:pPr>
            <w:r>
              <w:rPr>
                <w:rFonts w:hint="eastAsia" w:ascii="宋体" w:hAnsi="宋体"/>
                <w:b/>
                <w:sz w:val="28"/>
                <w:szCs w:val="28"/>
              </w:rPr>
              <w:t>型号</w:t>
            </w:r>
            <w:r>
              <w:rPr>
                <w:rFonts w:ascii="宋体" w:hAnsi="宋体"/>
                <w:b/>
                <w:sz w:val="28"/>
                <w:szCs w:val="28"/>
              </w:rPr>
              <w:t>/</w:t>
            </w:r>
          </w:p>
          <w:p>
            <w:pPr>
              <w:spacing w:line="360" w:lineRule="auto"/>
              <w:jc w:val="center"/>
              <w:rPr>
                <w:rFonts w:ascii="宋体"/>
                <w:b/>
                <w:sz w:val="28"/>
                <w:szCs w:val="28"/>
              </w:rPr>
            </w:pPr>
            <w:r>
              <w:rPr>
                <w:rFonts w:hint="eastAsia" w:ascii="宋体" w:hAnsi="宋体"/>
                <w:b/>
                <w:sz w:val="28"/>
                <w:szCs w:val="28"/>
              </w:rPr>
              <w:t>规格</w:t>
            </w:r>
          </w:p>
        </w:tc>
        <w:tc>
          <w:tcPr>
            <w:tcW w:w="1160" w:type="dxa"/>
            <w:vAlign w:val="center"/>
          </w:tcPr>
          <w:p>
            <w:pPr>
              <w:spacing w:line="360" w:lineRule="auto"/>
              <w:jc w:val="center"/>
              <w:rPr>
                <w:rFonts w:ascii="宋体"/>
                <w:b/>
                <w:sz w:val="28"/>
                <w:szCs w:val="28"/>
              </w:rPr>
            </w:pPr>
            <w:r>
              <w:rPr>
                <w:rFonts w:hint="eastAsia" w:ascii="宋体" w:hAnsi="宋体"/>
                <w:b/>
                <w:sz w:val="28"/>
                <w:szCs w:val="28"/>
              </w:rPr>
              <w:t>品牌</w:t>
            </w:r>
            <w:r>
              <w:rPr>
                <w:rFonts w:ascii="宋体" w:hAnsi="宋体"/>
                <w:b/>
                <w:sz w:val="28"/>
                <w:szCs w:val="28"/>
              </w:rPr>
              <w:t>/</w:t>
            </w:r>
            <w:r>
              <w:rPr>
                <w:rFonts w:hint="eastAsia" w:ascii="宋体" w:hAnsi="宋体"/>
                <w:b/>
                <w:sz w:val="28"/>
                <w:szCs w:val="28"/>
              </w:rPr>
              <w:t>生产厂家</w:t>
            </w:r>
            <w:r>
              <w:rPr>
                <w:rFonts w:ascii="宋体" w:hAnsi="宋体"/>
                <w:b/>
                <w:sz w:val="28"/>
                <w:szCs w:val="28"/>
              </w:rPr>
              <w:t>/</w:t>
            </w:r>
            <w:r>
              <w:rPr>
                <w:rFonts w:hint="eastAsia" w:ascii="宋体" w:hAnsi="宋体"/>
                <w:b/>
                <w:sz w:val="28"/>
                <w:szCs w:val="28"/>
              </w:rPr>
              <w:t>国别</w:t>
            </w:r>
          </w:p>
        </w:tc>
        <w:tc>
          <w:tcPr>
            <w:tcW w:w="1160"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06"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314"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162"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924" w:type="dxa"/>
            <w:vAlign w:val="center"/>
          </w:tcPr>
          <w:p>
            <w:pPr>
              <w:spacing w:line="360" w:lineRule="auto"/>
              <w:jc w:val="center"/>
              <w:rPr>
                <w:rFonts w:ascii="宋体"/>
                <w:b/>
                <w:sz w:val="28"/>
                <w:szCs w:val="28"/>
              </w:rPr>
            </w:pPr>
            <w:r>
              <w:rPr>
                <w:rFonts w:hint="eastAsia" w:ascii="宋体" w:hAnsi="宋体"/>
                <w:b/>
                <w:sz w:val="28"/>
                <w:szCs w:val="28"/>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8"/>
                <w:szCs w:val="28"/>
              </w:rPr>
            </w:pPr>
          </w:p>
        </w:tc>
        <w:tc>
          <w:tcPr>
            <w:tcW w:w="1165" w:type="dxa"/>
            <w:vAlign w:val="center"/>
          </w:tcPr>
          <w:p>
            <w:pPr>
              <w:spacing w:line="360" w:lineRule="auto"/>
              <w:jc w:val="center"/>
              <w:rPr>
                <w:rFonts w:ascii="宋体"/>
                <w:sz w:val="28"/>
                <w:szCs w:val="28"/>
              </w:rPr>
            </w:pPr>
          </w:p>
        </w:tc>
        <w:tc>
          <w:tcPr>
            <w:tcW w:w="1115" w:type="dxa"/>
          </w:tcPr>
          <w:p>
            <w:pPr>
              <w:spacing w:line="360" w:lineRule="auto"/>
              <w:jc w:val="center"/>
              <w:rPr>
                <w:rFonts w:ascii="宋体"/>
                <w:sz w:val="28"/>
                <w:szCs w:val="28"/>
              </w:rPr>
            </w:pPr>
          </w:p>
        </w:tc>
        <w:tc>
          <w:tcPr>
            <w:tcW w:w="1160" w:type="dxa"/>
            <w:vAlign w:val="center"/>
          </w:tcPr>
          <w:p>
            <w:pPr>
              <w:spacing w:line="360" w:lineRule="auto"/>
              <w:jc w:val="center"/>
              <w:rPr>
                <w:rFonts w:ascii="宋体"/>
                <w:sz w:val="28"/>
                <w:szCs w:val="28"/>
              </w:rPr>
            </w:pPr>
          </w:p>
        </w:tc>
        <w:tc>
          <w:tcPr>
            <w:tcW w:w="1160" w:type="dxa"/>
            <w:vAlign w:val="center"/>
          </w:tcPr>
          <w:p>
            <w:pPr>
              <w:spacing w:line="360" w:lineRule="auto"/>
              <w:jc w:val="center"/>
              <w:rPr>
                <w:rFonts w:ascii="宋体"/>
                <w:sz w:val="28"/>
                <w:szCs w:val="28"/>
              </w:rPr>
            </w:pPr>
          </w:p>
        </w:tc>
        <w:tc>
          <w:tcPr>
            <w:tcW w:w="1006" w:type="dxa"/>
            <w:vAlign w:val="center"/>
          </w:tcPr>
          <w:p>
            <w:pPr>
              <w:spacing w:line="360" w:lineRule="auto"/>
              <w:jc w:val="center"/>
              <w:rPr>
                <w:rFonts w:ascii="宋体"/>
                <w:sz w:val="28"/>
                <w:szCs w:val="28"/>
              </w:rPr>
            </w:pPr>
          </w:p>
        </w:tc>
        <w:tc>
          <w:tcPr>
            <w:tcW w:w="1314" w:type="dxa"/>
            <w:vAlign w:val="center"/>
          </w:tcPr>
          <w:p>
            <w:pPr>
              <w:spacing w:line="360" w:lineRule="auto"/>
              <w:jc w:val="center"/>
              <w:rPr>
                <w:rFonts w:ascii="宋体"/>
                <w:sz w:val="28"/>
                <w:szCs w:val="28"/>
              </w:rPr>
            </w:pPr>
          </w:p>
        </w:tc>
        <w:tc>
          <w:tcPr>
            <w:tcW w:w="1162" w:type="dxa"/>
            <w:vAlign w:val="center"/>
          </w:tcPr>
          <w:p>
            <w:pPr>
              <w:spacing w:line="360" w:lineRule="auto"/>
              <w:jc w:val="center"/>
              <w:rPr>
                <w:rFonts w:ascii="宋体"/>
                <w:sz w:val="28"/>
                <w:szCs w:val="28"/>
              </w:rPr>
            </w:pPr>
          </w:p>
        </w:tc>
        <w:tc>
          <w:tcPr>
            <w:tcW w:w="924"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8"/>
                <w:szCs w:val="28"/>
              </w:rPr>
            </w:pPr>
          </w:p>
        </w:tc>
        <w:tc>
          <w:tcPr>
            <w:tcW w:w="1165" w:type="dxa"/>
            <w:vAlign w:val="center"/>
          </w:tcPr>
          <w:p>
            <w:pPr>
              <w:spacing w:line="360" w:lineRule="auto"/>
              <w:jc w:val="center"/>
              <w:rPr>
                <w:rFonts w:ascii="宋体"/>
                <w:sz w:val="28"/>
                <w:szCs w:val="28"/>
              </w:rPr>
            </w:pPr>
          </w:p>
        </w:tc>
        <w:tc>
          <w:tcPr>
            <w:tcW w:w="1115" w:type="dxa"/>
          </w:tcPr>
          <w:p>
            <w:pPr>
              <w:spacing w:line="360" w:lineRule="auto"/>
              <w:jc w:val="center"/>
              <w:rPr>
                <w:rFonts w:ascii="宋体"/>
                <w:sz w:val="28"/>
                <w:szCs w:val="28"/>
              </w:rPr>
            </w:pPr>
          </w:p>
        </w:tc>
        <w:tc>
          <w:tcPr>
            <w:tcW w:w="1160" w:type="dxa"/>
            <w:vAlign w:val="center"/>
          </w:tcPr>
          <w:p>
            <w:pPr>
              <w:spacing w:line="360" w:lineRule="auto"/>
              <w:jc w:val="center"/>
              <w:rPr>
                <w:rFonts w:ascii="宋体"/>
                <w:sz w:val="28"/>
                <w:szCs w:val="28"/>
              </w:rPr>
            </w:pPr>
          </w:p>
        </w:tc>
        <w:tc>
          <w:tcPr>
            <w:tcW w:w="1160" w:type="dxa"/>
            <w:vAlign w:val="center"/>
          </w:tcPr>
          <w:p>
            <w:pPr>
              <w:spacing w:line="360" w:lineRule="auto"/>
              <w:jc w:val="center"/>
              <w:rPr>
                <w:rFonts w:ascii="宋体"/>
                <w:sz w:val="28"/>
                <w:szCs w:val="28"/>
              </w:rPr>
            </w:pPr>
          </w:p>
        </w:tc>
        <w:tc>
          <w:tcPr>
            <w:tcW w:w="1006" w:type="dxa"/>
            <w:vAlign w:val="center"/>
          </w:tcPr>
          <w:p>
            <w:pPr>
              <w:spacing w:line="360" w:lineRule="auto"/>
              <w:jc w:val="center"/>
              <w:rPr>
                <w:rFonts w:ascii="宋体"/>
                <w:sz w:val="28"/>
                <w:szCs w:val="28"/>
              </w:rPr>
            </w:pPr>
          </w:p>
        </w:tc>
        <w:tc>
          <w:tcPr>
            <w:tcW w:w="1314" w:type="dxa"/>
            <w:vAlign w:val="center"/>
          </w:tcPr>
          <w:p>
            <w:pPr>
              <w:spacing w:line="360" w:lineRule="auto"/>
              <w:jc w:val="center"/>
              <w:rPr>
                <w:rFonts w:ascii="宋体"/>
                <w:sz w:val="28"/>
                <w:szCs w:val="28"/>
              </w:rPr>
            </w:pPr>
          </w:p>
        </w:tc>
        <w:tc>
          <w:tcPr>
            <w:tcW w:w="1162" w:type="dxa"/>
            <w:vAlign w:val="center"/>
          </w:tcPr>
          <w:p>
            <w:pPr>
              <w:spacing w:line="360" w:lineRule="auto"/>
              <w:jc w:val="center"/>
              <w:rPr>
                <w:rFonts w:ascii="宋体"/>
                <w:sz w:val="28"/>
                <w:szCs w:val="28"/>
              </w:rPr>
            </w:pPr>
          </w:p>
        </w:tc>
        <w:tc>
          <w:tcPr>
            <w:tcW w:w="924"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8"/>
                <w:szCs w:val="28"/>
              </w:rPr>
            </w:pPr>
          </w:p>
        </w:tc>
        <w:tc>
          <w:tcPr>
            <w:tcW w:w="1165" w:type="dxa"/>
            <w:vAlign w:val="center"/>
          </w:tcPr>
          <w:p>
            <w:pPr>
              <w:spacing w:line="360" w:lineRule="auto"/>
              <w:jc w:val="center"/>
              <w:rPr>
                <w:rFonts w:ascii="宋体"/>
                <w:sz w:val="28"/>
                <w:szCs w:val="28"/>
              </w:rPr>
            </w:pPr>
          </w:p>
        </w:tc>
        <w:tc>
          <w:tcPr>
            <w:tcW w:w="1115" w:type="dxa"/>
          </w:tcPr>
          <w:p>
            <w:pPr>
              <w:spacing w:line="360" w:lineRule="auto"/>
              <w:jc w:val="center"/>
              <w:rPr>
                <w:rFonts w:ascii="宋体"/>
                <w:sz w:val="28"/>
                <w:szCs w:val="28"/>
              </w:rPr>
            </w:pPr>
          </w:p>
        </w:tc>
        <w:tc>
          <w:tcPr>
            <w:tcW w:w="1160" w:type="dxa"/>
            <w:vAlign w:val="center"/>
          </w:tcPr>
          <w:p>
            <w:pPr>
              <w:spacing w:line="360" w:lineRule="auto"/>
              <w:jc w:val="center"/>
              <w:rPr>
                <w:rFonts w:ascii="宋体"/>
                <w:sz w:val="28"/>
                <w:szCs w:val="28"/>
              </w:rPr>
            </w:pPr>
          </w:p>
        </w:tc>
        <w:tc>
          <w:tcPr>
            <w:tcW w:w="1160" w:type="dxa"/>
            <w:vAlign w:val="center"/>
          </w:tcPr>
          <w:p>
            <w:pPr>
              <w:spacing w:line="360" w:lineRule="auto"/>
              <w:jc w:val="center"/>
              <w:rPr>
                <w:rFonts w:ascii="宋体"/>
                <w:sz w:val="28"/>
                <w:szCs w:val="28"/>
              </w:rPr>
            </w:pPr>
          </w:p>
        </w:tc>
        <w:tc>
          <w:tcPr>
            <w:tcW w:w="1006" w:type="dxa"/>
            <w:vAlign w:val="center"/>
          </w:tcPr>
          <w:p>
            <w:pPr>
              <w:spacing w:line="360" w:lineRule="auto"/>
              <w:jc w:val="center"/>
              <w:rPr>
                <w:rFonts w:ascii="宋体"/>
                <w:sz w:val="28"/>
                <w:szCs w:val="28"/>
              </w:rPr>
            </w:pPr>
          </w:p>
        </w:tc>
        <w:tc>
          <w:tcPr>
            <w:tcW w:w="1314" w:type="dxa"/>
            <w:vAlign w:val="center"/>
          </w:tcPr>
          <w:p>
            <w:pPr>
              <w:spacing w:line="360" w:lineRule="auto"/>
              <w:jc w:val="center"/>
              <w:rPr>
                <w:rFonts w:ascii="宋体"/>
                <w:sz w:val="28"/>
                <w:szCs w:val="28"/>
              </w:rPr>
            </w:pPr>
          </w:p>
        </w:tc>
        <w:tc>
          <w:tcPr>
            <w:tcW w:w="1162" w:type="dxa"/>
            <w:vAlign w:val="center"/>
          </w:tcPr>
          <w:p>
            <w:pPr>
              <w:spacing w:line="360" w:lineRule="auto"/>
              <w:jc w:val="center"/>
              <w:rPr>
                <w:rFonts w:ascii="宋体"/>
                <w:sz w:val="28"/>
                <w:szCs w:val="28"/>
              </w:rPr>
            </w:pPr>
          </w:p>
        </w:tc>
        <w:tc>
          <w:tcPr>
            <w:tcW w:w="924"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8"/>
                <w:szCs w:val="28"/>
              </w:rPr>
            </w:pPr>
          </w:p>
        </w:tc>
        <w:tc>
          <w:tcPr>
            <w:tcW w:w="1165" w:type="dxa"/>
            <w:vAlign w:val="center"/>
          </w:tcPr>
          <w:p>
            <w:pPr>
              <w:spacing w:line="360" w:lineRule="auto"/>
              <w:jc w:val="center"/>
              <w:rPr>
                <w:rFonts w:ascii="宋体"/>
                <w:sz w:val="28"/>
                <w:szCs w:val="28"/>
              </w:rPr>
            </w:pPr>
          </w:p>
        </w:tc>
        <w:tc>
          <w:tcPr>
            <w:tcW w:w="1115" w:type="dxa"/>
          </w:tcPr>
          <w:p>
            <w:pPr>
              <w:spacing w:line="360" w:lineRule="auto"/>
              <w:jc w:val="center"/>
              <w:rPr>
                <w:rFonts w:ascii="宋体"/>
                <w:sz w:val="28"/>
                <w:szCs w:val="28"/>
              </w:rPr>
            </w:pPr>
          </w:p>
        </w:tc>
        <w:tc>
          <w:tcPr>
            <w:tcW w:w="1160" w:type="dxa"/>
            <w:vAlign w:val="center"/>
          </w:tcPr>
          <w:p>
            <w:pPr>
              <w:spacing w:line="360" w:lineRule="auto"/>
              <w:jc w:val="center"/>
              <w:rPr>
                <w:rFonts w:ascii="宋体"/>
                <w:sz w:val="28"/>
                <w:szCs w:val="28"/>
              </w:rPr>
            </w:pPr>
          </w:p>
        </w:tc>
        <w:tc>
          <w:tcPr>
            <w:tcW w:w="1160" w:type="dxa"/>
            <w:vAlign w:val="center"/>
          </w:tcPr>
          <w:p>
            <w:pPr>
              <w:spacing w:line="360" w:lineRule="auto"/>
              <w:jc w:val="center"/>
              <w:rPr>
                <w:rFonts w:ascii="宋体"/>
                <w:sz w:val="28"/>
                <w:szCs w:val="28"/>
              </w:rPr>
            </w:pPr>
          </w:p>
        </w:tc>
        <w:tc>
          <w:tcPr>
            <w:tcW w:w="1006" w:type="dxa"/>
            <w:vAlign w:val="center"/>
          </w:tcPr>
          <w:p>
            <w:pPr>
              <w:spacing w:line="360" w:lineRule="auto"/>
              <w:jc w:val="center"/>
              <w:rPr>
                <w:rFonts w:ascii="宋体"/>
                <w:sz w:val="28"/>
                <w:szCs w:val="28"/>
              </w:rPr>
            </w:pPr>
          </w:p>
        </w:tc>
        <w:tc>
          <w:tcPr>
            <w:tcW w:w="1314" w:type="dxa"/>
            <w:vAlign w:val="center"/>
          </w:tcPr>
          <w:p>
            <w:pPr>
              <w:spacing w:line="360" w:lineRule="auto"/>
              <w:jc w:val="center"/>
              <w:rPr>
                <w:rFonts w:ascii="宋体"/>
                <w:sz w:val="28"/>
                <w:szCs w:val="28"/>
              </w:rPr>
            </w:pPr>
          </w:p>
        </w:tc>
        <w:tc>
          <w:tcPr>
            <w:tcW w:w="1162" w:type="dxa"/>
            <w:vAlign w:val="center"/>
          </w:tcPr>
          <w:p>
            <w:pPr>
              <w:spacing w:line="360" w:lineRule="auto"/>
              <w:jc w:val="center"/>
              <w:rPr>
                <w:rFonts w:ascii="宋体"/>
                <w:sz w:val="28"/>
                <w:szCs w:val="28"/>
              </w:rPr>
            </w:pPr>
          </w:p>
        </w:tc>
        <w:tc>
          <w:tcPr>
            <w:tcW w:w="924"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8"/>
                <w:szCs w:val="28"/>
              </w:rPr>
            </w:pPr>
          </w:p>
        </w:tc>
        <w:tc>
          <w:tcPr>
            <w:tcW w:w="1165" w:type="dxa"/>
            <w:vAlign w:val="center"/>
          </w:tcPr>
          <w:p>
            <w:pPr>
              <w:spacing w:line="360" w:lineRule="auto"/>
              <w:jc w:val="center"/>
              <w:rPr>
                <w:rFonts w:ascii="宋体"/>
                <w:sz w:val="28"/>
                <w:szCs w:val="28"/>
              </w:rPr>
            </w:pPr>
          </w:p>
        </w:tc>
        <w:tc>
          <w:tcPr>
            <w:tcW w:w="1115" w:type="dxa"/>
          </w:tcPr>
          <w:p>
            <w:pPr>
              <w:spacing w:line="360" w:lineRule="auto"/>
              <w:jc w:val="center"/>
              <w:rPr>
                <w:rFonts w:ascii="宋体"/>
                <w:sz w:val="28"/>
                <w:szCs w:val="28"/>
              </w:rPr>
            </w:pPr>
          </w:p>
        </w:tc>
        <w:tc>
          <w:tcPr>
            <w:tcW w:w="1160" w:type="dxa"/>
            <w:vAlign w:val="center"/>
          </w:tcPr>
          <w:p>
            <w:pPr>
              <w:spacing w:line="360" w:lineRule="auto"/>
              <w:jc w:val="center"/>
              <w:rPr>
                <w:rFonts w:ascii="宋体"/>
                <w:sz w:val="28"/>
                <w:szCs w:val="28"/>
              </w:rPr>
            </w:pPr>
          </w:p>
        </w:tc>
        <w:tc>
          <w:tcPr>
            <w:tcW w:w="1160" w:type="dxa"/>
            <w:vAlign w:val="center"/>
          </w:tcPr>
          <w:p>
            <w:pPr>
              <w:spacing w:line="360" w:lineRule="auto"/>
              <w:jc w:val="center"/>
              <w:rPr>
                <w:rFonts w:ascii="宋体"/>
                <w:sz w:val="28"/>
                <w:szCs w:val="28"/>
              </w:rPr>
            </w:pPr>
          </w:p>
        </w:tc>
        <w:tc>
          <w:tcPr>
            <w:tcW w:w="1006" w:type="dxa"/>
            <w:vAlign w:val="center"/>
          </w:tcPr>
          <w:p>
            <w:pPr>
              <w:spacing w:line="360" w:lineRule="auto"/>
              <w:jc w:val="center"/>
              <w:rPr>
                <w:rFonts w:ascii="宋体"/>
                <w:sz w:val="28"/>
                <w:szCs w:val="28"/>
              </w:rPr>
            </w:pPr>
          </w:p>
        </w:tc>
        <w:tc>
          <w:tcPr>
            <w:tcW w:w="1314" w:type="dxa"/>
            <w:vAlign w:val="center"/>
          </w:tcPr>
          <w:p>
            <w:pPr>
              <w:spacing w:line="360" w:lineRule="auto"/>
              <w:jc w:val="center"/>
              <w:rPr>
                <w:rFonts w:ascii="宋体"/>
                <w:sz w:val="28"/>
                <w:szCs w:val="28"/>
              </w:rPr>
            </w:pPr>
          </w:p>
        </w:tc>
        <w:tc>
          <w:tcPr>
            <w:tcW w:w="1162" w:type="dxa"/>
            <w:vAlign w:val="center"/>
          </w:tcPr>
          <w:p>
            <w:pPr>
              <w:spacing w:line="360" w:lineRule="auto"/>
              <w:jc w:val="center"/>
              <w:rPr>
                <w:rFonts w:ascii="宋体"/>
                <w:sz w:val="28"/>
                <w:szCs w:val="28"/>
              </w:rPr>
            </w:pPr>
          </w:p>
        </w:tc>
        <w:tc>
          <w:tcPr>
            <w:tcW w:w="924"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7841" w:type="dxa"/>
            <w:gridSpan w:val="7"/>
            <w:vAlign w:val="center"/>
          </w:tcPr>
          <w:p>
            <w:pPr>
              <w:spacing w:line="360" w:lineRule="auto"/>
              <w:rPr>
                <w:rFonts w:ascii="宋体"/>
                <w:sz w:val="28"/>
                <w:szCs w:val="28"/>
                <w:u w:val="single"/>
              </w:rPr>
            </w:pPr>
            <w:r>
              <w:rPr>
                <w:rFonts w:hint="eastAsia" w:ascii="宋体" w:hAnsi="宋体"/>
                <w:sz w:val="28"/>
                <w:szCs w:val="28"/>
              </w:rPr>
              <w:t>大写：      小写：      元</w:t>
            </w:r>
          </w:p>
        </w:tc>
      </w:tr>
    </w:tbl>
    <w:p>
      <w:pPr>
        <w:pStyle w:val="10"/>
        <w:adjustRightInd w:val="0"/>
        <w:snapToGrid w:val="0"/>
        <w:spacing w:before="120" w:after="120" w:line="360" w:lineRule="auto"/>
        <w:ind w:firstLine="660"/>
        <w:rPr>
          <w:rFonts w:hAnsi="宋体"/>
          <w:b/>
          <w:sz w:val="28"/>
          <w:szCs w:val="28"/>
        </w:rPr>
      </w:pPr>
      <w:r>
        <w:rPr>
          <w:rFonts w:hint="eastAsia" w:hAnsi="宋体"/>
          <w:b/>
          <w:sz w:val="28"/>
          <w:szCs w:val="28"/>
        </w:rPr>
        <w:t>二、合同金额</w:t>
      </w:r>
    </w:p>
    <w:p>
      <w:pPr>
        <w:pStyle w:val="10"/>
        <w:adjustRightInd w:val="0"/>
        <w:snapToGrid w:val="0"/>
        <w:spacing w:before="120" w:after="120" w:line="360" w:lineRule="auto"/>
        <w:ind w:left="48" w:firstLine="658"/>
        <w:rPr>
          <w:rFonts w:hAnsi="宋体"/>
          <w:sz w:val="28"/>
          <w:szCs w:val="28"/>
        </w:rPr>
      </w:pPr>
      <w:r>
        <w:rPr>
          <w:rFonts w:hAnsi="宋体"/>
          <w:sz w:val="28"/>
          <w:szCs w:val="28"/>
        </w:rPr>
        <w:t xml:space="preserve">2.1 </w:t>
      </w:r>
      <w:r>
        <w:rPr>
          <w:rFonts w:hint="eastAsia" w:hAnsi="宋体"/>
          <w:sz w:val="28"/>
          <w:szCs w:val="28"/>
        </w:rPr>
        <w:t>本合同金额为（大写）：</w:t>
      </w:r>
      <w:r>
        <w:rPr>
          <w:rFonts w:hAnsi="宋体"/>
          <w:sz w:val="28"/>
          <w:szCs w:val="28"/>
        </w:rPr>
        <w:t>________________________</w:t>
      </w:r>
      <w:r>
        <w:rPr>
          <w:rFonts w:hint="eastAsia" w:hAnsi="宋体"/>
          <w:sz w:val="28"/>
          <w:szCs w:val="28"/>
        </w:rPr>
        <w:t>元人民币。</w:t>
      </w:r>
    </w:p>
    <w:p>
      <w:pPr>
        <w:pStyle w:val="10"/>
        <w:adjustRightInd w:val="0"/>
        <w:snapToGrid w:val="0"/>
        <w:spacing w:before="120" w:after="120" w:line="360" w:lineRule="auto"/>
        <w:ind w:firstLine="660"/>
        <w:rPr>
          <w:rFonts w:hAnsi="宋体"/>
          <w:b/>
          <w:sz w:val="28"/>
          <w:szCs w:val="28"/>
        </w:rPr>
      </w:pPr>
      <w:r>
        <w:rPr>
          <w:rFonts w:hint="eastAsia" w:hAnsi="宋体"/>
          <w:b/>
          <w:sz w:val="28"/>
          <w:szCs w:val="28"/>
        </w:rPr>
        <w:t>三、技术资料</w:t>
      </w:r>
    </w:p>
    <w:p>
      <w:pPr>
        <w:pStyle w:val="10"/>
        <w:adjustRightInd w:val="0"/>
        <w:snapToGrid w:val="0"/>
        <w:spacing w:before="120" w:after="120" w:line="360" w:lineRule="auto"/>
        <w:ind w:left="48" w:firstLine="658"/>
        <w:rPr>
          <w:rFonts w:hAnsi="宋体"/>
          <w:sz w:val="28"/>
          <w:szCs w:val="28"/>
        </w:rPr>
      </w:pPr>
      <w:r>
        <w:rPr>
          <w:rFonts w:hAnsi="宋体"/>
          <w:sz w:val="28"/>
          <w:szCs w:val="28"/>
        </w:rPr>
        <w:t>3.1</w:t>
      </w:r>
      <w:r>
        <w:rPr>
          <w:rFonts w:hint="eastAsia" w:hAnsi="宋体"/>
          <w:sz w:val="28"/>
          <w:szCs w:val="28"/>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8"/>
          <w:szCs w:val="28"/>
        </w:rPr>
      </w:pPr>
      <w:r>
        <w:rPr>
          <w:rFonts w:hAnsi="宋体"/>
          <w:sz w:val="28"/>
          <w:szCs w:val="28"/>
        </w:rPr>
        <w:t xml:space="preserve">3.2 </w:t>
      </w:r>
      <w:r>
        <w:rPr>
          <w:rFonts w:hint="eastAsia" w:hAnsi="宋体"/>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8"/>
          <w:szCs w:val="28"/>
        </w:rPr>
      </w:pPr>
      <w:r>
        <w:rPr>
          <w:rFonts w:hint="eastAsia" w:hAnsi="宋体"/>
          <w:b/>
          <w:sz w:val="28"/>
          <w:szCs w:val="28"/>
        </w:rPr>
        <w:t>四、知识产权</w:t>
      </w:r>
    </w:p>
    <w:p>
      <w:pPr>
        <w:pStyle w:val="10"/>
        <w:adjustRightInd w:val="0"/>
        <w:snapToGrid w:val="0"/>
        <w:spacing w:before="120" w:after="120" w:line="360" w:lineRule="auto"/>
        <w:ind w:left="48" w:firstLine="658"/>
        <w:rPr>
          <w:rFonts w:hAnsi="宋体"/>
          <w:sz w:val="28"/>
          <w:szCs w:val="28"/>
        </w:rPr>
      </w:pPr>
      <w:r>
        <w:rPr>
          <w:rFonts w:hAnsi="宋体"/>
          <w:sz w:val="28"/>
          <w:szCs w:val="28"/>
        </w:rPr>
        <w:t>4.1</w:t>
      </w:r>
      <w:r>
        <w:rPr>
          <w:rFonts w:hint="eastAsia" w:hAnsi="宋体"/>
          <w:sz w:val="28"/>
          <w:szCs w:val="28"/>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8"/>
          <w:szCs w:val="28"/>
          <w:u w:val="single"/>
        </w:rPr>
      </w:pPr>
      <w:r>
        <w:rPr>
          <w:rFonts w:hint="eastAsia" w:hAnsi="宋体"/>
          <w:b/>
          <w:sz w:val="28"/>
          <w:szCs w:val="28"/>
        </w:rPr>
        <w:t>五、产权担保</w:t>
      </w:r>
    </w:p>
    <w:p>
      <w:pPr>
        <w:pStyle w:val="10"/>
        <w:adjustRightInd w:val="0"/>
        <w:snapToGrid w:val="0"/>
        <w:spacing w:before="120" w:after="120" w:line="360" w:lineRule="auto"/>
        <w:ind w:left="48" w:firstLine="658"/>
        <w:rPr>
          <w:rFonts w:hAnsi="宋体"/>
          <w:sz w:val="28"/>
          <w:szCs w:val="28"/>
        </w:rPr>
      </w:pPr>
      <w:r>
        <w:rPr>
          <w:rFonts w:hAnsi="宋体"/>
          <w:sz w:val="28"/>
          <w:szCs w:val="28"/>
        </w:rPr>
        <w:t xml:space="preserve">5.1 </w:t>
      </w:r>
      <w:r>
        <w:rPr>
          <w:rFonts w:hint="eastAsia" w:hAnsi="宋体"/>
          <w:sz w:val="28"/>
          <w:szCs w:val="28"/>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8"/>
          <w:szCs w:val="28"/>
        </w:rPr>
      </w:pPr>
      <w:r>
        <w:rPr>
          <w:rFonts w:hint="eastAsia" w:hAnsi="宋体"/>
          <w:b/>
          <w:sz w:val="28"/>
          <w:szCs w:val="28"/>
        </w:rPr>
        <w:t>六、履约保证金</w:t>
      </w:r>
    </w:p>
    <w:p>
      <w:pPr>
        <w:pStyle w:val="10"/>
        <w:adjustRightInd w:val="0"/>
        <w:snapToGrid w:val="0"/>
        <w:spacing w:before="120" w:after="120" w:line="360" w:lineRule="auto"/>
        <w:ind w:left="48" w:firstLine="658"/>
        <w:rPr>
          <w:rFonts w:hAnsi="宋体"/>
          <w:sz w:val="28"/>
          <w:szCs w:val="28"/>
        </w:rPr>
      </w:pPr>
      <w:r>
        <w:rPr>
          <w:rFonts w:hAnsi="宋体"/>
          <w:sz w:val="28"/>
          <w:szCs w:val="28"/>
        </w:rPr>
        <w:t xml:space="preserve">6.1 </w:t>
      </w:r>
      <w:r>
        <w:rPr>
          <w:rFonts w:hint="eastAsia" w:hAnsi="宋体"/>
          <w:sz w:val="28"/>
          <w:szCs w:val="28"/>
        </w:rPr>
        <w:t>乙方交纳人民币</w:t>
      </w:r>
      <w:r>
        <w:rPr>
          <w:rFonts w:hAnsi="宋体"/>
          <w:sz w:val="28"/>
          <w:szCs w:val="28"/>
        </w:rPr>
        <w:t>_____</w:t>
      </w:r>
      <w:r>
        <w:rPr>
          <w:rFonts w:hint="eastAsia" w:hAnsi="宋体"/>
          <w:sz w:val="28"/>
          <w:szCs w:val="28"/>
        </w:rPr>
        <w:t>元作为本合同的履约保证金。</w:t>
      </w:r>
    </w:p>
    <w:p>
      <w:pPr>
        <w:adjustRightInd w:val="0"/>
        <w:snapToGrid w:val="0"/>
        <w:spacing w:before="156" w:beforeLines="50" w:after="156" w:afterLines="50" w:line="360" w:lineRule="auto"/>
        <w:ind w:firstLine="480"/>
        <w:rPr>
          <w:rFonts w:ascii="宋体" w:cs="Courier New"/>
          <w:b/>
          <w:sz w:val="28"/>
          <w:szCs w:val="28"/>
        </w:rPr>
      </w:pPr>
      <w:r>
        <w:rPr>
          <w:rFonts w:hint="eastAsia" w:ascii="宋体" w:hAnsi="宋体" w:cs="Courier New"/>
          <w:b/>
          <w:sz w:val="28"/>
          <w:szCs w:val="28"/>
        </w:rPr>
        <w:t>七</w:t>
      </w:r>
      <w:r>
        <w:rPr>
          <w:rFonts w:ascii="宋体" w:cs="Courier New"/>
          <w:b/>
          <w:sz w:val="28"/>
          <w:szCs w:val="28"/>
        </w:rPr>
        <w:t>.</w:t>
      </w:r>
      <w:r>
        <w:rPr>
          <w:rFonts w:hint="eastAsia" w:ascii="宋体" w:hAnsi="宋体" w:cs="Courier New"/>
          <w:b/>
          <w:sz w:val="28"/>
          <w:szCs w:val="28"/>
        </w:rPr>
        <w:t>转包或分包</w:t>
      </w:r>
    </w:p>
    <w:p>
      <w:pPr>
        <w:pStyle w:val="10"/>
        <w:adjustRightInd w:val="0"/>
        <w:snapToGrid w:val="0"/>
        <w:spacing w:before="120" w:after="120" w:line="360" w:lineRule="auto"/>
        <w:ind w:left="48" w:firstLine="658"/>
        <w:rPr>
          <w:rFonts w:hAnsi="宋体"/>
          <w:sz w:val="28"/>
          <w:szCs w:val="28"/>
        </w:rPr>
      </w:pPr>
      <w:r>
        <w:rPr>
          <w:rFonts w:hAnsi="宋体"/>
          <w:sz w:val="28"/>
          <w:szCs w:val="28"/>
        </w:rPr>
        <w:t>7.1</w:t>
      </w:r>
      <w:r>
        <w:rPr>
          <w:rFonts w:hint="eastAsia" w:hAnsi="宋体"/>
          <w:sz w:val="28"/>
          <w:szCs w:val="28"/>
        </w:rPr>
        <w:t>本合同范围的货物，应由乙方直接供应，不得转让他人供应；</w:t>
      </w:r>
    </w:p>
    <w:p>
      <w:pPr>
        <w:pStyle w:val="10"/>
        <w:adjustRightInd w:val="0"/>
        <w:snapToGrid w:val="0"/>
        <w:spacing w:before="120" w:after="120" w:line="360" w:lineRule="auto"/>
        <w:ind w:left="48" w:firstLine="658"/>
        <w:rPr>
          <w:rFonts w:hAnsi="宋体"/>
          <w:sz w:val="28"/>
          <w:szCs w:val="28"/>
        </w:rPr>
      </w:pPr>
      <w:r>
        <w:rPr>
          <w:rFonts w:hAnsi="宋体"/>
          <w:sz w:val="28"/>
          <w:szCs w:val="28"/>
        </w:rPr>
        <w:t>7.2</w:t>
      </w:r>
      <w:r>
        <w:rPr>
          <w:rFonts w:hint="eastAsia" w:hAnsi="宋体"/>
          <w:sz w:val="28"/>
          <w:szCs w:val="28"/>
        </w:rPr>
        <w:t>除非得到甲方的书面同意，乙方不得部分分包给他人供应。</w:t>
      </w:r>
    </w:p>
    <w:p>
      <w:pPr>
        <w:pStyle w:val="10"/>
        <w:adjustRightInd w:val="0"/>
        <w:snapToGrid w:val="0"/>
        <w:spacing w:before="120" w:after="120" w:line="360" w:lineRule="auto"/>
        <w:ind w:left="48" w:firstLine="658"/>
        <w:rPr>
          <w:rFonts w:hAnsi="宋体"/>
          <w:sz w:val="28"/>
          <w:szCs w:val="28"/>
        </w:rPr>
      </w:pPr>
      <w:r>
        <w:rPr>
          <w:rFonts w:hAnsi="宋体"/>
          <w:sz w:val="28"/>
          <w:szCs w:val="28"/>
        </w:rPr>
        <w:t>7.3</w:t>
      </w:r>
      <w:r>
        <w:rPr>
          <w:rFonts w:hint="eastAsia" w:hAnsi="宋体"/>
          <w:sz w:val="28"/>
          <w:szCs w:val="28"/>
        </w:rPr>
        <w:t>如有转让和未经甲方同意的分包行为，甲方有权给予终止合同。</w:t>
      </w:r>
    </w:p>
    <w:p>
      <w:pPr>
        <w:pStyle w:val="10"/>
        <w:adjustRightInd w:val="0"/>
        <w:snapToGrid w:val="0"/>
        <w:spacing w:before="120" w:after="120" w:line="360" w:lineRule="auto"/>
        <w:ind w:firstLine="660"/>
        <w:rPr>
          <w:rFonts w:hAnsi="宋体"/>
          <w:sz w:val="28"/>
          <w:szCs w:val="28"/>
        </w:rPr>
      </w:pPr>
      <w:r>
        <w:rPr>
          <w:rFonts w:hint="eastAsia" w:hAnsi="宋体"/>
          <w:b/>
          <w:sz w:val="28"/>
          <w:szCs w:val="28"/>
        </w:rPr>
        <w:t>八、质保期</w:t>
      </w:r>
    </w:p>
    <w:p>
      <w:pPr>
        <w:pStyle w:val="10"/>
        <w:adjustRightInd w:val="0"/>
        <w:snapToGrid w:val="0"/>
        <w:spacing w:before="120" w:after="120" w:line="360" w:lineRule="auto"/>
        <w:ind w:left="48" w:firstLine="658"/>
        <w:rPr>
          <w:rFonts w:hAnsi="宋体"/>
          <w:sz w:val="28"/>
          <w:szCs w:val="28"/>
        </w:rPr>
      </w:pPr>
      <w:r>
        <w:rPr>
          <w:rFonts w:hAnsi="宋体"/>
          <w:sz w:val="28"/>
          <w:szCs w:val="28"/>
        </w:rPr>
        <w:t>8.1</w:t>
      </w:r>
      <w:r>
        <w:rPr>
          <w:rFonts w:hint="eastAsia" w:hAnsi="宋体"/>
          <w:sz w:val="28"/>
          <w:szCs w:val="28"/>
        </w:rPr>
        <w:t>全部软件质保期</w:t>
      </w:r>
      <w:r>
        <w:rPr>
          <w:rFonts w:hAnsi="宋体"/>
          <w:sz w:val="28"/>
          <w:szCs w:val="28"/>
        </w:rPr>
        <w:t>1</w:t>
      </w:r>
      <w:r>
        <w:rPr>
          <w:rFonts w:hint="eastAsia" w:hAnsi="宋体"/>
          <w:sz w:val="28"/>
          <w:szCs w:val="28"/>
        </w:rPr>
        <w:t>年。（自交货验收合格之日起计）</w:t>
      </w:r>
    </w:p>
    <w:p>
      <w:pPr>
        <w:pStyle w:val="10"/>
        <w:adjustRightInd w:val="0"/>
        <w:snapToGrid w:val="0"/>
        <w:spacing w:before="120" w:after="120" w:line="360" w:lineRule="auto"/>
        <w:ind w:firstLine="660"/>
        <w:rPr>
          <w:rFonts w:hAnsi="宋体"/>
          <w:b/>
          <w:sz w:val="28"/>
          <w:szCs w:val="28"/>
        </w:rPr>
      </w:pPr>
      <w:r>
        <w:rPr>
          <w:rFonts w:hint="eastAsia" w:hAnsi="宋体"/>
          <w:b/>
          <w:sz w:val="28"/>
          <w:szCs w:val="28"/>
        </w:rPr>
        <w:t>九、交货期、交货方式及交货地点</w:t>
      </w:r>
    </w:p>
    <w:p>
      <w:pPr>
        <w:pStyle w:val="10"/>
        <w:adjustRightInd w:val="0"/>
        <w:snapToGrid w:val="0"/>
        <w:spacing w:before="120" w:after="120" w:line="360" w:lineRule="auto"/>
        <w:ind w:left="48" w:firstLine="658"/>
        <w:rPr>
          <w:rFonts w:hAnsi="宋体"/>
          <w:sz w:val="28"/>
          <w:szCs w:val="28"/>
        </w:rPr>
      </w:pPr>
      <w:r>
        <w:rPr>
          <w:rFonts w:hAnsi="宋体"/>
          <w:sz w:val="28"/>
          <w:szCs w:val="28"/>
        </w:rPr>
        <w:t xml:space="preserve">9.1 </w:t>
      </w:r>
      <w:r>
        <w:rPr>
          <w:rFonts w:hint="eastAsia" w:hAnsi="宋体"/>
          <w:sz w:val="28"/>
          <w:szCs w:val="28"/>
        </w:rPr>
        <w:t>交货期：</w:t>
      </w:r>
      <w:r>
        <w:rPr>
          <w:rFonts w:hAnsi="宋体"/>
          <w:sz w:val="28"/>
          <w:szCs w:val="28"/>
        </w:rPr>
        <w:t>_________</w:t>
      </w:r>
    </w:p>
    <w:p>
      <w:pPr>
        <w:pStyle w:val="10"/>
        <w:adjustRightInd w:val="0"/>
        <w:snapToGrid w:val="0"/>
        <w:spacing w:before="120" w:after="120" w:line="360" w:lineRule="auto"/>
        <w:ind w:left="48" w:firstLine="658"/>
        <w:rPr>
          <w:rFonts w:hAnsi="宋体"/>
          <w:sz w:val="28"/>
          <w:szCs w:val="28"/>
        </w:rPr>
      </w:pPr>
      <w:r>
        <w:rPr>
          <w:rFonts w:hAnsi="宋体"/>
          <w:sz w:val="28"/>
          <w:szCs w:val="28"/>
        </w:rPr>
        <w:t xml:space="preserve">9.2 </w:t>
      </w:r>
      <w:r>
        <w:rPr>
          <w:rFonts w:hint="eastAsia" w:hAnsi="宋体"/>
          <w:sz w:val="28"/>
          <w:szCs w:val="28"/>
        </w:rPr>
        <w:t>交货方式：</w:t>
      </w:r>
      <w:r>
        <w:rPr>
          <w:rFonts w:hAnsi="宋体"/>
          <w:sz w:val="28"/>
          <w:szCs w:val="28"/>
        </w:rPr>
        <w:t>_________</w:t>
      </w:r>
    </w:p>
    <w:p>
      <w:pPr>
        <w:pStyle w:val="10"/>
        <w:adjustRightInd w:val="0"/>
        <w:snapToGrid w:val="0"/>
        <w:spacing w:before="120" w:after="120" w:line="360" w:lineRule="auto"/>
        <w:ind w:left="48" w:firstLine="658"/>
        <w:rPr>
          <w:rFonts w:hAnsi="宋体"/>
          <w:sz w:val="28"/>
          <w:szCs w:val="28"/>
        </w:rPr>
      </w:pPr>
      <w:r>
        <w:rPr>
          <w:rFonts w:hAnsi="宋体"/>
          <w:sz w:val="28"/>
          <w:szCs w:val="28"/>
        </w:rPr>
        <w:t xml:space="preserve">9.3 </w:t>
      </w:r>
      <w:r>
        <w:rPr>
          <w:rFonts w:hint="eastAsia" w:hAnsi="宋体"/>
          <w:sz w:val="28"/>
          <w:szCs w:val="28"/>
        </w:rPr>
        <w:t>交货地点：用户单位地点或用户指定地点。</w:t>
      </w:r>
    </w:p>
    <w:p>
      <w:pPr>
        <w:pStyle w:val="10"/>
        <w:adjustRightInd w:val="0"/>
        <w:snapToGrid w:val="0"/>
        <w:spacing w:before="120" w:after="120" w:line="360" w:lineRule="auto"/>
        <w:ind w:firstLine="660"/>
        <w:rPr>
          <w:rFonts w:hAnsi="宋体"/>
          <w:b/>
          <w:sz w:val="28"/>
          <w:szCs w:val="28"/>
        </w:rPr>
      </w:pPr>
      <w:r>
        <w:rPr>
          <w:rFonts w:hint="eastAsia" w:hAnsi="宋体"/>
          <w:b/>
          <w:sz w:val="28"/>
          <w:szCs w:val="28"/>
        </w:rPr>
        <w:t>十、货款支付</w:t>
      </w:r>
    </w:p>
    <w:p>
      <w:pPr>
        <w:pStyle w:val="10"/>
        <w:adjustRightInd w:val="0"/>
        <w:snapToGrid w:val="0"/>
        <w:spacing w:before="120" w:after="120" w:line="360" w:lineRule="auto"/>
        <w:ind w:left="48" w:firstLine="658"/>
        <w:rPr>
          <w:rFonts w:hAnsi="宋体"/>
          <w:sz w:val="28"/>
          <w:szCs w:val="28"/>
        </w:rPr>
      </w:pPr>
      <w:r>
        <w:rPr>
          <w:rFonts w:hAnsi="宋体"/>
          <w:sz w:val="28"/>
          <w:szCs w:val="28"/>
        </w:rPr>
        <w:t>10.1</w:t>
      </w:r>
      <w:r>
        <w:rPr>
          <w:rFonts w:hint="eastAsia" w:hAnsi="宋体"/>
          <w:sz w:val="28"/>
          <w:szCs w:val="28"/>
        </w:rPr>
        <w:t>付款方式：针对国内供应货物，签订合同后，无需预付合同金额，全部货物交付安装并最终验收合格后，凭验收凭证和货物验收合格等文件20内支付至合同金额的100%，质量保证金质保期满后，</w:t>
      </w:r>
      <w:r>
        <w:rPr>
          <w:rFonts w:hAnsi="宋体"/>
          <w:sz w:val="28"/>
          <w:szCs w:val="28"/>
        </w:rPr>
        <w:t>经有关单位确认无质量问题后，一次性</w:t>
      </w:r>
      <w:r>
        <w:rPr>
          <w:rFonts w:hint="eastAsia" w:hAnsi="宋体"/>
          <w:sz w:val="28"/>
          <w:szCs w:val="28"/>
        </w:rPr>
        <w:t>无息付清</w:t>
      </w:r>
      <w:r>
        <w:rPr>
          <w:rFonts w:hAnsi="宋体"/>
          <w:sz w:val="28"/>
          <w:szCs w:val="28"/>
        </w:rPr>
        <w:t>。具体内容以最终签署的合同约定为准。</w:t>
      </w:r>
    </w:p>
    <w:p>
      <w:pPr>
        <w:pStyle w:val="10"/>
        <w:adjustRightInd w:val="0"/>
        <w:snapToGrid w:val="0"/>
        <w:spacing w:before="120" w:after="120" w:line="360" w:lineRule="auto"/>
        <w:ind w:left="1" w:firstLine="658"/>
        <w:rPr>
          <w:rFonts w:hAnsi="宋体"/>
          <w:sz w:val="28"/>
          <w:szCs w:val="28"/>
        </w:rPr>
      </w:pPr>
      <w:r>
        <w:rPr>
          <w:rFonts w:hAnsi="宋体"/>
          <w:sz w:val="28"/>
          <w:szCs w:val="28"/>
        </w:rPr>
        <w:t>针对国外供应货物（进口货物），由外贸公司开具全额发票，外贸合同中采用100%信用证，90%见单即付，10%凭最终用户方签字和盖章的验收报告支付。</w:t>
      </w:r>
    </w:p>
    <w:p>
      <w:pPr>
        <w:ind w:firstLine="562" w:firstLineChars="200"/>
        <w:rPr>
          <w:rFonts w:ascii="宋体"/>
          <w:b/>
          <w:sz w:val="28"/>
          <w:szCs w:val="28"/>
        </w:rPr>
      </w:pPr>
      <w:r>
        <w:rPr>
          <w:rFonts w:hint="eastAsia" w:ascii="宋体" w:hAnsi="宋体"/>
          <w:b/>
          <w:sz w:val="28"/>
          <w:szCs w:val="28"/>
        </w:rPr>
        <w:t>十一、税</w:t>
      </w:r>
    </w:p>
    <w:p>
      <w:pPr>
        <w:pStyle w:val="10"/>
        <w:adjustRightInd w:val="0"/>
        <w:snapToGrid w:val="0"/>
        <w:spacing w:before="120" w:after="120" w:line="360" w:lineRule="auto"/>
        <w:ind w:left="48" w:firstLine="658"/>
        <w:rPr>
          <w:rFonts w:hAnsi="宋体"/>
          <w:sz w:val="28"/>
          <w:szCs w:val="28"/>
        </w:rPr>
      </w:pPr>
      <w:r>
        <w:rPr>
          <w:rFonts w:hAnsi="宋体"/>
          <w:sz w:val="28"/>
          <w:szCs w:val="28"/>
        </w:rPr>
        <w:t>11.1</w:t>
      </w:r>
      <w:r>
        <w:rPr>
          <w:rFonts w:hint="eastAsia" w:hAnsi="宋体"/>
          <w:sz w:val="28"/>
          <w:szCs w:val="28"/>
        </w:rPr>
        <w:t>发票要求：针对国内供货的货物，乙方开具合同全额“增值税专用发票”。</w:t>
      </w:r>
    </w:p>
    <w:p>
      <w:pPr>
        <w:pStyle w:val="10"/>
        <w:adjustRightInd w:val="0"/>
        <w:snapToGrid w:val="0"/>
        <w:spacing w:before="120" w:after="120" w:line="360" w:lineRule="auto"/>
        <w:ind w:left="48" w:firstLine="658"/>
        <w:rPr>
          <w:rFonts w:hAnsi="宋体"/>
          <w:sz w:val="28"/>
          <w:szCs w:val="28"/>
        </w:rPr>
      </w:pPr>
      <w:r>
        <w:rPr>
          <w:rFonts w:hAnsi="宋体"/>
          <w:sz w:val="28"/>
          <w:szCs w:val="28"/>
        </w:rPr>
        <w:t>11.2</w:t>
      </w:r>
      <w:r>
        <w:rPr>
          <w:rFonts w:hint="eastAsia" w:hAnsi="宋体"/>
          <w:sz w:val="28"/>
          <w:szCs w:val="28"/>
        </w:rPr>
        <w:t>本合同执行中相关的一切税费均由乙方负担。</w:t>
      </w:r>
    </w:p>
    <w:p>
      <w:pPr>
        <w:pStyle w:val="10"/>
        <w:adjustRightInd w:val="0"/>
        <w:snapToGrid w:val="0"/>
        <w:spacing w:before="120" w:after="120" w:line="360" w:lineRule="auto"/>
        <w:ind w:left="1" w:firstLine="660"/>
        <w:rPr>
          <w:rFonts w:hAnsi="宋体"/>
          <w:sz w:val="28"/>
          <w:szCs w:val="28"/>
        </w:rPr>
      </w:pPr>
      <w:r>
        <w:rPr>
          <w:rFonts w:hint="eastAsia" w:hAnsi="宋体"/>
          <w:b/>
          <w:sz w:val="28"/>
          <w:szCs w:val="28"/>
        </w:rPr>
        <w:t>十二、质量保证及售后服务</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乙方应按采购文件规定的货物性能、技术要求、质量标准向甲方提供未经使用的全新产品。针对国外供应货物（进口货物），乙方须提供原产地证明。</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rPr>
        <w:t xml:space="preserve">   </w:t>
      </w:r>
      <w:r>
        <w:rPr>
          <w:rFonts w:hint="eastAsia" w:hAnsi="宋体"/>
          <w:sz w:val="24"/>
          <w:szCs w:val="24"/>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10"/>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10"/>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双方在执行合同中所发生的一切争议，应通过协商解决。如协商不成，可向合同签订地法院起诉，合同签订地在此约定为南京市。如因合同履行发生纠纷，适用中国法律。</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十九、合同文件的优先顺序</w:t>
      </w:r>
      <w:r>
        <w:rPr>
          <w:rFonts w:hint="eastAsia" w:hAnsi="宋体"/>
          <w:sz w:val="24"/>
          <w:szCs w:val="24"/>
        </w:rPr>
        <w:t xml:space="preserve">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（1）合同协议书；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（2）中标通知书；</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（3）招标文件；</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（4）投标函及其附录（如果有）；</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（5）专用合同条款及其附件；</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（6）通用合同条款；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（7）技术标准和要求；</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（8）其他合同文件。</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二十、合同生效及其它</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10"/>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10"/>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10"/>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10"/>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nsolas">
    <w:panose1 w:val="020B0609020204030204"/>
    <w:charset w:val="00"/>
    <w:family w:val="auto"/>
    <w:pitch w:val="default"/>
    <w:sig w:usb0="E00006FF" w:usb1="0000FCFF" w:usb2="00000001" w:usb3="00000000" w:csb0="6000019F" w:csb1="DFD7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22</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28</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1年招标文件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AFE"/>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1E61"/>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BD3"/>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3C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7E0"/>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3363"/>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9CF"/>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6D2"/>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4FA"/>
    <w:rsid w:val="006F4515"/>
    <w:rsid w:val="006F49B6"/>
    <w:rsid w:val="006F542E"/>
    <w:rsid w:val="006F5A99"/>
    <w:rsid w:val="006F6972"/>
    <w:rsid w:val="007002AA"/>
    <w:rsid w:val="00700921"/>
    <w:rsid w:val="00700E1F"/>
    <w:rsid w:val="007013D9"/>
    <w:rsid w:val="00705D43"/>
    <w:rsid w:val="0070628E"/>
    <w:rsid w:val="00707A12"/>
    <w:rsid w:val="00710506"/>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00D6"/>
    <w:rsid w:val="00903200"/>
    <w:rsid w:val="00903978"/>
    <w:rsid w:val="00903B9A"/>
    <w:rsid w:val="00903E7B"/>
    <w:rsid w:val="009048A7"/>
    <w:rsid w:val="00904C79"/>
    <w:rsid w:val="009050F5"/>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219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19D"/>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2E76"/>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598"/>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1E2C"/>
    <w:rsid w:val="00CA2A36"/>
    <w:rsid w:val="00CA3091"/>
    <w:rsid w:val="00CA526E"/>
    <w:rsid w:val="00CA5861"/>
    <w:rsid w:val="00CA63AF"/>
    <w:rsid w:val="00CA6EA9"/>
    <w:rsid w:val="00CA7DF1"/>
    <w:rsid w:val="00CB063E"/>
    <w:rsid w:val="00CB2109"/>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360F"/>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30E7"/>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334"/>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24960FC"/>
    <w:rsid w:val="026E0D49"/>
    <w:rsid w:val="036159EE"/>
    <w:rsid w:val="04A24CDA"/>
    <w:rsid w:val="05B517B2"/>
    <w:rsid w:val="064047AA"/>
    <w:rsid w:val="0666393D"/>
    <w:rsid w:val="077B3C73"/>
    <w:rsid w:val="078D73D6"/>
    <w:rsid w:val="07D33D16"/>
    <w:rsid w:val="086D11A9"/>
    <w:rsid w:val="09637941"/>
    <w:rsid w:val="0B675B31"/>
    <w:rsid w:val="0BDF51D7"/>
    <w:rsid w:val="0C3615C8"/>
    <w:rsid w:val="0C4861BD"/>
    <w:rsid w:val="0C7E7AA1"/>
    <w:rsid w:val="0CFE3A2E"/>
    <w:rsid w:val="0D873213"/>
    <w:rsid w:val="0D9425DE"/>
    <w:rsid w:val="0D99361C"/>
    <w:rsid w:val="102D625B"/>
    <w:rsid w:val="107D340A"/>
    <w:rsid w:val="10EB4170"/>
    <w:rsid w:val="10F05838"/>
    <w:rsid w:val="113C24CA"/>
    <w:rsid w:val="119D0D41"/>
    <w:rsid w:val="11D57EAE"/>
    <w:rsid w:val="12162C3B"/>
    <w:rsid w:val="130F1D58"/>
    <w:rsid w:val="1424570B"/>
    <w:rsid w:val="145263CB"/>
    <w:rsid w:val="146723C1"/>
    <w:rsid w:val="14896182"/>
    <w:rsid w:val="155010AB"/>
    <w:rsid w:val="15572C10"/>
    <w:rsid w:val="15737A45"/>
    <w:rsid w:val="1584594C"/>
    <w:rsid w:val="15907301"/>
    <w:rsid w:val="15A069B5"/>
    <w:rsid w:val="15A90346"/>
    <w:rsid w:val="15B24E31"/>
    <w:rsid w:val="16AA09BD"/>
    <w:rsid w:val="17652C65"/>
    <w:rsid w:val="17833DE3"/>
    <w:rsid w:val="18E40DEB"/>
    <w:rsid w:val="19775424"/>
    <w:rsid w:val="1A241EC0"/>
    <w:rsid w:val="1A8C6BC4"/>
    <w:rsid w:val="1AE96A89"/>
    <w:rsid w:val="1BA33635"/>
    <w:rsid w:val="1C121D57"/>
    <w:rsid w:val="1C4A137C"/>
    <w:rsid w:val="1C8F1DE9"/>
    <w:rsid w:val="1DA871CA"/>
    <w:rsid w:val="1E1F2A19"/>
    <w:rsid w:val="1F11313D"/>
    <w:rsid w:val="1F956998"/>
    <w:rsid w:val="1FA31BDA"/>
    <w:rsid w:val="208F5332"/>
    <w:rsid w:val="20DC5C02"/>
    <w:rsid w:val="20DE7ECC"/>
    <w:rsid w:val="20FE711F"/>
    <w:rsid w:val="21241474"/>
    <w:rsid w:val="21A70E96"/>
    <w:rsid w:val="21FC6A25"/>
    <w:rsid w:val="225E4DAF"/>
    <w:rsid w:val="22631AF5"/>
    <w:rsid w:val="22891E2D"/>
    <w:rsid w:val="22A743B8"/>
    <w:rsid w:val="22D33607"/>
    <w:rsid w:val="23FD2509"/>
    <w:rsid w:val="240F3CE2"/>
    <w:rsid w:val="243943F8"/>
    <w:rsid w:val="247947DE"/>
    <w:rsid w:val="24E05430"/>
    <w:rsid w:val="267A7579"/>
    <w:rsid w:val="272231F7"/>
    <w:rsid w:val="27961F1E"/>
    <w:rsid w:val="27AD7C03"/>
    <w:rsid w:val="28C46277"/>
    <w:rsid w:val="28E31299"/>
    <w:rsid w:val="29062B05"/>
    <w:rsid w:val="29127A38"/>
    <w:rsid w:val="29F80E51"/>
    <w:rsid w:val="2AAA7342"/>
    <w:rsid w:val="2AB43BC5"/>
    <w:rsid w:val="2AB96756"/>
    <w:rsid w:val="2B417576"/>
    <w:rsid w:val="2B556F15"/>
    <w:rsid w:val="2B7F4BC3"/>
    <w:rsid w:val="2CE81BAF"/>
    <w:rsid w:val="2D361344"/>
    <w:rsid w:val="2DAC05D8"/>
    <w:rsid w:val="2DE728EA"/>
    <w:rsid w:val="2E4E3076"/>
    <w:rsid w:val="2E726843"/>
    <w:rsid w:val="2EB57234"/>
    <w:rsid w:val="2EDC02FF"/>
    <w:rsid w:val="2EE87C86"/>
    <w:rsid w:val="2EEC5388"/>
    <w:rsid w:val="3073370F"/>
    <w:rsid w:val="3172033E"/>
    <w:rsid w:val="3227588C"/>
    <w:rsid w:val="325F6558"/>
    <w:rsid w:val="331653E5"/>
    <w:rsid w:val="341113B0"/>
    <w:rsid w:val="341C30A3"/>
    <w:rsid w:val="34C6314A"/>
    <w:rsid w:val="351529A9"/>
    <w:rsid w:val="355A74E9"/>
    <w:rsid w:val="35FD1F7A"/>
    <w:rsid w:val="3619279E"/>
    <w:rsid w:val="36616918"/>
    <w:rsid w:val="366D672C"/>
    <w:rsid w:val="3676129B"/>
    <w:rsid w:val="36E3150F"/>
    <w:rsid w:val="3836614A"/>
    <w:rsid w:val="384A4707"/>
    <w:rsid w:val="385D644E"/>
    <w:rsid w:val="38F33167"/>
    <w:rsid w:val="39827B64"/>
    <w:rsid w:val="39C83C69"/>
    <w:rsid w:val="39CE5E1D"/>
    <w:rsid w:val="3A9701E9"/>
    <w:rsid w:val="3B4244C5"/>
    <w:rsid w:val="3C003247"/>
    <w:rsid w:val="3C8E6F2D"/>
    <w:rsid w:val="3D6145DC"/>
    <w:rsid w:val="3E495BEB"/>
    <w:rsid w:val="3E5E0082"/>
    <w:rsid w:val="3EDB4EA4"/>
    <w:rsid w:val="3EF321A5"/>
    <w:rsid w:val="3F9F3463"/>
    <w:rsid w:val="3FC31914"/>
    <w:rsid w:val="3FC92B3F"/>
    <w:rsid w:val="405D6728"/>
    <w:rsid w:val="40FD6FDA"/>
    <w:rsid w:val="41110191"/>
    <w:rsid w:val="414A37BB"/>
    <w:rsid w:val="417876D9"/>
    <w:rsid w:val="41B45A04"/>
    <w:rsid w:val="42643A73"/>
    <w:rsid w:val="42AA1012"/>
    <w:rsid w:val="43912727"/>
    <w:rsid w:val="43FB66E3"/>
    <w:rsid w:val="448C1E9F"/>
    <w:rsid w:val="44DC7F4B"/>
    <w:rsid w:val="45651876"/>
    <w:rsid w:val="45CC523B"/>
    <w:rsid w:val="466F6CEB"/>
    <w:rsid w:val="46AA377D"/>
    <w:rsid w:val="49363676"/>
    <w:rsid w:val="49713AA7"/>
    <w:rsid w:val="499A2688"/>
    <w:rsid w:val="49D47D5A"/>
    <w:rsid w:val="49EE7582"/>
    <w:rsid w:val="49F62026"/>
    <w:rsid w:val="4A4B48E3"/>
    <w:rsid w:val="4B1A7369"/>
    <w:rsid w:val="4B5137BF"/>
    <w:rsid w:val="4BCC238E"/>
    <w:rsid w:val="4C5456DA"/>
    <w:rsid w:val="4D774E55"/>
    <w:rsid w:val="4DA86B45"/>
    <w:rsid w:val="4E3720DD"/>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732DC5"/>
    <w:rsid w:val="56C21B98"/>
    <w:rsid w:val="57360F05"/>
    <w:rsid w:val="5772757A"/>
    <w:rsid w:val="581F495D"/>
    <w:rsid w:val="584559A7"/>
    <w:rsid w:val="58484116"/>
    <w:rsid w:val="58DA78C0"/>
    <w:rsid w:val="58E017CC"/>
    <w:rsid w:val="5A770570"/>
    <w:rsid w:val="5AC859BF"/>
    <w:rsid w:val="5B4C17F1"/>
    <w:rsid w:val="5C0F2072"/>
    <w:rsid w:val="5CFC1D50"/>
    <w:rsid w:val="5E6C25B6"/>
    <w:rsid w:val="5E84123F"/>
    <w:rsid w:val="5EE80F09"/>
    <w:rsid w:val="5F0028BB"/>
    <w:rsid w:val="5F2528F6"/>
    <w:rsid w:val="5F381638"/>
    <w:rsid w:val="5F9764C2"/>
    <w:rsid w:val="603300A7"/>
    <w:rsid w:val="607E0927"/>
    <w:rsid w:val="60D968DA"/>
    <w:rsid w:val="60F41422"/>
    <w:rsid w:val="619D5BCC"/>
    <w:rsid w:val="62107539"/>
    <w:rsid w:val="6233128F"/>
    <w:rsid w:val="62635DDC"/>
    <w:rsid w:val="62FE3555"/>
    <w:rsid w:val="6351581E"/>
    <w:rsid w:val="63D7368B"/>
    <w:rsid w:val="63EA24F1"/>
    <w:rsid w:val="64A05CB5"/>
    <w:rsid w:val="657A0549"/>
    <w:rsid w:val="665A104A"/>
    <w:rsid w:val="66ED444E"/>
    <w:rsid w:val="67484273"/>
    <w:rsid w:val="68A603CF"/>
    <w:rsid w:val="692F749D"/>
    <w:rsid w:val="69D32689"/>
    <w:rsid w:val="69E27B06"/>
    <w:rsid w:val="69EA623B"/>
    <w:rsid w:val="6A0F3694"/>
    <w:rsid w:val="6A5445FC"/>
    <w:rsid w:val="6A5C1E75"/>
    <w:rsid w:val="6AB76CFB"/>
    <w:rsid w:val="6ABA08C1"/>
    <w:rsid w:val="6BC1702A"/>
    <w:rsid w:val="6C282248"/>
    <w:rsid w:val="6CBD55AC"/>
    <w:rsid w:val="6CE3561C"/>
    <w:rsid w:val="6DDE39AF"/>
    <w:rsid w:val="6DE636A7"/>
    <w:rsid w:val="6DE86594"/>
    <w:rsid w:val="6E5C2511"/>
    <w:rsid w:val="6E7D2F62"/>
    <w:rsid w:val="718764FD"/>
    <w:rsid w:val="725831A5"/>
    <w:rsid w:val="73207C91"/>
    <w:rsid w:val="73607DE9"/>
    <w:rsid w:val="73711235"/>
    <w:rsid w:val="742E508B"/>
    <w:rsid w:val="753E278B"/>
    <w:rsid w:val="75462718"/>
    <w:rsid w:val="754B4253"/>
    <w:rsid w:val="75692271"/>
    <w:rsid w:val="75BE6EB5"/>
    <w:rsid w:val="7815375E"/>
    <w:rsid w:val="78347A48"/>
    <w:rsid w:val="790D6252"/>
    <w:rsid w:val="7AE40810"/>
    <w:rsid w:val="7B0749C7"/>
    <w:rsid w:val="7BBB6C68"/>
    <w:rsid w:val="7C574749"/>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nhideWhenUsed="0" w:uiPriority="0" w:semiHidden="0"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qFormat="1"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5">
    <w:name w:val="Normal Indent"/>
    <w:basedOn w:val="1"/>
    <w:link w:val="58"/>
    <w:qFormat/>
    <w:locked/>
    <w:uiPriority w:val="0"/>
    <w:pPr>
      <w:ind w:firstLine="420"/>
    </w:pPr>
  </w:style>
  <w:style w:type="paragraph" w:styleId="6">
    <w:name w:val="annotation text"/>
    <w:basedOn w:val="1"/>
    <w:link w:val="30"/>
    <w:qFormat/>
    <w:uiPriority w:val="99"/>
    <w:pPr>
      <w:jc w:val="left"/>
    </w:pPr>
    <w:rPr>
      <w:sz w:val="24"/>
      <w:szCs w:val="20"/>
    </w:rPr>
  </w:style>
  <w:style w:type="paragraph" w:styleId="7">
    <w:name w:val="Body Text"/>
    <w:basedOn w:val="1"/>
    <w:link w:val="49"/>
    <w:unhideWhenUsed/>
    <w:qFormat/>
    <w:locked/>
    <w:uiPriority w:val="99"/>
    <w:pPr>
      <w:spacing w:after="120"/>
    </w:pPr>
  </w:style>
  <w:style w:type="paragraph" w:styleId="8">
    <w:name w:val="Body Text Indent"/>
    <w:basedOn w:val="1"/>
    <w:link w:val="31"/>
    <w:qFormat/>
    <w:uiPriority w:val="99"/>
    <w:pPr>
      <w:ind w:firstLine="575" w:firstLineChars="274"/>
    </w:pPr>
    <w:rPr>
      <w:rFonts w:ascii="等线" w:eastAsia="等线"/>
      <w:sz w:val="22"/>
      <w:szCs w:val="20"/>
    </w:r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32"/>
    <w:qFormat/>
    <w:uiPriority w:val="0"/>
    <w:rPr>
      <w:rFonts w:ascii="宋体" w:hAnsi="Courier New"/>
      <w:szCs w:val="20"/>
    </w:rPr>
  </w:style>
  <w:style w:type="paragraph" w:styleId="11">
    <w:name w:val="Date"/>
    <w:basedOn w:val="1"/>
    <w:next w:val="1"/>
    <w:link w:val="33"/>
    <w:qFormat/>
    <w:uiPriority w:val="99"/>
    <w:pPr>
      <w:ind w:left="100" w:leftChars="2500"/>
    </w:pPr>
    <w:rPr>
      <w:sz w:val="24"/>
      <w:szCs w:val="20"/>
    </w:rPr>
  </w:style>
  <w:style w:type="paragraph" w:styleId="12">
    <w:name w:val="Balloon Text"/>
    <w:basedOn w:val="1"/>
    <w:link w:val="34"/>
    <w:semiHidden/>
    <w:qFormat/>
    <w:uiPriority w:val="99"/>
    <w:rPr>
      <w:kern w:val="0"/>
      <w:sz w:val="2"/>
      <w:szCs w:val="20"/>
    </w:rPr>
  </w:style>
  <w:style w:type="paragraph" w:styleId="13">
    <w:name w:val="footer"/>
    <w:basedOn w:val="1"/>
    <w:link w:val="35"/>
    <w:qFormat/>
    <w:uiPriority w:val="99"/>
    <w:pPr>
      <w:tabs>
        <w:tab w:val="center" w:pos="4153"/>
        <w:tab w:val="right" w:pos="8306"/>
      </w:tabs>
      <w:snapToGrid w:val="0"/>
      <w:jc w:val="left"/>
    </w:pPr>
    <w:rPr>
      <w:kern w:val="0"/>
      <w:sz w:val="18"/>
      <w:szCs w:val="18"/>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37"/>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locked/>
    <w:uiPriority w:val="0"/>
  </w:style>
  <w:style w:type="character" w:styleId="22">
    <w:name w:val="FollowedHyperlink"/>
    <w:qFormat/>
    <w:locked/>
    <w:uiPriority w:val="0"/>
    <w:rPr>
      <w:color w:val="800080"/>
      <w:u w:val="single"/>
    </w:rPr>
  </w:style>
  <w:style w:type="character" w:styleId="23">
    <w:name w:val="HTML Definition"/>
    <w:basedOn w:val="19"/>
    <w:semiHidden/>
    <w:unhideWhenUsed/>
    <w:locked/>
    <w:uiPriority w:val="99"/>
    <w:rPr>
      <w:i/>
      <w:iCs/>
    </w:rPr>
  </w:style>
  <w:style w:type="character" w:styleId="24">
    <w:name w:val="Hyperlink"/>
    <w:qFormat/>
    <w:uiPriority w:val="99"/>
    <w:rPr>
      <w:rFonts w:cs="Times New Roman"/>
      <w:color w:val="0563C1"/>
      <w:u w:val="single"/>
    </w:rPr>
  </w:style>
  <w:style w:type="character" w:styleId="25">
    <w:name w:val="HTML Code"/>
    <w:basedOn w:val="19"/>
    <w:semiHidden/>
    <w:unhideWhenUsed/>
    <w:locked/>
    <w:uiPriority w:val="99"/>
    <w:rPr>
      <w:rFonts w:ascii="Consolas" w:hAnsi="Consolas" w:eastAsia="Consolas" w:cs="Consolas"/>
      <w:sz w:val="21"/>
      <w:szCs w:val="21"/>
    </w:rPr>
  </w:style>
  <w:style w:type="character" w:styleId="26">
    <w:name w:val="annotation reference"/>
    <w:basedOn w:val="19"/>
    <w:qFormat/>
    <w:uiPriority w:val="99"/>
    <w:rPr>
      <w:rFonts w:cs="Times New Roman"/>
      <w:sz w:val="21"/>
    </w:rPr>
  </w:style>
  <w:style w:type="character" w:styleId="27">
    <w:name w:val="HTML Keyboard"/>
    <w:basedOn w:val="19"/>
    <w:semiHidden/>
    <w:unhideWhenUsed/>
    <w:qFormat/>
    <w:locked/>
    <w:uiPriority w:val="99"/>
    <w:rPr>
      <w:rFonts w:hint="default" w:ascii="Consolas" w:hAnsi="Consolas" w:eastAsia="Consolas" w:cs="Consolas"/>
      <w:sz w:val="21"/>
      <w:szCs w:val="21"/>
    </w:rPr>
  </w:style>
  <w:style w:type="character" w:styleId="28">
    <w:name w:val="HTML Sample"/>
    <w:basedOn w:val="19"/>
    <w:semiHidden/>
    <w:unhideWhenUsed/>
    <w:locked/>
    <w:uiPriority w:val="99"/>
    <w:rPr>
      <w:rFonts w:hint="default" w:ascii="Consolas" w:hAnsi="Consolas" w:eastAsia="Consolas" w:cs="Consolas"/>
      <w:sz w:val="21"/>
      <w:szCs w:val="21"/>
    </w:rPr>
  </w:style>
  <w:style w:type="character" w:customStyle="1" w:styleId="29">
    <w:name w:val="标题 1 字符"/>
    <w:link w:val="3"/>
    <w:qFormat/>
    <w:locked/>
    <w:uiPriority w:val="99"/>
    <w:rPr>
      <w:rFonts w:cs="Times New Roman"/>
      <w:b/>
      <w:kern w:val="44"/>
      <w:sz w:val="44"/>
    </w:rPr>
  </w:style>
  <w:style w:type="character" w:customStyle="1" w:styleId="30">
    <w:name w:val="批注文字 字符"/>
    <w:link w:val="6"/>
    <w:qFormat/>
    <w:locked/>
    <w:uiPriority w:val="99"/>
    <w:rPr>
      <w:rFonts w:cs="Times New Roman"/>
      <w:kern w:val="2"/>
      <w:sz w:val="24"/>
    </w:rPr>
  </w:style>
  <w:style w:type="character" w:customStyle="1" w:styleId="31">
    <w:name w:val="正文文本缩进 字符"/>
    <w:link w:val="8"/>
    <w:qFormat/>
    <w:locked/>
    <w:uiPriority w:val="99"/>
    <w:rPr>
      <w:rFonts w:ascii="等线" w:eastAsia="等线" w:cs="Times New Roman"/>
      <w:kern w:val="2"/>
      <w:sz w:val="22"/>
    </w:rPr>
  </w:style>
  <w:style w:type="character" w:customStyle="1" w:styleId="32">
    <w:name w:val="纯文本 字符"/>
    <w:link w:val="10"/>
    <w:qFormat/>
    <w:locked/>
    <w:uiPriority w:val="0"/>
    <w:rPr>
      <w:rFonts w:ascii="宋体" w:hAnsi="Courier New" w:cs="Times New Roman"/>
      <w:kern w:val="2"/>
      <w:sz w:val="21"/>
    </w:rPr>
  </w:style>
  <w:style w:type="character" w:customStyle="1" w:styleId="33">
    <w:name w:val="日期 字符"/>
    <w:link w:val="11"/>
    <w:qFormat/>
    <w:locked/>
    <w:uiPriority w:val="99"/>
    <w:rPr>
      <w:rFonts w:cs="Times New Roman"/>
      <w:kern w:val="2"/>
      <w:sz w:val="24"/>
    </w:rPr>
  </w:style>
  <w:style w:type="character" w:customStyle="1" w:styleId="34">
    <w:name w:val="批注框文本 字符"/>
    <w:link w:val="12"/>
    <w:semiHidden/>
    <w:qFormat/>
    <w:locked/>
    <w:uiPriority w:val="99"/>
    <w:rPr>
      <w:rFonts w:cs="Times New Roman"/>
      <w:sz w:val="2"/>
    </w:rPr>
  </w:style>
  <w:style w:type="character" w:customStyle="1" w:styleId="35">
    <w:name w:val="页脚 字符"/>
    <w:link w:val="13"/>
    <w:semiHidden/>
    <w:qFormat/>
    <w:locked/>
    <w:uiPriority w:val="99"/>
    <w:rPr>
      <w:rFonts w:cs="Times New Roman"/>
      <w:sz w:val="18"/>
      <w:szCs w:val="18"/>
    </w:rPr>
  </w:style>
  <w:style w:type="character" w:customStyle="1" w:styleId="36">
    <w:name w:val="页眉 字符"/>
    <w:link w:val="14"/>
    <w:qFormat/>
    <w:locked/>
    <w:uiPriority w:val="99"/>
    <w:rPr>
      <w:rFonts w:cs="Times New Roman"/>
      <w:kern w:val="2"/>
      <w:sz w:val="18"/>
    </w:rPr>
  </w:style>
  <w:style w:type="character" w:customStyle="1" w:styleId="37">
    <w:name w:val="批注主题 字符"/>
    <w:link w:val="16"/>
    <w:qFormat/>
    <w:locked/>
    <w:uiPriority w:val="99"/>
    <w:rPr>
      <w:rFonts w:cs="Times New Roman"/>
      <w:b/>
      <w:kern w:val="2"/>
      <w:sz w:val="24"/>
    </w:rPr>
  </w:style>
  <w:style w:type="paragraph" w:customStyle="1" w:styleId="38">
    <w:name w:val="Char"/>
    <w:basedOn w:val="1"/>
    <w:qFormat/>
    <w:uiPriority w:val="99"/>
    <w:pPr>
      <w:tabs>
        <w:tab w:val="left" w:pos="360"/>
      </w:tabs>
    </w:pPr>
    <w:rPr>
      <w:sz w:val="24"/>
    </w:rPr>
  </w:style>
  <w:style w:type="character" w:customStyle="1" w:styleId="39">
    <w:name w:val="列出段落 字符"/>
    <w:link w:val="40"/>
    <w:qFormat/>
    <w:locked/>
    <w:uiPriority w:val="0"/>
  </w:style>
  <w:style w:type="paragraph" w:styleId="40">
    <w:name w:val="List Paragraph"/>
    <w:basedOn w:val="1"/>
    <w:link w:val="39"/>
    <w:qFormat/>
    <w:uiPriority w:val="34"/>
    <w:pPr>
      <w:widowControl/>
      <w:ind w:firstLine="420" w:firstLineChars="200"/>
      <w:jc w:val="left"/>
    </w:pPr>
    <w:rPr>
      <w:kern w:val="0"/>
      <w:sz w:val="20"/>
      <w:szCs w:val="20"/>
    </w:rPr>
  </w:style>
  <w:style w:type="table" w:customStyle="1" w:styleId="41">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Placeholder Text"/>
    <w:semiHidden/>
    <w:qFormat/>
    <w:uiPriority w:val="99"/>
    <w:rPr>
      <w:rFonts w:cs="Times New Roman"/>
      <w:color w:val="808080"/>
    </w:rPr>
  </w:style>
  <w:style w:type="paragraph" w:customStyle="1" w:styleId="43">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4">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5">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6">
    <w:name w:val="列出段落2"/>
    <w:basedOn w:val="1"/>
    <w:qFormat/>
    <w:uiPriority w:val="99"/>
    <w:pPr>
      <w:ind w:firstLine="420" w:firstLineChars="200"/>
    </w:pPr>
    <w:rPr>
      <w:rFonts w:ascii="Calibri" w:hAnsi="Calibri"/>
      <w:szCs w:val="22"/>
    </w:rPr>
  </w:style>
  <w:style w:type="character" w:customStyle="1" w:styleId="47">
    <w:name w:val="标题 2 Char Char Char"/>
    <w:qFormat/>
    <w:uiPriority w:val="99"/>
    <w:rPr>
      <w:rFonts w:ascii="Arial" w:hAnsi="Arial" w:eastAsia="黑体"/>
      <w:b/>
      <w:kern w:val="2"/>
      <w:sz w:val="32"/>
      <w:lang w:val="en-US" w:eastAsia="zh-CN"/>
    </w:rPr>
  </w:style>
  <w:style w:type="paragraph" w:customStyle="1" w:styleId="48">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9">
    <w:name w:val="正文文本 字符"/>
    <w:link w:val="7"/>
    <w:qFormat/>
    <w:uiPriority w:val="99"/>
    <w:rPr>
      <w:kern w:val="2"/>
      <w:sz w:val="21"/>
      <w:szCs w:val="24"/>
    </w:rPr>
  </w:style>
  <w:style w:type="paragraph" w:customStyle="1" w:styleId="5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51">
    <w:name w:val="正文2"/>
    <w:basedOn w:val="1"/>
    <w:qFormat/>
    <w:uiPriority w:val="0"/>
    <w:pPr>
      <w:spacing w:before="156" w:line="360" w:lineRule="auto"/>
      <w:ind w:firstLine="510" w:firstLineChars="200"/>
    </w:pPr>
    <w:rPr>
      <w:sz w:val="24"/>
    </w:rPr>
  </w:style>
  <w:style w:type="paragraph" w:customStyle="1" w:styleId="52">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53">
    <w:name w:val="A9"/>
    <w:qFormat/>
    <w:uiPriority w:val="0"/>
    <w:rPr>
      <w:rFonts w:cs="PSFEIH+StoneSans"/>
      <w:color w:val="262424"/>
      <w:sz w:val="20"/>
      <w:szCs w:val="20"/>
    </w:rPr>
  </w:style>
  <w:style w:type="paragraph" w:customStyle="1" w:styleId="54">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5">
    <w:name w:val="A14"/>
    <w:qFormat/>
    <w:uiPriority w:val="99"/>
    <w:rPr>
      <w:rFonts w:cs="Open Sans Light"/>
      <w:color w:val="FFFFFF"/>
      <w:sz w:val="13"/>
      <w:szCs w:val="13"/>
    </w:rPr>
  </w:style>
  <w:style w:type="paragraph" w:customStyle="1" w:styleId="56">
    <w:name w:val="表格文字"/>
    <w:basedOn w:val="1"/>
    <w:next w:val="7"/>
    <w:qFormat/>
    <w:uiPriority w:val="0"/>
    <w:rPr>
      <w:sz w:val="24"/>
    </w:rPr>
  </w:style>
  <w:style w:type="paragraph" w:customStyle="1" w:styleId="5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8">
    <w:name w:val="正文缩进 字符"/>
    <w:link w:val="5"/>
    <w:qFormat/>
    <w:uiPriority w:val="0"/>
    <w:rPr>
      <w:kern w:val="2"/>
      <w:sz w:val="21"/>
      <w:szCs w:val="24"/>
    </w:rPr>
  </w:style>
  <w:style w:type="character" w:customStyle="1" w:styleId="59">
    <w:name w:val="cke_colorbox"/>
    <w:basedOn w:val="19"/>
    <w:qFormat/>
    <w:uiPriority w:val="0"/>
  </w:style>
  <w:style w:type="character" w:customStyle="1" w:styleId="60">
    <w:name w:val="cke_colorbox1"/>
    <w:basedOn w:val="19"/>
    <w:qFormat/>
    <w:uiPriority w:val="0"/>
  </w:style>
  <w:style w:type="character" w:customStyle="1" w:styleId="61">
    <w:name w:val="cke_colorbox2"/>
    <w:basedOn w:val="19"/>
    <w:qFormat/>
    <w:uiPriority w:val="0"/>
    <w:rPr>
      <w:bdr w:val="single" w:color="808080" w:sz="6" w:space="0"/>
    </w:rPr>
  </w:style>
  <w:style w:type="character" w:customStyle="1" w:styleId="62">
    <w:name w:val="passed-node"/>
    <w:basedOn w:val="19"/>
    <w:qFormat/>
    <w:uiPriority w:val="0"/>
    <w:rPr>
      <w:bdr w:val="single" w:color="49A8D4" w:sz="6" w:space="0"/>
      <w:shd w:val="clear" w:fill="A9E3FF"/>
    </w:rPr>
  </w:style>
  <w:style w:type="character" w:customStyle="1" w:styleId="63">
    <w:name w:val="wea-thumbnails-doc-content-subtitle"/>
    <w:basedOn w:val="19"/>
    <w:qFormat/>
    <w:uiPriority w:val="0"/>
    <w:rPr>
      <w:color w:val="9A9A9A"/>
    </w:rPr>
  </w:style>
  <w:style w:type="character" w:customStyle="1" w:styleId="64">
    <w:name w:val="ant-radio+*"/>
    <w:basedOn w:val="19"/>
    <w:qFormat/>
    <w:uiPriority w:val="0"/>
  </w:style>
  <w:style w:type="character" w:customStyle="1" w:styleId="65">
    <w:name w:val="ant-tree-switcher10"/>
    <w:basedOn w:val="19"/>
    <w:qFormat/>
    <w:uiPriority w:val="0"/>
  </w:style>
  <w:style w:type="character" w:customStyle="1" w:styleId="66">
    <w:name w:val="auto-pass-node"/>
    <w:basedOn w:val="19"/>
    <w:qFormat/>
    <w:uiPriority w:val="0"/>
    <w:rPr>
      <w:bdr w:val="single" w:color="DC4446" w:sz="6" w:space="0"/>
      <w:shd w:val="clear" w:fill="A9E2FF"/>
    </w:rPr>
  </w:style>
  <w:style w:type="character" w:customStyle="1" w:styleId="67">
    <w:name w:val="ant-tree-iconele"/>
    <w:basedOn w:val="19"/>
    <w:qFormat/>
    <w:uiPriority w:val="0"/>
  </w:style>
  <w:style w:type="character" w:customStyle="1" w:styleId="68">
    <w:name w:val="button"/>
    <w:basedOn w:val="19"/>
    <w:qFormat/>
    <w:uiPriority w:val="0"/>
  </w:style>
  <w:style w:type="character" w:customStyle="1" w:styleId="69">
    <w:name w:val="button1"/>
    <w:basedOn w:val="19"/>
    <w:qFormat/>
    <w:uiPriority w:val="0"/>
  </w:style>
  <w:style w:type="character" w:customStyle="1" w:styleId="70">
    <w:name w:val="hover37"/>
    <w:basedOn w:val="19"/>
    <w:qFormat/>
    <w:uiPriority w:val="0"/>
    <w:rPr>
      <w:color w:val="009DFF"/>
    </w:rPr>
  </w:style>
  <w:style w:type="character" w:customStyle="1" w:styleId="71">
    <w:name w:val="hover38"/>
    <w:basedOn w:val="19"/>
    <w:qFormat/>
    <w:uiPriority w:val="0"/>
    <w:rPr>
      <w:color w:val="009DFF"/>
    </w:rPr>
  </w:style>
  <w:style w:type="character" w:customStyle="1" w:styleId="72">
    <w:name w:val="not-pass-node"/>
    <w:basedOn w:val="19"/>
    <w:qFormat/>
    <w:uiPriority w:val="0"/>
    <w:rPr>
      <w:color w:val="DC4446"/>
      <w:bdr w:val="single" w:color="5ABD6B" w:sz="6" w:space="0"/>
      <w:shd w:val="clear" w:fill="BFF3C3"/>
    </w:rPr>
  </w:style>
  <w:style w:type="character" w:customStyle="1" w:styleId="73">
    <w:name w:val="first-of-type"/>
    <w:basedOn w:val="19"/>
    <w:qFormat/>
    <w:uiPriority w:val="0"/>
    <w:rPr>
      <w:color w:val="FF0000"/>
    </w:rPr>
  </w:style>
  <w:style w:type="character" w:customStyle="1" w:styleId="74">
    <w:name w:val="first-of-type1"/>
    <w:basedOn w:val="19"/>
    <w:qFormat/>
    <w:uiPriority w:val="0"/>
    <w:rPr>
      <w:color w:val="FF0000"/>
    </w:rPr>
  </w:style>
  <w:style w:type="character" w:customStyle="1" w:styleId="75">
    <w:name w:val="first-of-type2"/>
    <w:basedOn w:val="19"/>
    <w:qFormat/>
    <w:uiPriority w:val="0"/>
    <w:rPr>
      <w:color w:val="FF0000"/>
    </w:rPr>
  </w:style>
  <w:style w:type="character" w:customStyle="1" w:styleId="76">
    <w:name w:val="cke_path_empty"/>
    <w:basedOn w:val="19"/>
    <w:qFormat/>
    <w:uiPriority w:val="0"/>
    <w:rPr>
      <w:b/>
      <w:bCs/>
      <w:color w:val="484848"/>
      <w:sz w:val="16"/>
      <w:szCs w:val="16"/>
      <w:u w:val="none"/>
    </w:rPr>
  </w:style>
  <w:style w:type="character" w:customStyle="1" w:styleId="77">
    <w:name w:val="disabled"/>
    <w:basedOn w:val="19"/>
    <w:qFormat/>
    <w:uiPriority w:val="0"/>
    <w:rPr>
      <w:color w:val="AAAAAA"/>
      <w:shd w:val="clear" w:fill="F7F7F7"/>
    </w:rPr>
  </w:style>
  <w:style w:type="character" w:customStyle="1" w:styleId="78">
    <w:name w:val="ant-table-row-expand-icon"/>
    <w:basedOn w:val="19"/>
    <w:qFormat/>
    <w:uiPriority w:val="0"/>
    <w:rPr>
      <w:vanish/>
    </w:rPr>
  </w:style>
  <w:style w:type="character" w:customStyle="1" w:styleId="79">
    <w:name w:val="wea-dropdown-triangle"/>
    <w:basedOn w:val="19"/>
    <w:qFormat/>
    <w:uiPriority w:val="0"/>
  </w:style>
  <w:style w:type="character" w:customStyle="1" w:styleId="80">
    <w:name w:val="ant-select-tree-iconele"/>
    <w:basedOn w:val="19"/>
    <w:qFormat/>
    <w:uiPriority w:val="0"/>
  </w:style>
  <w:style w:type="character" w:customStyle="1" w:styleId="81">
    <w:name w:val="ant-select-tree-checkbox2"/>
    <w:basedOn w:val="19"/>
    <w:qFormat/>
    <w:uiPriority w:val="0"/>
  </w:style>
  <w:style w:type="character" w:customStyle="1" w:styleId="82">
    <w:name w:val="ant-select-tree-switcher"/>
    <w:basedOn w:val="19"/>
    <w:qFormat/>
    <w:uiPriority w:val="0"/>
  </w:style>
  <w:style w:type="character" w:customStyle="1" w:styleId="83">
    <w:name w:val="ant-tree-checkbox8"/>
    <w:basedOn w:val="19"/>
    <w:qFormat/>
    <w:uiPriority w:val="0"/>
  </w:style>
  <w:style w:type="character" w:customStyle="1" w:styleId="84">
    <w:name w:val="current-node"/>
    <w:basedOn w:val="19"/>
    <w:qFormat/>
    <w:uiPriority w:val="0"/>
    <w:rPr>
      <w:bdr w:val="single" w:color="F5B87B" w:sz="6" w:space="0"/>
      <w:shd w:val="clear" w:fill="FFE8CC"/>
    </w:rPr>
  </w:style>
  <w:style w:type="character" w:customStyle="1" w:styleId="85">
    <w:name w:val="cke_dialog_ui_button2"/>
    <w:basedOn w:val="19"/>
    <w:qFormat/>
    <w:uiPriority w:val="0"/>
  </w:style>
  <w:style w:type="character" w:customStyle="1" w:styleId="86">
    <w:name w:val="tmpztreemove_arrow"/>
    <w:basedOn w:val="19"/>
    <w:qFormat/>
    <w:uiPriority w:val="0"/>
  </w:style>
  <w:style w:type="character" w:customStyle="1" w:styleId="87">
    <w:name w:val="cke_notification_progress"/>
    <w:basedOn w:val="19"/>
    <w:qFormat/>
    <w:uiPriority w:val="0"/>
    <w:rPr>
      <w:shd w:val="clear" w:fill="0F74A8"/>
    </w:rPr>
  </w:style>
  <w:style w:type="character" w:customStyle="1" w:styleId="88">
    <w:name w:val="isrevision"/>
    <w:basedOn w:val="19"/>
    <w:qFormat/>
    <w:uiPriority w:val="0"/>
    <w:rPr>
      <w:color w:val="000000"/>
      <w:sz w:val="18"/>
      <w:szCs w:val="18"/>
      <w:bdr w:val="single" w:color="E9E9E9" w:sz="6" w:space="0"/>
      <w:shd w:val="clear" w:fill="FFFFFF"/>
    </w:rPr>
  </w:style>
  <w:style w:type="character" w:customStyle="1" w:styleId="89">
    <w:name w:val="disabled4"/>
    <w:basedOn w:val="19"/>
    <w:qFormat/>
    <w:uiPriority w:val="0"/>
    <w:rPr>
      <w:color w:val="AAAAAA"/>
      <w:shd w:val="clear" w:fill="F7F7F7"/>
    </w:rPr>
  </w:style>
  <w:style w:type="character" w:customStyle="1" w:styleId="90">
    <w:name w:val="ant-select-tree-checkbox"/>
    <w:basedOn w:val="19"/>
    <w:qFormat/>
    <w:uiPriority w:val="0"/>
  </w:style>
  <w:style w:type="character" w:customStyle="1" w:styleId="91">
    <w:name w:val="cke_colorbox3"/>
    <w:basedOn w:val="19"/>
    <w:qFormat/>
    <w:uiPriority w:val="0"/>
    <w:rPr>
      <w:bdr w:val="single" w:color="808080" w:sz="6" w:space="0"/>
    </w:rPr>
  </w:style>
  <w:style w:type="character" w:customStyle="1" w:styleId="92">
    <w:name w:val="ant-tree-checkbox7"/>
    <w:basedOn w:val="19"/>
    <w:qFormat/>
    <w:uiPriority w:val="0"/>
  </w:style>
  <w:style w:type="character" w:customStyle="1" w:styleId="93">
    <w:name w:val="cke_path_empty2"/>
    <w:basedOn w:val="19"/>
    <w:qFormat/>
    <w:uiPriority w:val="0"/>
    <w:rPr>
      <w:b/>
      <w:bCs/>
      <w:color w:val="484848"/>
      <w:sz w:val="16"/>
      <w:szCs w:val="16"/>
      <w:u w:val="none"/>
    </w:rPr>
  </w:style>
  <w:style w:type="character" w:customStyle="1" w:styleId="94">
    <w:name w:val="hover32"/>
    <w:basedOn w:val="19"/>
    <w:qFormat/>
    <w:uiPriority w:val="0"/>
    <w:rPr>
      <w:color w:val="009DFF"/>
    </w:rPr>
  </w:style>
  <w:style w:type="character" w:customStyle="1" w:styleId="95">
    <w:name w:val="hover33"/>
    <w:basedOn w:val="19"/>
    <w:qFormat/>
    <w:uiPriority w:val="0"/>
    <w:rPr>
      <w:color w:val="009DFF"/>
    </w:rPr>
  </w:style>
  <w:style w:type="character" w:customStyle="1" w:styleId="96">
    <w:name w:val="ant-tree-switcher8"/>
    <w:basedOn w:val="19"/>
    <w:qFormat/>
    <w:uiPriority w:val="0"/>
  </w:style>
  <w:style w:type="character" w:customStyle="1" w:styleId="97">
    <w:name w:val="cke_dialog_ui_button1"/>
    <w:basedOn w:val="19"/>
    <w:qFormat/>
    <w:uiPriority w:val="0"/>
  </w:style>
  <w:style w:type="character" w:customStyle="1" w:styleId="98">
    <w:name w:val="ant-table-row-expand-icon4"/>
    <w:basedOn w:val="19"/>
    <w:qFormat/>
    <w:uiPriority w:val="0"/>
    <w:rPr>
      <w:vanish/>
    </w:rPr>
  </w:style>
  <w:style w:type="character" w:customStyle="1" w:styleId="99">
    <w:name w:val="last-child"/>
    <w:basedOn w:val="19"/>
    <w:uiPriority w:val="0"/>
  </w:style>
  <w:style w:type="character" w:customStyle="1" w:styleId="100">
    <w:name w:val="ant-tree-checkbox"/>
    <w:basedOn w:val="19"/>
    <w:qFormat/>
    <w:uiPriority w:val="0"/>
  </w:style>
  <w:style w:type="character" w:customStyle="1" w:styleId="101">
    <w:name w:val="ant-tree-switcher6"/>
    <w:basedOn w:val="19"/>
    <w:qFormat/>
    <w:uiPriority w:val="0"/>
  </w:style>
  <w:style w:type="character" w:customStyle="1" w:styleId="102">
    <w:name w:val="hover19"/>
    <w:basedOn w:val="19"/>
    <w:qFormat/>
    <w:uiPriority w:val="0"/>
    <w:rPr>
      <w:color w:val="009DFF"/>
    </w:rPr>
  </w:style>
  <w:style w:type="character" w:customStyle="1" w:styleId="103">
    <w:name w:val="hover20"/>
    <w:basedOn w:val="19"/>
    <w:qFormat/>
    <w:uiPriority w:val="0"/>
    <w:rPr>
      <w:color w:val="009DFF"/>
    </w:rPr>
  </w:style>
  <w:style w:type="character" w:customStyle="1" w:styleId="104">
    <w:name w:val="button2"/>
    <w:basedOn w:val="19"/>
    <w:qFormat/>
    <w:uiPriority w:val="0"/>
  </w:style>
  <w:style w:type="character" w:customStyle="1" w:styleId="105">
    <w:name w:val="button3"/>
    <w:basedOn w:val="1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B91544-39D8-4337-BAD2-B8F5CEA8ABE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2786</Words>
  <Characters>15885</Characters>
  <Lines>132</Lines>
  <Paragraphs>37</Paragraphs>
  <TotalTime>2</TotalTime>
  <ScaleCrop>false</ScaleCrop>
  <LinksUpToDate>false</LinksUpToDate>
  <CharactersWithSpaces>18634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2021-12-30T02:47:49Z</dcterms:modified>
  <dc:title>淮海工学院A8-10号楼学生宿舍家具招标书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2B990667E59243B3B6E42871E4D5E75B</vt:lpwstr>
  </property>
</Properties>
</file>