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1"/>
      <w:bookmarkStart w:id="1" w:name="OLE_LINK2"/>
      <w:r>
        <w:rPr>
          <w:b/>
          <w:sz w:val="44"/>
          <w:szCs w:val="44"/>
          <w:highlight w:val="none"/>
        </w:rPr>
        <w:t>南京信息工程</w:t>
      </w:r>
      <w:r>
        <w:rPr>
          <w:rFonts w:hint="eastAsia"/>
          <w:b/>
          <w:sz w:val="44"/>
          <w:szCs w:val="44"/>
          <w:highlight w:val="none"/>
        </w:rPr>
        <w:t>大学</w:t>
      </w:r>
      <w:bookmarkEnd w:id="0"/>
      <w:bookmarkEnd w:id="1"/>
      <w:r>
        <w:rPr>
          <w:rFonts w:hint="eastAsia"/>
          <w:b/>
          <w:sz w:val="44"/>
          <w:szCs w:val="44"/>
          <w:highlight w:val="none"/>
          <w:lang w:val="en-US" w:eastAsia="zh-CN"/>
        </w:rPr>
        <w:t>2022年春季国际课程视频制作服务</w:t>
      </w:r>
      <w:r>
        <w:rPr>
          <w:rFonts w:hint="eastAsia"/>
          <w:b/>
          <w:sz w:val="44"/>
          <w:szCs w:val="44"/>
          <w:highlight w:val="none"/>
        </w:rPr>
        <w:t>采购项目招标文件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 xml:space="preserve"> </w:t>
      </w:r>
      <w:r>
        <w:rPr>
          <w:rFonts w:hint="eastAsia" w:ascii="仿宋" w:hAnsi="仿宋" w:eastAsia="仿宋" w:cs="仿宋"/>
          <w:i w:val="0"/>
          <w:iCs w:val="0"/>
          <w:caps w:val="0"/>
          <w:color w:val="000000"/>
          <w:spacing w:val="0"/>
          <w:kern w:val="0"/>
          <w:sz w:val="28"/>
          <w:szCs w:val="28"/>
          <w:highlight w:val="none"/>
          <w:u w:val="single"/>
          <w:lang w:val="en-US" w:eastAsia="zh-CN" w:bidi="ar"/>
        </w:rPr>
        <w:t>JZCG-2021-00154</w:t>
      </w:r>
      <w:r>
        <w:rPr>
          <w:rFonts w:hint="eastAsia" w:ascii="宋体" w:hAnsi="宋体" w:cs="仿宋"/>
          <w:sz w:val="28"/>
          <w:szCs w:val="28"/>
          <w:highlight w:val="none"/>
          <w:u w:val="single"/>
          <w:lang w:val="en-US" w:eastAsia="zh-CN"/>
        </w:rPr>
        <w:t xml:space="preserve"> </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 xml:space="preserve"> 26 </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val="en-US" w:eastAsia="zh-CN"/>
        </w:rPr>
        <w:t>国际合作与交流处</w:t>
      </w:r>
      <w:r>
        <w:rPr>
          <w:rFonts w:ascii="宋体" w:hAnsi="宋体"/>
          <w:sz w:val="28"/>
          <w:szCs w:val="28"/>
          <w:highlight w:val="none"/>
        </w:rPr>
        <w:t>委托，就</w:t>
      </w:r>
      <w:r>
        <w:rPr>
          <w:rFonts w:hint="eastAsia" w:ascii="宋体" w:hAnsi="宋体" w:cs="宋体"/>
          <w:kern w:val="0"/>
          <w:sz w:val="28"/>
          <w:szCs w:val="28"/>
          <w:highlight w:val="none"/>
          <w:lang w:val="en-US" w:eastAsia="zh-CN"/>
        </w:rPr>
        <w:t>南京信息工程大学2022年春季国际课程视频制作服务</w:t>
      </w:r>
      <w:r>
        <w:rPr>
          <w:rFonts w:hint="eastAsia" w:ascii="宋体" w:hAnsi="宋体"/>
          <w:sz w:val="28"/>
          <w:szCs w:val="28"/>
          <w:highlight w:val="none"/>
        </w:rPr>
        <w:t>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5"/>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5"/>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cs="宋体"/>
          <w:kern w:val="0"/>
          <w:sz w:val="28"/>
          <w:szCs w:val="28"/>
          <w:highlight w:val="none"/>
          <w:lang w:val="en-US" w:eastAsia="zh-CN"/>
        </w:rPr>
        <w:t>2022年春季国际课程视频制作服务</w:t>
      </w:r>
      <w:r>
        <w:rPr>
          <w:rFonts w:hint="eastAsia" w:ascii="宋体" w:hAnsi="宋体"/>
          <w:sz w:val="28"/>
          <w:szCs w:val="28"/>
          <w:highlight w:val="none"/>
        </w:rPr>
        <w:t>采</w:t>
      </w:r>
      <w:r>
        <w:rPr>
          <w:rFonts w:hint="eastAsia" w:ascii="宋体" w:hAnsi="宋体"/>
          <w:sz w:val="28"/>
          <w:szCs w:val="28"/>
          <w:highlight w:val="none"/>
        </w:rPr>
        <w:t>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240" w:beforeLines="100" w:after="24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r>
        <w:rPr>
          <w:rFonts w:hint="eastAsia" w:ascii="宋体" w:hAnsi="宋体" w:cs="宋体"/>
          <w:bCs/>
          <w:sz w:val="28"/>
          <w:szCs w:val="28"/>
          <w:highlight w:val="none"/>
          <w:lang w:eastAsia="zh-CN"/>
        </w:rPr>
        <w:t>；</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lang w:val="en-US" w:eastAsia="zh-CN"/>
        </w:rPr>
        <w:t>7.</w:t>
      </w:r>
      <w:r>
        <w:rPr>
          <w:rFonts w:hint="eastAsia" w:ascii="宋体" w:hAnsi="宋体" w:cs="宋体"/>
          <w:bCs/>
          <w:sz w:val="28"/>
          <w:szCs w:val="28"/>
          <w:highlight w:val="none"/>
        </w:rPr>
        <w:t>有依法缴纳社会保障资金的良好记录，提供距开标时间六个月内任意一月份的依法缴纳社会保障资金的凭据复印件加盖公章；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8</w:t>
      </w:r>
      <w:r>
        <w:rPr>
          <w:rFonts w:hint="eastAsia" w:ascii="宋体" w:hAnsi="宋体" w:cs="宋体"/>
          <w:bCs/>
          <w:sz w:val="28"/>
          <w:szCs w:val="28"/>
          <w:highlight w:val="none"/>
        </w:rPr>
        <w:t>.本项目拒绝下述供应商参加本次采购活动的情形：</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rFonts w:hint="eastAsia"/>
          <w:highlight w:val="none"/>
        </w:rPr>
      </w:pPr>
      <w:r>
        <w:rPr>
          <w:rFonts w:hint="eastAsia" w:ascii="宋体" w:hAnsi="宋体" w:cs="宋体"/>
          <w:bCs/>
          <w:sz w:val="28"/>
          <w:szCs w:val="28"/>
          <w:highlight w:val="none"/>
          <w:lang w:val="en-US" w:eastAsia="zh-CN"/>
        </w:rPr>
        <w:t>9</w:t>
      </w:r>
      <w:r>
        <w:rPr>
          <w:rFonts w:hint="eastAsia" w:ascii="宋体" w:hAnsi="宋体" w:cs="宋体"/>
          <w:bCs/>
          <w:sz w:val="28"/>
          <w:szCs w:val="28"/>
          <w:highlight w:val="none"/>
        </w:rPr>
        <w:t>.本项目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43"/>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w:t>
      </w:r>
      <w:r>
        <w:rPr>
          <w:rFonts w:hint="eastAsia"/>
          <w:color w:val="auto"/>
          <w:kern w:val="2"/>
          <w:sz w:val="28"/>
          <w:szCs w:val="28"/>
          <w:highlight w:val="none"/>
        </w:rPr>
        <w:t>为</w:t>
      </w:r>
      <w:r>
        <w:rPr>
          <w:rFonts w:hint="eastAsia"/>
          <w:color w:val="auto"/>
          <w:kern w:val="2"/>
          <w:sz w:val="28"/>
          <w:szCs w:val="28"/>
          <w:highlight w:val="none"/>
          <w:lang w:val="en-US" w:eastAsia="zh-CN"/>
        </w:rPr>
        <w:t xml:space="preserve"> 29.00</w:t>
      </w:r>
      <w:r>
        <w:rPr>
          <w:rFonts w:hint="eastAsia"/>
          <w:color w:val="auto"/>
          <w:kern w:val="2"/>
          <w:sz w:val="28"/>
          <w:szCs w:val="28"/>
          <w:highlight w:val="none"/>
        </w:rPr>
        <w:t>万元，本项目只接受人民币报价。</w:t>
      </w:r>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JZCG-2021-00154</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w:t>
      </w:r>
      <w:r>
        <w:rPr>
          <w:rFonts w:hint="eastAsia" w:ascii="宋体" w:hAnsi="宋体" w:cs="宋体"/>
          <w:sz w:val="28"/>
          <w:szCs w:val="28"/>
          <w:highlight w:val="none"/>
          <w:lang w:val="en-US" w:eastAsia="zh-CN"/>
        </w:rPr>
        <w:t>本项目</w:t>
      </w:r>
      <w:r>
        <w:rPr>
          <w:rFonts w:hint="eastAsia" w:ascii="宋体" w:hAnsi="宋体" w:cs="宋体"/>
          <w:sz w:val="28"/>
          <w:szCs w:val="28"/>
          <w:highlight w:val="none"/>
        </w:rPr>
        <w:t>，签订合同后，20日内预付合同金额的30%，全部服务完成并验收合格后，凭验收凭证等文件20内支付至合同金额的100%</w:t>
      </w:r>
      <w:r>
        <w:rPr>
          <w:rFonts w:hint="eastAsia" w:ascii="宋体" w:hAnsi="宋体" w:cs="宋体"/>
          <w:sz w:val="28"/>
          <w:szCs w:val="28"/>
          <w:highlight w:val="none"/>
          <w:lang w:eastAsia="zh-CN"/>
        </w:rPr>
        <w:t>，</w:t>
      </w:r>
      <w:r>
        <w:rPr>
          <w:rFonts w:hint="eastAsia" w:ascii="宋体" w:hAnsi="宋体" w:cs="宋体"/>
          <w:sz w:val="28"/>
          <w:szCs w:val="28"/>
          <w:highlight w:val="none"/>
        </w:rPr>
        <w:t>质保期满后，经有关单位确认无质量问题后，一次性无息付清所有保证金。具体内容以最终签署的合同约定为准。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JZCG-2021-00154</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hint="eastAsia"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hint="default" w:eastAsia="宋体"/>
          <w:highlight w:val="none"/>
          <w:lang w:val="en-US" w:eastAsia="zh-CN"/>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投标保证金</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此项目不收取投标保证金。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lang w:val="en-US" w:eastAsia="zh-CN"/>
        </w:rPr>
        <w:t>6</w:t>
      </w:r>
      <w:r>
        <w:rPr>
          <w:rFonts w:ascii="宋体" w:hAnsi="宋体" w:cs="宋体"/>
          <w:sz w:val="28"/>
          <w:szCs w:val="28"/>
          <w:highlight w:val="none"/>
        </w:rPr>
        <w:t>.</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仅中标单位需缴纳中标价的10%作为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lang w:val="en-US" w:eastAsia="zh-CN"/>
        </w:rPr>
        <w:t>7</w:t>
      </w:r>
      <w:r>
        <w:rPr>
          <w:rFonts w:ascii="宋体" w:hAnsi="宋体" w:cs="宋体"/>
          <w:sz w:val="28"/>
          <w:szCs w:val="28"/>
          <w:highlight w:val="none"/>
        </w:rPr>
        <w:t>.</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hint="eastAsia" w:ascii="宋体" w:hAnsi="宋体" w:cs="宋体"/>
          <w:sz w:val="28"/>
          <w:szCs w:val="28"/>
          <w:highlight w:val="none"/>
          <w:lang w:val="en-US" w:eastAsia="zh-CN"/>
        </w:rPr>
        <w:t>8</w:t>
      </w:r>
      <w:r>
        <w:rPr>
          <w:rFonts w:ascii="宋体" w:hAnsi="宋体" w:cs="宋体"/>
          <w:sz w:val="28"/>
          <w:szCs w:val="28"/>
          <w:highlight w:val="none"/>
        </w:rPr>
        <w:t>.</w:t>
      </w:r>
      <w:r>
        <w:rPr>
          <w:rFonts w:hint="eastAsia" w:ascii="宋体" w:hAnsi="宋体" w:cs="宋体"/>
          <w:sz w:val="28"/>
          <w:szCs w:val="28"/>
          <w:highlight w:val="none"/>
        </w:rPr>
        <w:t>质保：参照附件4服务要求</w:t>
      </w:r>
    </w:p>
    <w:p>
      <w:pPr>
        <w:spacing w:before="240" w:beforeLines="100" w:after="24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（1）投标送达方式：</w:t>
      </w:r>
      <w:r>
        <w:rPr>
          <w:rFonts w:hint="eastAsia" w:ascii="宋体" w:hAnsi="宋体"/>
          <w:b/>
          <w:bCs/>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w:t>
      </w:r>
      <w:r>
        <w:rPr>
          <w:rFonts w:hint="eastAsia" w:ascii="宋体" w:hAnsi="宋体"/>
          <w:b/>
          <w:bCs/>
          <w:sz w:val="28"/>
          <w:szCs w:val="28"/>
          <w:highlight w:val="none"/>
        </w:rPr>
        <w:t>（注：由于疫情管理，我单位不接收顺丰同城急送，请各投标单位合理安排时间并自行负责）</w:t>
      </w:r>
      <w:r>
        <w:rPr>
          <w:rFonts w:hint="eastAsia" w:ascii="宋体" w:hAnsi="宋体"/>
          <w:sz w:val="28"/>
          <w:szCs w:val="28"/>
          <w:highlight w:val="none"/>
        </w:rPr>
        <w:t>。</w:t>
      </w:r>
      <w:r>
        <w:rPr>
          <w:rFonts w:hint="eastAsia" w:ascii="宋体" w:hAnsi="宋体"/>
          <w:b/>
          <w:bCs/>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仿宋" w:hAnsi="仿宋" w:eastAsia="仿宋" w:cs="仿宋"/>
          <w:i w:val="0"/>
          <w:iCs w:val="0"/>
          <w:caps w:val="0"/>
          <w:color w:val="000000"/>
          <w:spacing w:val="0"/>
          <w:kern w:val="0"/>
          <w:sz w:val="28"/>
          <w:szCs w:val="28"/>
          <w:lang w:val="en-US" w:eastAsia="zh-CN" w:bidi="ar"/>
        </w:rPr>
        <w:t>2021年12月16日14：30（北京时间）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w:t>
      </w:r>
      <w:r>
        <w:rPr>
          <w:rFonts w:hint="eastAsia" w:ascii="宋体" w:hAnsi="宋体" w:cs="宋体"/>
          <w:kern w:val="0"/>
          <w:sz w:val="28"/>
          <w:szCs w:val="28"/>
          <w:highlight w:val="none"/>
          <w:lang w:val="en-US" w:eastAsia="zh-CN"/>
        </w:rPr>
        <w:t>罗老师、刘</w:t>
      </w:r>
      <w:r>
        <w:rPr>
          <w:rFonts w:hint="eastAsia" w:ascii="宋体" w:hAnsi="宋体" w:cs="宋体"/>
          <w:kern w:val="0"/>
          <w:sz w:val="28"/>
          <w:szCs w:val="28"/>
          <w:highlight w:val="none"/>
        </w:rPr>
        <w:t>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adjustRightInd w:val="0"/>
        <w:snapToGrid w:val="0"/>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（1）开标、唱标：2021年12月16日14：30（北京时间）；(不安排公开开标、唱标，由招标办工作人员在我校纪检监察部门监督见证下进行，开标、唱标工作全程视频监控并录像)。</w:t>
      </w:r>
    </w:p>
    <w:p>
      <w:pPr>
        <w:widowControl/>
        <w:adjustRightInd w:val="0"/>
        <w:snapToGrid w:val="0"/>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（2）唱标和开标地点：南京信息工程大学东苑大学生创业中心3号楼（体育馆北面三层小楼）210室。</w:t>
      </w:r>
    </w:p>
    <w:p>
      <w:pPr>
        <w:widowControl/>
        <w:adjustRightInd w:val="0"/>
        <w:snapToGrid w:val="0"/>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6.相关单位联系人及电话</w:t>
      </w:r>
      <w:bookmarkStart w:id="11" w:name="_GoBack"/>
      <w:bookmarkEnd w:id="11"/>
    </w:p>
    <w:p>
      <w:pPr>
        <w:widowControl/>
        <w:adjustRightInd w:val="0"/>
        <w:snapToGrid w:val="0"/>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（1）招标办：联系电话：025-58731441，联系人：马老师、罗老师、刘老师；</w:t>
      </w:r>
    </w:p>
    <w:p>
      <w:pPr>
        <w:widowControl/>
        <w:adjustRightInd w:val="0"/>
        <w:snapToGrid w:val="0"/>
        <w:spacing w:line="360" w:lineRule="auto"/>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w:t>
      </w:r>
      <w:bookmarkEnd w:id="6"/>
      <w:r>
        <w:rPr>
          <w:rFonts w:hint="eastAsia" w:ascii="宋体" w:hAnsi="宋体" w:cs="宋体"/>
          <w:kern w:val="0"/>
          <w:sz w:val="28"/>
          <w:szCs w:val="28"/>
          <w:highlight w:val="none"/>
          <w:lang w:val="en-US" w:eastAsia="zh-CN"/>
        </w:rPr>
        <w:t>用户单位联系电话：025-58235101，联系人：邢老师。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2"/>
          <w:rFonts w:ascii="宋体" w:hAnsi="Times New Roman" w:eastAsia="宋体"/>
          <w:sz w:val="28"/>
          <w:szCs w:val="28"/>
          <w:highlight w:val="none"/>
        </w:rPr>
      </w:pPr>
      <w:r>
        <w:rPr>
          <w:rStyle w:val="42"/>
          <w:rFonts w:ascii="宋体" w:hAnsi="宋体" w:eastAsia="宋体"/>
          <w:sz w:val="28"/>
          <w:szCs w:val="28"/>
          <w:highlight w:val="none"/>
        </w:rPr>
        <w:t>20</w:t>
      </w:r>
      <w:r>
        <w:rPr>
          <w:rStyle w:val="42"/>
          <w:rFonts w:hint="eastAsia" w:ascii="宋体" w:hAnsi="宋体" w:eastAsia="宋体"/>
          <w:sz w:val="28"/>
          <w:szCs w:val="28"/>
          <w:highlight w:val="none"/>
        </w:rPr>
        <w:t>2</w:t>
      </w:r>
      <w:r>
        <w:rPr>
          <w:rStyle w:val="42"/>
          <w:rFonts w:hint="eastAsia" w:ascii="宋体" w:hAnsi="宋体"/>
          <w:sz w:val="28"/>
          <w:szCs w:val="28"/>
          <w:highlight w:val="none"/>
          <w:lang w:val="en-US"/>
        </w:rPr>
        <w:t>1</w:t>
      </w:r>
      <w:r>
        <w:rPr>
          <w:rStyle w:val="42"/>
          <w:rFonts w:hint="eastAsia" w:ascii="宋体" w:hAnsi="宋体" w:eastAsia="宋体"/>
          <w:sz w:val="28"/>
          <w:szCs w:val="28"/>
          <w:highlight w:val="none"/>
        </w:rPr>
        <w:t>年</w:t>
      </w:r>
      <w:r>
        <w:rPr>
          <w:rStyle w:val="42"/>
          <w:rFonts w:hint="eastAsia" w:ascii="宋体" w:hAnsi="宋体"/>
          <w:sz w:val="28"/>
          <w:szCs w:val="28"/>
          <w:highlight w:val="none"/>
          <w:lang w:val="en-US"/>
        </w:rPr>
        <w:t>11</w:t>
      </w:r>
      <w:r>
        <w:rPr>
          <w:rStyle w:val="42"/>
          <w:rFonts w:hint="eastAsia" w:ascii="宋体" w:hAnsi="宋体" w:eastAsia="宋体"/>
          <w:sz w:val="28"/>
          <w:szCs w:val="28"/>
          <w:highlight w:val="none"/>
        </w:rPr>
        <w:t>月</w:t>
      </w:r>
      <w:r>
        <w:rPr>
          <w:rStyle w:val="42"/>
          <w:rFonts w:hint="eastAsia" w:ascii="宋体" w:hAnsi="宋体"/>
          <w:sz w:val="28"/>
          <w:szCs w:val="28"/>
          <w:highlight w:val="none"/>
          <w:lang w:val="en-US"/>
        </w:rPr>
        <w:t xml:space="preserve"> 26 </w:t>
      </w:r>
      <w:r>
        <w:rPr>
          <w:rStyle w:val="42"/>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2"/>
          <w:rFonts w:ascii="宋体" w:hAnsi="宋体" w:eastAsia="宋体"/>
          <w:b w:val="0"/>
          <w:sz w:val="28"/>
          <w:szCs w:val="28"/>
          <w:highlight w:val="none"/>
        </w:rPr>
      </w:pPr>
      <w:r>
        <w:rPr>
          <w:rStyle w:val="42"/>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ind w:left="839" w:leftChars="266" w:hanging="280" w:hangingChars="100"/>
        <w:rPr>
          <w:rFonts w:hint="eastAsia" w:hAnsi="宋体"/>
          <w:b w:val="0"/>
          <w:bCs/>
          <w:sz w:val="28"/>
          <w:szCs w:val="28"/>
          <w:highlight w:val="none"/>
          <w:lang w:val="en-US" w:eastAsia="zh-CN"/>
        </w:rPr>
      </w:pPr>
      <w:r>
        <w:rPr>
          <w:rFonts w:hint="eastAsia" w:hAnsi="宋体"/>
          <w:b w:val="0"/>
          <w:bCs/>
          <w:sz w:val="28"/>
          <w:szCs w:val="28"/>
          <w:highlight w:val="none"/>
          <w:lang w:val="en-US" w:eastAsia="zh-CN"/>
        </w:rPr>
        <w:t>一、招标项目概况</w:t>
      </w:r>
    </w:p>
    <w:p>
      <w:pPr>
        <w:ind w:left="838" w:leftChars="399" w:firstLine="840" w:firstLineChars="300"/>
        <w:rPr>
          <w:rFonts w:hint="eastAsia" w:hAnsi="宋体"/>
          <w:b w:val="0"/>
          <w:bCs/>
          <w:sz w:val="28"/>
          <w:szCs w:val="28"/>
          <w:highlight w:val="none"/>
          <w:lang w:val="en-US" w:eastAsia="zh-CN"/>
        </w:rPr>
      </w:pPr>
      <w:r>
        <w:rPr>
          <w:rFonts w:hint="eastAsia" w:ascii="宋体" w:hAnsi="宋体" w:cs="宋体"/>
          <w:kern w:val="0"/>
          <w:sz w:val="28"/>
          <w:szCs w:val="28"/>
          <w:highlight w:val="none"/>
          <w:lang w:val="en-US" w:eastAsia="zh-CN"/>
        </w:rPr>
        <w:t>按国际课程建设要求，完成南京信息工程大学9门课程教学视频建设，包括在线开放课程教学视频规划、设计、拍摄、制作、上传。视频课程后期修改、上线辅助运行等。具体课程及预计拍摄时长如下：</w:t>
      </w:r>
    </w:p>
    <w:tbl>
      <w:tblPr>
        <w:tblStyle w:val="18"/>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3564"/>
        <w:gridCol w:w="1540"/>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序号</w:t>
            </w:r>
          </w:p>
        </w:tc>
        <w:tc>
          <w:tcPr>
            <w:tcW w:w="3564"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课程名称</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课程类别</w:t>
            </w:r>
          </w:p>
        </w:tc>
        <w:tc>
          <w:tcPr>
            <w:tcW w:w="2126" w:type="dxa"/>
          </w:tcPr>
          <w:p>
            <w:pPr>
              <w:jc w:val="center"/>
              <w:rPr>
                <w:rFonts w:hint="eastAsia"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拍摄单元</w:t>
            </w:r>
          </w:p>
          <w:p>
            <w:pPr>
              <w:jc w:val="center"/>
              <w:rPr>
                <w:rFonts w:hint="default"/>
                <w:highlight w:val="none"/>
                <w:lang w:val="en-US" w:eastAsia="zh-CN"/>
              </w:rPr>
            </w:pPr>
            <w:r>
              <w:rPr>
                <w:rFonts w:hint="eastAsia" w:ascii="宋体" w:hAnsi="宋体" w:cs="宋体"/>
                <w:kern w:val="0"/>
                <w:sz w:val="28"/>
                <w:szCs w:val="28"/>
                <w:highlight w:val="none"/>
                <w:vertAlign w:val="baseline"/>
                <w:lang w:val="en-US" w:eastAsia="zh-CN"/>
              </w:rPr>
              <w:t>（个）</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单元视频时长（分钟）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1</w:t>
            </w:r>
          </w:p>
        </w:tc>
        <w:tc>
          <w:tcPr>
            <w:tcW w:w="3564" w:type="dxa"/>
          </w:tcPr>
          <w:p>
            <w:pPr>
              <w:jc w:val="center"/>
              <w:rPr>
                <w:rFonts w:hint="default" w:ascii="宋体" w:hAnsi="宋体" w:cs="宋体"/>
                <w:kern w:val="0"/>
                <w:sz w:val="28"/>
                <w:szCs w:val="28"/>
                <w:highlight w:val="none"/>
                <w:vertAlign w:val="baseline"/>
                <w:lang w:val="en-US" w:eastAsia="zh-CN"/>
              </w:rPr>
            </w:pPr>
            <w:r>
              <w:rPr>
                <w:rFonts w:hint="default" w:ascii="Times New Roman" w:hAnsi="Times New Roman" w:eastAsia="宋体" w:cs="Times New Roman"/>
                <w:i w:val="0"/>
                <w:iCs w:val="0"/>
                <w:color w:val="000000"/>
                <w:kern w:val="0"/>
                <w:sz w:val="28"/>
                <w:szCs w:val="28"/>
                <w:highlight w:val="none"/>
                <w:u w:val="none"/>
                <w:lang w:val="en-US" w:eastAsia="zh-CN" w:bidi="ar"/>
              </w:rPr>
              <w:t>Statistics</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理学类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Environmental Biophysics</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工科类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3</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 xml:space="preserve">Creative Design Thinking </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文管类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4</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Automatic Control Theory</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工科类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5</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Wireless Sensor Networks</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工科类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6</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 xml:space="preserve">Climate Change and </w:t>
            </w:r>
            <w:r>
              <w:rPr>
                <w:rFonts w:hint="eastAsia" w:cs="Times New Roman"/>
                <w:i w:val="0"/>
                <w:iCs w:val="0"/>
                <w:color w:val="000000"/>
                <w:kern w:val="0"/>
                <w:sz w:val="28"/>
                <w:szCs w:val="28"/>
                <w:highlight w:val="none"/>
                <w:u w:val="none"/>
                <w:lang w:val="en-US" w:eastAsia="zh-CN" w:bidi="ar"/>
              </w:rPr>
              <w:t>Human</w:t>
            </w:r>
            <w:r>
              <w:rPr>
                <w:rFonts w:hint="default" w:ascii="Times New Roman" w:hAnsi="Times New Roman" w:eastAsia="宋体" w:cs="Times New Roman"/>
                <w:i w:val="0"/>
                <w:iCs w:val="0"/>
                <w:color w:val="000000"/>
                <w:kern w:val="0"/>
                <w:sz w:val="28"/>
                <w:szCs w:val="28"/>
                <w:highlight w:val="none"/>
                <w:u w:val="none"/>
                <w:lang w:val="en-US" w:eastAsia="zh-CN" w:bidi="ar"/>
              </w:rPr>
              <w:t xml:space="preserve"> Society</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文管类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7</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Differential Equation</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理学类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8</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Big Data and Analytic Innovation</w:t>
            </w:r>
          </w:p>
        </w:tc>
        <w:tc>
          <w:tcPr>
            <w:tcW w:w="1540" w:type="dxa"/>
            <w:vAlign w:val="top"/>
          </w:tcPr>
          <w:p>
            <w:pPr>
              <w:jc w:val="center"/>
              <w:rPr>
                <w:rFonts w:hint="eastAsia" w:ascii="宋体" w:hAnsi="宋体" w:cs="宋体" w:eastAsiaTheme="minorEastAsia"/>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理学类</w:t>
            </w:r>
          </w:p>
        </w:tc>
        <w:tc>
          <w:tcPr>
            <w:tcW w:w="2126" w:type="dxa"/>
            <w:vAlign w:val="top"/>
          </w:tcPr>
          <w:p>
            <w:pPr>
              <w:jc w:val="center"/>
              <w:rPr>
                <w:rFonts w:hint="eastAsia" w:ascii="宋体" w:hAnsi="宋体" w:cs="宋体" w:eastAsiaTheme="minorEastAsia"/>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vAlign w:val="top"/>
          </w:tcPr>
          <w:p>
            <w:pPr>
              <w:jc w:val="center"/>
              <w:rPr>
                <w:rFonts w:hint="eastAsia" w:ascii="宋体" w:hAnsi="宋体" w:cs="宋体" w:eastAsiaTheme="minorEastAsia"/>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9</w:t>
            </w:r>
          </w:p>
        </w:tc>
        <w:tc>
          <w:tcPr>
            <w:tcW w:w="356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highlight w:val="none"/>
                <w:u w:val="none"/>
                <w:lang w:val="en-US" w:eastAsia="zh-CN" w:bidi="ar-SA"/>
              </w:rPr>
            </w:pPr>
            <w:r>
              <w:rPr>
                <w:rFonts w:hint="default" w:ascii="Times New Roman" w:hAnsi="Times New Roman" w:eastAsia="宋体" w:cs="Times New Roman"/>
                <w:i w:val="0"/>
                <w:iCs w:val="0"/>
                <w:color w:val="000000"/>
                <w:kern w:val="0"/>
                <w:sz w:val="28"/>
                <w:szCs w:val="28"/>
                <w:highlight w:val="none"/>
                <w:u w:val="none"/>
                <w:lang w:val="en-US" w:eastAsia="zh-CN" w:bidi="ar"/>
              </w:rPr>
              <w:t>Corporate Finance</w:t>
            </w:r>
          </w:p>
        </w:tc>
        <w:tc>
          <w:tcPr>
            <w:tcW w:w="1540"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文管类</w:t>
            </w:r>
          </w:p>
        </w:tc>
        <w:tc>
          <w:tcPr>
            <w:tcW w:w="2126" w:type="dxa"/>
            <w:vAlign w:val="top"/>
          </w:tcPr>
          <w:p>
            <w:pPr>
              <w:jc w:val="center"/>
              <w:rPr>
                <w:rFonts w:hint="eastAsia" w:ascii="宋体" w:hAnsi="宋体" w:eastAsia="宋体" w:cs="宋体"/>
                <w:kern w:val="0"/>
                <w:sz w:val="28"/>
                <w:szCs w:val="28"/>
                <w:highlight w:val="none"/>
                <w:vertAlign w:val="baseline"/>
                <w:lang w:val="en-US" w:eastAsia="zh-CN" w:bidi="ar-SA"/>
              </w:rPr>
            </w:pPr>
            <w:r>
              <w:rPr>
                <w:rFonts w:hint="eastAsia" w:ascii="宋体" w:hAnsi="宋体" w:cs="宋体"/>
                <w:kern w:val="0"/>
                <w:sz w:val="28"/>
                <w:szCs w:val="28"/>
                <w:highlight w:val="none"/>
                <w:vertAlign w:val="baseline"/>
                <w:lang w:val="en-US" w:eastAsia="zh-CN"/>
              </w:rPr>
              <w:t>10</w:t>
            </w:r>
          </w:p>
        </w:tc>
        <w:tc>
          <w:tcPr>
            <w:tcW w:w="2126" w:type="dxa"/>
          </w:tcPr>
          <w:p>
            <w:pPr>
              <w:jc w:val="center"/>
              <w:rPr>
                <w:rFonts w:hint="default" w:ascii="宋体" w:hAnsi="宋体" w:cs="宋体"/>
                <w:kern w:val="0"/>
                <w:sz w:val="28"/>
                <w:szCs w:val="28"/>
                <w:highlight w:val="none"/>
                <w:vertAlign w:val="baseline"/>
                <w:lang w:val="en-US" w:eastAsia="zh-CN"/>
              </w:rPr>
            </w:pPr>
            <w:r>
              <w:rPr>
                <w:rFonts w:hint="eastAsia" w:ascii="宋体" w:hAnsi="宋体" w:cs="宋体"/>
                <w:kern w:val="0"/>
                <w:sz w:val="28"/>
                <w:szCs w:val="28"/>
                <w:highlight w:val="none"/>
                <w:vertAlign w:val="baseline"/>
                <w:lang w:val="en-US" w:eastAsia="zh-CN"/>
              </w:rPr>
              <w:t>20</w:t>
            </w:r>
          </w:p>
        </w:tc>
      </w:tr>
    </w:tbl>
    <w:p>
      <w:pPr>
        <w:ind w:firstLine="720" w:firstLineChars="300"/>
        <w:rPr>
          <w:rFonts w:hint="eastAsia" w:hAnsi="宋体"/>
          <w:b w:val="0"/>
          <w:bCs/>
          <w:sz w:val="28"/>
          <w:szCs w:val="28"/>
          <w:highlight w:val="none"/>
          <w:lang w:val="en-US" w:eastAsia="zh-CN"/>
        </w:rPr>
      </w:pPr>
      <w:r>
        <w:rPr>
          <w:rFonts w:hint="eastAsia" w:ascii="宋体" w:hAnsi="宋体" w:cs="宋体"/>
          <w:kern w:val="0"/>
          <w:sz w:val="24"/>
          <w:highlight w:val="none"/>
          <w:lang w:val="en-US" w:eastAsia="zh-CN"/>
        </w:rPr>
        <w:t>注：每门课拍摄10个单元，每个单元视频拍摄时长不低于20分钟，共计视频拍摄不低于时长1800分钟。</w:t>
      </w: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pStyle w:val="23"/>
        <w:rPr>
          <w:rFonts w:hint="eastAsia"/>
          <w:highlight w:val="none"/>
          <w:lang w:val="en-US" w:eastAsia="zh-CN"/>
        </w:rPr>
      </w:pPr>
    </w:p>
    <w:p>
      <w:pPr>
        <w:snapToGrid w:val="0"/>
        <w:spacing w:line="538" w:lineRule="exact"/>
        <w:ind w:firstLine="560" w:firstLineChars="200"/>
        <w:rPr>
          <w:rFonts w:hint="default" w:ascii="宋体" w:hAnsi="宋体" w:cs="宋体"/>
          <w:bCs/>
          <w:sz w:val="28"/>
          <w:szCs w:val="28"/>
          <w:highlight w:val="none"/>
          <w:lang w:val="en-US" w:eastAsia="zh-CN"/>
        </w:rPr>
      </w:pPr>
      <w:r>
        <w:rPr>
          <w:rFonts w:hint="eastAsia" w:ascii="宋体" w:hAnsi="宋体" w:cs="宋体"/>
          <w:bCs/>
          <w:sz w:val="28"/>
          <w:szCs w:val="28"/>
          <w:highlight w:val="none"/>
          <w:lang w:val="en-US" w:eastAsia="zh-CN"/>
        </w:rPr>
        <w:t>二、主要技术指标和主要技术特点</w:t>
      </w:r>
    </w:p>
    <w:p>
      <w:pPr>
        <w:snapToGrid w:val="0"/>
        <w:spacing w:line="538" w:lineRule="exact"/>
        <w:jc w:val="left"/>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（一）人员配置及设备要求</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具备2年以上经验的课程顾问团队，课程编导与老师深度沟通，提供一对一的课程咨询服务，收集材料，辅助老师策划设计课程，课程知识点设计，起草课程脚本、拟定分组镜头大纲，并根据课程教师团队的实际需求，开展课程建设与拍摄制作专题培训。</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具备资深专业摄像师、摄像助理、化妆师、灯光师、场记员等专业摄像团队拍摄现场服务，包括拍摄前及拍摄过程摄像机、机位位置、音频设备、灯光调试管理，化妆，拍摄进度、时间、内容、景别等内容的记录。</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3、拍摄设备：专业高清摄像机（至少3机位）、拍摄轨道、摇臂、1.5米小型轨等；辅助记忆设备（提词器）1套；专业无线麦模式的音频设备、专业影视摄影镐灯，LED面光灯等。</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4、具备专业的视频处理团队进行视频调色渲染、特效包装、动画制作、字幕制作、视频转换等专业团队进行视频后期处理。</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5、要求投入本项目组人数不少于9人，其中项目负责人1人、课程编导1人、摄像2人、化妆师1人，后期制作人员4人。</w:t>
      </w:r>
    </w:p>
    <w:p>
      <w:pPr>
        <w:snapToGrid w:val="0"/>
        <w:spacing w:line="538" w:lineRule="exact"/>
        <w:ind w:firstLine="562" w:firstLineChars="200"/>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 xml:space="preserve">（二）课程制作要求  </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富媒体化内容的组织要求，投标人需要根据老师提供素材包含作业、习题、讲义、参考资料及其他与课程相关的资源进行整合，以视频、音频、图书、论文、文本、图片、动画等多种形式制作精良的课程视频。</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知识单元化，课程制作按照知识点进行，每个知识点是一个独立的课程单元（即一个课时），视频时长原则上不低于20分钟，具体根据课程知识点而定，包含该知识点的授课视频、动画、参考资料、作业题、试题库及其它相关资源等。</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3、版权要求。投标人因课程建设需要提供的学术视频、动画、片头 片尾、图片、音频、图书、论文等素材，要求具有完整的知识产权，且其产权归属学校所有。</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4、画面中教师以中景和近景为主，要求人物和板书(或其他画面元素)同样清晰，不允许无教师形象的全程板书或PPT配音。</w:t>
      </w:r>
    </w:p>
    <w:p>
      <w:pPr>
        <w:snapToGrid w:val="0"/>
        <w:spacing w:line="538" w:lineRule="exact"/>
        <w:ind w:firstLine="562" w:firstLineChars="200"/>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（三）视频制作要求</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录像环境应光线充足、安静，拍摄环境为教学现场或专业摄影棚；课程组可根据需要选择学校或投标商提供的拍摄场地。投标商须根据课程内容需求，搭建拍摄场景。如学校提供场地，制作公司需提供所需所有设备并搭建拍摄场景，提供驻场服务。</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2、必须使用高清数字设备进行录制，采用至少三机位拍摄方式进行拍摄，要求视频信号源，稳定性：全片图像同步性能稳定，无失步现象，CTL 同步控制信号必须连续；图像无抖动跳跃，色彩无突变，编辑点处图像稳定。</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信噪比：图像信噪比不低于55dB，无明显杂波。色调：白平衡正确，无明显偏色，多机拍摄的镜头衔接处无明显色差。</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视频电平：视频全讯号幅度为 1Ⅴp-p，最大不超过 1.1Ⅴp-p。其中，消隐电平为 0V 时，白电平幅度 0.7Ⅴp-p，同步信号-0.3V，色同步信号幅度 0.3Vp-p (以消隐线上下对称)，全片一致。</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支持转换 mp4，mpg，flv等通用的视频格式。</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3、必须使用专业级话筒及音频处理设备，保证录音质量。音频信号源，声道：中文内容音频信号记录于第1声道，音乐、音效、同期声记录于第2声道，若有其他文字解说记录于第 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4、前期采用高清拍摄时，分辨率不低1080p(1920*1080)，采用 16：9模式。视频处理压缩采用 H.264(MPEG-4 Part10：profile=main, level=3.0)及以上标准编码方式，码流速率1024bps以上，帧率不低于25fps。</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5、音频压缩采用AAC(MPEG4 Part3)格式。采样率48KHz。音频码流率 128Kbps (恒定)。双声道，须做混音处理。配音可中英文双音轨模式。</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6、动画制作，动画指的是需要根据要求设计的、需要建模制作的复杂视频效果，要求提供可嵌入视频的动画，嵌入时与视频融合恰当。二维动画如人物表示（以卡通形象替代教师、卡通形象互动）等不作为动画。平均动画时间不低于 300 秒/门课，同一动画重复使用不重复计算时长。</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7、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8、片头片尾，片头一般不超过10秒，应包括:学校LOGO、课程名称、主讲教师信息。片尾包括版权单位等信息。</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9、拍摄效果不可低于投标人提供的案例课程。</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10、抠像效果平滑，与背景色调一致。</w:t>
      </w:r>
    </w:p>
    <w:p>
      <w:pPr>
        <w:snapToGrid w:val="0"/>
        <w:spacing w:line="538" w:lineRule="exact"/>
        <w:ind w:firstLine="562" w:firstLineChars="200"/>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（四）交付要求</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1、提供分辨率不低于 1080p（16:9），MP4 格式的视频文件一套。</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2、根据项目申报需要提供相应要求的视频文件一套。</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3、投标公司承诺拍摄的全部母带级别视频文件和成品文件至少提供一年的保存服务并交付学校电子档一份</w:t>
      </w:r>
      <w:r>
        <w:rPr>
          <w:rFonts w:hint="eastAsia" w:ascii="宋体" w:hAnsi="宋体" w:cs="宋体"/>
          <w:b/>
          <w:bCs w:val="0"/>
          <w:sz w:val="28"/>
          <w:szCs w:val="28"/>
          <w:highlight w:val="none"/>
          <w:lang w:val="en-US" w:eastAsia="zh-CN"/>
        </w:rPr>
        <w:t>（投标时需提供承诺书，格式自拟，加盖投标人公章）</w:t>
      </w:r>
      <w:r>
        <w:rPr>
          <w:rFonts w:hint="eastAsia" w:ascii="宋体" w:hAnsi="宋体" w:cs="宋体"/>
          <w:bCs/>
          <w:sz w:val="28"/>
          <w:szCs w:val="28"/>
          <w:highlight w:val="none"/>
          <w:lang w:val="en-US" w:eastAsia="zh-CN"/>
        </w:rPr>
        <w:t>。</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4、协助老师将课程相关资料上传到学校指定的网络教学平台。</w:t>
      </w:r>
    </w:p>
    <w:p>
      <w:pPr>
        <w:snapToGrid w:val="0"/>
        <w:spacing w:line="538" w:lineRule="exact"/>
        <w:ind w:firstLine="562" w:firstLineChars="200"/>
        <w:rPr>
          <w:rFonts w:hint="eastAsia" w:ascii="宋体" w:hAnsi="宋体" w:cs="宋体"/>
          <w:bCs/>
          <w:sz w:val="28"/>
          <w:szCs w:val="28"/>
          <w:highlight w:val="none"/>
          <w:lang w:val="en-US" w:eastAsia="zh-CN"/>
        </w:rPr>
      </w:pPr>
      <w:r>
        <w:rPr>
          <w:rFonts w:hint="eastAsia" w:ascii="宋体" w:hAnsi="宋体" w:cs="宋体"/>
          <w:b/>
          <w:bCs w:val="0"/>
          <w:sz w:val="28"/>
          <w:szCs w:val="28"/>
          <w:highlight w:val="none"/>
          <w:lang w:val="en-US" w:eastAsia="zh-CN"/>
        </w:rPr>
        <w:t xml:space="preserve">（五）课程网站建设要求 </w:t>
      </w:r>
      <w:r>
        <w:rPr>
          <w:rFonts w:hint="eastAsia" w:ascii="宋体" w:hAnsi="宋体" w:cs="宋体"/>
          <w:bCs/>
          <w:sz w:val="28"/>
          <w:szCs w:val="28"/>
          <w:highlight w:val="none"/>
          <w:lang w:val="en-US" w:eastAsia="zh-CN"/>
        </w:rPr>
        <w:t xml:space="preserve"> </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 xml:space="preserve">本项目所建设在线开放课程要求在校方指定的网络教学平台上线，投标公司要协助教师完成课程网站建设服务，协助上传包括按照知识点提供的视频、课程介绍、教学大纲、教学进程、教案或演示文稿、作业、参考资料目录、案例库、素材资源库等资料。 </w:t>
      </w:r>
    </w:p>
    <w:p>
      <w:pPr>
        <w:snapToGrid w:val="0"/>
        <w:spacing w:line="538" w:lineRule="exact"/>
        <w:ind w:firstLine="562" w:firstLineChars="200"/>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（六）课程运行要求</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要求投标人提供本项目所开发的课程在我校指定平台1年的辅助服务，包括但不限于提供主讲教师对课程资源等咨询服务和课程运行质量辅助服务。</w:t>
      </w:r>
    </w:p>
    <w:p>
      <w:pPr>
        <w:snapToGrid w:val="0"/>
        <w:spacing w:line="538" w:lineRule="exact"/>
        <w:ind w:firstLine="562" w:firstLineChars="200"/>
        <w:rPr>
          <w:rFonts w:hint="eastAsia" w:ascii="宋体" w:hAnsi="宋体" w:cs="宋体"/>
          <w:b/>
          <w:bCs w:val="0"/>
          <w:sz w:val="28"/>
          <w:szCs w:val="28"/>
          <w:highlight w:val="none"/>
          <w:lang w:val="en-US" w:eastAsia="zh-CN"/>
        </w:rPr>
      </w:pPr>
      <w:r>
        <w:rPr>
          <w:rFonts w:hint="eastAsia" w:ascii="宋体" w:hAnsi="宋体" w:cs="宋体"/>
          <w:b/>
          <w:bCs w:val="0"/>
          <w:sz w:val="28"/>
          <w:szCs w:val="28"/>
          <w:highlight w:val="none"/>
          <w:lang w:val="en-US" w:eastAsia="zh-CN"/>
        </w:rPr>
        <w:t xml:space="preserve">（七）售后服务要求   </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1、维保期3年。产品交付招标人验收合格之日起3年内。</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2、维保期内，投标人对所建设的课程无条件提供修改服务，修改次数不少于3次，且累计内容不低于20%。</w:t>
      </w:r>
    </w:p>
    <w:p>
      <w:pPr>
        <w:snapToGrid w:val="0"/>
        <w:spacing w:line="538" w:lineRule="exact"/>
        <w:ind w:firstLine="560" w:firstLineChars="200"/>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3、如招标方因课程需要，实际课程建设总量低于招标要求，不足部分作为预购服务，中标商根据招标方的调整计划，补足课程制作数量，有效期不限。</w:t>
      </w:r>
    </w:p>
    <w:p>
      <w:pPr>
        <w:pStyle w:val="8"/>
        <w:ind w:left="0" w:leftChars="0" w:firstLine="562" w:firstLineChars="200"/>
        <w:jc w:val="left"/>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bCs w:val="0"/>
          <w:kern w:val="2"/>
          <w:sz w:val="28"/>
          <w:szCs w:val="28"/>
          <w:highlight w:val="none"/>
          <w:lang w:val="en-US" w:eastAsia="zh-CN" w:bidi="ar-SA"/>
        </w:rPr>
        <w:t>（八）演示</w:t>
      </w:r>
    </w:p>
    <w:p>
      <w:pPr>
        <w:pStyle w:val="8"/>
        <w:ind w:left="0" w:leftChars="0" w:firstLine="562" w:firstLineChars="200"/>
        <w:jc w:val="left"/>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投标单位需要提供演示视频（</w:t>
      </w:r>
      <w:r>
        <w:rPr>
          <w:rFonts w:hint="eastAsia" w:ascii="宋体" w:hAnsi="宋体" w:eastAsia="宋体" w:cs="宋体"/>
          <w:b/>
          <w:bCs w:val="0"/>
          <w:sz w:val="30"/>
          <w:szCs w:val="30"/>
          <w:highlight w:val="none"/>
          <w:u w:val="single"/>
          <w:lang w:val="en-US" w:eastAsia="zh-CN"/>
        </w:rPr>
        <w:t>U盘单独密封，随投标文件一起寄送，未寄送演示视频视为无效投标</w:t>
      </w:r>
      <w:r>
        <w:rPr>
          <w:rFonts w:hint="eastAsia" w:ascii="宋体" w:hAnsi="宋体" w:eastAsia="宋体" w:cs="宋体"/>
          <w:b/>
          <w:bCs w:val="0"/>
          <w:sz w:val="28"/>
          <w:szCs w:val="28"/>
          <w:highlight w:val="none"/>
          <w:lang w:val="en-US" w:eastAsia="zh-CN"/>
        </w:rPr>
        <w:t>），演示的时间不得超过8分钟。</w:t>
      </w:r>
    </w:p>
    <w:p>
      <w:pPr>
        <w:snapToGrid w:val="0"/>
        <w:spacing w:line="538" w:lineRule="exact"/>
        <w:ind w:firstLine="562" w:firstLineChars="20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投标人须严格按照学校所招标课程类别（理学类、工科类、文管类）演示由投标人制作的英文课程视频。</w:t>
      </w:r>
    </w:p>
    <w:p>
      <w:pPr>
        <w:snapToGrid w:val="0"/>
        <w:spacing w:line="538" w:lineRule="exact"/>
        <w:ind w:firstLine="562" w:firstLineChars="200"/>
        <w:rPr>
          <w:rFonts w:hint="default" w:ascii="宋体" w:hAnsi="宋体" w:eastAsia="宋体" w:cs="宋体"/>
          <w:b/>
          <w:bCs w:val="0"/>
          <w:sz w:val="28"/>
          <w:szCs w:val="28"/>
          <w:highlight w:val="none"/>
          <w:lang w:val="en-US" w:eastAsia="zh-CN"/>
        </w:rPr>
      </w:pPr>
    </w:p>
    <w:p>
      <w:pPr>
        <w:widowControl/>
        <w:jc w:val="left"/>
        <w:rPr>
          <w:rFonts w:hAnsi="宋体"/>
          <w:b/>
          <w:sz w:val="36"/>
          <w:szCs w:val="36"/>
        </w:rPr>
      </w:pPr>
      <w:r>
        <w:rPr>
          <w:rFonts w:hint="eastAsia" w:ascii="宋体" w:eastAsia="宋体"/>
          <w:b/>
          <w:bCs/>
          <w:sz w:val="24"/>
          <w:szCs w:val="32"/>
        </w:rPr>
        <w:t>（本部分内容由南京信息</w:t>
      </w:r>
      <w:r>
        <w:rPr>
          <w:rFonts w:hint="eastAsia" w:ascii="宋体" w:eastAsia="宋体"/>
          <w:b/>
          <w:bCs/>
          <w:sz w:val="24"/>
          <w:szCs w:val="32"/>
        </w:rPr>
        <w:t>工程大学</w:t>
      </w:r>
      <w:r>
        <w:rPr>
          <w:rFonts w:hint="eastAsia" w:ascii="宋体" w:eastAsia="宋体"/>
          <w:b/>
          <w:bCs/>
          <w:sz w:val="24"/>
          <w:szCs w:val="32"/>
          <w:lang w:val="en-US" w:eastAsia="zh-CN"/>
        </w:rPr>
        <w:t>国际合作与交流处</w:t>
      </w:r>
      <w:r>
        <w:rPr>
          <w:rFonts w:hint="eastAsia" w:ascii="宋体" w:eastAsia="宋体"/>
          <w:b/>
          <w:bCs/>
          <w:sz w:val="24"/>
          <w:szCs w:val="32"/>
        </w:rPr>
        <w:t>提</w:t>
      </w:r>
      <w:r>
        <w:rPr>
          <w:rFonts w:hint="eastAsia" w:ascii="宋体" w:eastAsia="宋体"/>
          <w:b/>
          <w:bCs/>
          <w:sz w:val="24"/>
          <w:szCs w:val="32"/>
        </w:rPr>
        <w:t>供并负责）</w:t>
      </w:r>
    </w:p>
    <w:p>
      <w:pPr>
        <w:jc w:val="both"/>
        <w:rPr>
          <w:rFonts w:hint="eastAsia" w:ascii="宋体" w:hAnsi="宋体" w:cs="宋体"/>
          <w:kern w:val="0"/>
          <w:sz w:val="28"/>
          <w:szCs w:val="28"/>
          <w:highlight w:val="none"/>
          <w:lang w:val="en-US" w:eastAsia="zh-CN"/>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val="zh-CN"/>
        </w:rPr>
        <w:t xml:space="preserve">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adjustRightInd w:val="0"/>
        <w:snapToGrid w:val="0"/>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1.项目总体建设要求</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建设目标：按国家级在线开放课程建设要求，完成我校</w:t>
      </w:r>
      <w:r>
        <w:rPr>
          <w:rFonts w:hint="eastAsia" w:ascii="宋体" w:hAnsi="宋体"/>
          <w:bCs/>
          <w:sz w:val="28"/>
          <w:szCs w:val="28"/>
          <w:highlight w:val="none"/>
          <w:lang w:val="en-US" w:eastAsia="zh-CN"/>
        </w:rPr>
        <w:t>9</w:t>
      </w:r>
      <w:r>
        <w:rPr>
          <w:rFonts w:hint="eastAsia" w:ascii="宋体" w:hAnsi="宋体"/>
          <w:bCs/>
          <w:sz w:val="28"/>
          <w:szCs w:val="28"/>
          <w:highlight w:val="none"/>
        </w:rPr>
        <w:t>门</w:t>
      </w:r>
      <w:r>
        <w:rPr>
          <w:rFonts w:hint="eastAsia" w:ascii="宋体" w:hAnsi="宋体"/>
          <w:bCs/>
          <w:sz w:val="28"/>
          <w:szCs w:val="28"/>
          <w:highlight w:val="none"/>
          <w:lang w:val="en-US" w:eastAsia="zh-CN"/>
        </w:rPr>
        <w:t>国际</w:t>
      </w:r>
      <w:r>
        <w:rPr>
          <w:rFonts w:hint="eastAsia" w:ascii="宋体" w:hAnsi="宋体"/>
          <w:bCs/>
          <w:sz w:val="28"/>
          <w:szCs w:val="28"/>
          <w:highlight w:val="none"/>
        </w:rPr>
        <w:t>课程教学视频建设。</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建设内容：在线开放课程教学视频规划、设计、拍摄、制作、上传。视频课程后期修改、上线辅助运行。</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建设计划：</w:t>
      </w:r>
    </w:p>
    <w:p>
      <w:pPr>
        <w:pStyle w:val="4"/>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lang w:val="en-US" w:eastAsia="zh-CN"/>
        </w:rPr>
        <w:t xml:space="preserve"> 2022  </w:t>
      </w:r>
      <w:r>
        <w:rPr>
          <w:rFonts w:hint="eastAsia" w:ascii="宋体" w:hAnsi="宋体"/>
          <w:bCs/>
          <w:sz w:val="28"/>
          <w:szCs w:val="28"/>
          <w:highlight w:val="none"/>
        </w:rPr>
        <w:t>年</w:t>
      </w:r>
      <w:r>
        <w:rPr>
          <w:rFonts w:hint="eastAsia" w:ascii="宋体" w:hAnsi="宋体"/>
          <w:bCs/>
          <w:sz w:val="28"/>
          <w:szCs w:val="28"/>
          <w:highlight w:val="none"/>
          <w:lang w:val="en-US" w:eastAsia="zh-CN"/>
        </w:rPr>
        <w:t xml:space="preserve">  6 </w:t>
      </w:r>
      <w:r>
        <w:rPr>
          <w:rFonts w:hint="eastAsia" w:ascii="宋体" w:hAnsi="宋体"/>
          <w:bCs/>
          <w:sz w:val="28"/>
          <w:szCs w:val="28"/>
          <w:highlight w:val="none"/>
        </w:rPr>
        <w:t>月</w:t>
      </w:r>
      <w:r>
        <w:rPr>
          <w:rFonts w:hint="eastAsia" w:ascii="宋体" w:hAnsi="宋体"/>
          <w:bCs/>
          <w:sz w:val="28"/>
          <w:szCs w:val="28"/>
          <w:highlight w:val="none"/>
          <w:lang w:val="en-US" w:eastAsia="zh-CN"/>
        </w:rPr>
        <w:t xml:space="preserve"> 20 </w:t>
      </w:r>
      <w:r>
        <w:rPr>
          <w:rFonts w:hint="eastAsia" w:ascii="宋体" w:hAnsi="宋体"/>
          <w:bCs/>
          <w:sz w:val="28"/>
          <w:szCs w:val="28"/>
          <w:highlight w:val="none"/>
        </w:rPr>
        <w:t>日完成课程视频制作</w:t>
      </w:r>
    </w:p>
    <w:p>
      <w:pPr>
        <w:pStyle w:val="4"/>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lang w:val="en-US" w:eastAsia="zh-CN"/>
        </w:rPr>
        <w:t xml:space="preserve"> 2022  </w:t>
      </w:r>
      <w:r>
        <w:rPr>
          <w:rFonts w:hint="eastAsia" w:ascii="宋体" w:hAnsi="宋体"/>
          <w:bCs/>
          <w:sz w:val="28"/>
          <w:szCs w:val="28"/>
          <w:highlight w:val="none"/>
        </w:rPr>
        <w:t>年</w:t>
      </w:r>
      <w:r>
        <w:rPr>
          <w:rFonts w:hint="eastAsia" w:ascii="宋体" w:hAnsi="宋体"/>
          <w:bCs/>
          <w:sz w:val="28"/>
          <w:szCs w:val="28"/>
          <w:highlight w:val="none"/>
          <w:lang w:val="en-US" w:eastAsia="zh-CN"/>
        </w:rPr>
        <w:t xml:space="preserve">  8 </w:t>
      </w:r>
      <w:r>
        <w:rPr>
          <w:rFonts w:hint="eastAsia" w:ascii="宋体" w:hAnsi="宋体"/>
          <w:bCs/>
          <w:sz w:val="28"/>
          <w:szCs w:val="28"/>
          <w:highlight w:val="none"/>
        </w:rPr>
        <w:t>月</w:t>
      </w:r>
      <w:r>
        <w:rPr>
          <w:rFonts w:hint="eastAsia" w:ascii="宋体" w:hAnsi="宋体"/>
          <w:bCs/>
          <w:sz w:val="28"/>
          <w:szCs w:val="28"/>
          <w:highlight w:val="none"/>
          <w:lang w:val="en-US" w:eastAsia="zh-CN"/>
        </w:rPr>
        <w:t xml:space="preserve"> 15 </w:t>
      </w:r>
      <w:r>
        <w:rPr>
          <w:rFonts w:hint="eastAsia" w:ascii="宋体" w:hAnsi="宋体"/>
          <w:bCs/>
          <w:sz w:val="28"/>
          <w:szCs w:val="28"/>
          <w:highlight w:val="none"/>
        </w:rPr>
        <w:t>日完成课程视频复核、修改、定稿</w:t>
      </w:r>
    </w:p>
    <w:p>
      <w:pPr>
        <w:pStyle w:val="4"/>
        <w:numPr>
          <w:ilvl w:val="0"/>
          <w:numId w:val="2"/>
        </w:numPr>
        <w:tabs>
          <w:tab w:val="left" w:pos="844"/>
        </w:tabs>
        <w:adjustRightInd w:val="0"/>
        <w:snapToGrid w:val="0"/>
        <w:spacing w:line="360" w:lineRule="auto"/>
        <w:ind w:left="0" w:firstLine="560" w:firstLineChars="200"/>
        <w:rPr>
          <w:rFonts w:hint="eastAsia" w:ascii="宋体" w:hAnsi="宋体" w:cs="仿宋"/>
          <w:b/>
          <w:bCs/>
          <w:sz w:val="28"/>
          <w:szCs w:val="28"/>
          <w:highlight w:val="none"/>
        </w:rPr>
      </w:pPr>
      <w:r>
        <w:rPr>
          <w:rFonts w:hint="eastAsia" w:ascii="宋体" w:hAnsi="宋体"/>
          <w:bCs/>
          <w:sz w:val="28"/>
          <w:szCs w:val="28"/>
          <w:highlight w:val="none"/>
          <w:lang w:val="en-US" w:eastAsia="zh-CN"/>
        </w:rPr>
        <w:t xml:space="preserve"> 2022  </w:t>
      </w:r>
      <w:r>
        <w:rPr>
          <w:rFonts w:hint="eastAsia" w:ascii="宋体" w:hAnsi="宋体"/>
          <w:bCs/>
          <w:sz w:val="28"/>
          <w:szCs w:val="28"/>
          <w:highlight w:val="none"/>
        </w:rPr>
        <w:t>年</w:t>
      </w:r>
      <w:r>
        <w:rPr>
          <w:rFonts w:hint="eastAsia" w:ascii="宋体" w:hAnsi="宋体"/>
          <w:bCs/>
          <w:sz w:val="28"/>
          <w:szCs w:val="28"/>
          <w:highlight w:val="none"/>
          <w:lang w:val="en-US" w:eastAsia="zh-CN"/>
        </w:rPr>
        <w:t xml:space="preserve">  9 </w:t>
      </w:r>
      <w:r>
        <w:rPr>
          <w:rFonts w:hint="eastAsia" w:ascii="宋体" w:hAnsi="宋体"/>
          <w:bCs/>
          <w:sz w:val="28"/>
          <w:szCs w:val="28"/>
          <w:highlight w:val="none"/>
        </w:rPr>
        <w:t>月</w:t>
      </w:r>
      <w:r>
        <w:rPr>
          <w:rFonts w:hint="eastAsia" w:ascii="宋体" w:hAnsi="宋体"/>
          <w:bCs/>
          <w:sz w:val="28"/>
          <w:szCs w:val="28"/>
          <w:highlight w:val="none"/>
          <w:lang w:val="en-US" w:eastAsia="zh-CN"/>
        </w:rPr>
        <w:t xml:space="preserve">  1 </w:t>
      </w:r>
      <w:r>
        <w:rPr>
          <w:rFonts w:hint="eastAsia" w:ascii="宋体" w:hAnsi="宋体"/>
          <w:bCs/>
          <w:sz w:val="28"/>
          <w:szCs w:val="28"/>
          <w:highlight w:val="none"/>
        </w:rPr>
        <w:t>日完成课程视频上传工作。</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lang w:val="en-US" w:eastAsia="zh-CN"/>
        </w:rPr>
        <w:t>2</w:t>
      </w:r>
      <w:r>
        <w:rPr>
          <w:rFonts w:hint="eastAsia" w:ascii="宋体" w:hAnsi="宋体" w:cs="仿宋"/>
          <w:b/>
          <w:bCs/>
          <w:sz w:val="28"/>
          <w:szCs w:val="28"/>
          <w:highlight w:val="none"/>
        </w:rPr>
        <w:t>.质保期：本项目质保期三年。</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lang w:val="en-US" w:eastAsia="zh-CN"/>
        </w:rPr>
        <w:t>3</w:t>
      </w:r>
      <w:r>
        <w:rPr>
          <w:rFonts w:hint="eastAsia" w:ascii="宋体" w:hAnsi="宋体" w:cs="仿宋"/>
          <w:b/>
          <w:bCs/>
          <w:sz w:val="28"/>
          <w:szCs w:val="28"/>
          <w:highlight w:val="none"/>
        </w:rPr>
        <w:t>.知识产权: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w:t>
      </w:r>
      <w:r>
        <w:rPr>
          <w:rFonts w:hint="eastAsia" w:ascii="宋体" w:hAnsi="宋体" w:cs="宋体"/>
          <w:color w:val="000000"/>
          <w:sz w:val="28"/>
          <w:szCs w:val="28"/>
          <w:highlight w:val="none"/>
        </w:rPr>
        <w:t>成果知识产权归</w:t>
      </w:r>
      <w:r>
        <w:rPr>
          <w:rFonts w:hint="eastAsia" w:ascii="宋体" w:hAnsi="宋体" w:cs="宋体"/>
          <w:color w:val="000000"/>
          <w:sz w:val="28"/>
          <w:szCs w:val="28"/>
          <w:highlight w:val="none"/>
          <w:lang w:val="en-US" w:eastAsia="zh-CN"/>
        </w:rPr>
        <w:t>招标方</w:t>
      </w:r>
      <w:r>
        <w:rPr>
          <w:rFonts w:hint="eastAsia" w:ascii="宋体" w:hAnsi="宋体" w:cs="宋体"/>
          <w:color w:val="000000"/>
          <w:sz w:val="28"/>
          <w:szCs w:val="28"/>
          <w:highlight w:val="none"/>
        </w:rPr>
        <w:t>所有</w:t>
      </w:r>
      <w:r>
        <w:rPr>
          <w:rFonts w:hint="eastAsia" w:ascii="宋体" w:hAnsi="宋体"/>
          <w:sz w:val="28"/>
          <w:szCs w:val="28"/>
          <w:highlight w:val="none"/>
        </w:rPr>
        <w:t>。</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hint="eastAsia" w:ascii="宋体" w:hAnsi="宋体" w:cs="仿宋"/>
          <w:b/>
          <w:bCs/>
          <w:sz w:val="28"/>
          <w:szCs w:val="28"/>
          <w:highlight w:val="none"/>
        </w:rPr>
      </w:pPr>
    </w:p>
    <w:p>
      <w:pPr>
        <w:adjustRightInd w:val="0"/>
        <w:snapToGrid w:val="0"/>
        <w:spacing w:line="360" w:lineRule="auto"/>
        <w:rPr>
          <w:rFonts w:hint="eastAsia" w:ascii="宋体" w:hAnsi="宋体" w:eastAsia="宋体" w:cs="仿宋"/>
          <w:b/>
          <w:bCs/>
          <w:sz w:val="28"/>
          <w:szCs w:val="28"/>
          <w:highlight w:val="none"/>
          <w:lang w:eastAsia="zh-CN"/>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5"/>
        <w:gridCol w:w="1111"/>
        <w:gridCol w:w="568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noWrap w:val="0"/>
            <w:vAlign w:val="center"/>
          </w:tcPr>
          <w:p>
            <w:pPr>
              <w:snapToGrid w:val="0"/>
              <w:spacing w:line="4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1065" w:type="dxa"/>
            <w:noWrap w:val="0"/>
            <w:vAlign w:val="center"/>
          </w:tcPr>
          <w:p>
            <w:pPr>
              <w:snapToGrid w:val="0"/>
              <w:spacing w:line="4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评审指标</w:t>
            </w:r>
          </w:p>
        </w:tc>
        <w:tc>
          <w:tcPr>
            <w:tcW w:w="1111" w:type="dxa"/>
            <w:noWrap w:val="0"/>
            <w:vAlign w:val="center"/>
          </w:tcPr>
          <w:p>
            <w:pPr>
              <w:snapToGrid w:val="0"/>
              <w:spacing w:line="4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评审因素</w:t>
            </w:r>
          </w:p>
        </w:tc>
        <w:tc>
          <w:tcPr>
            <w:tcW w:w="5685" w:type="dxa"/>
            <w:noWrap w:val="0"/>
            <w:vAlign w:val="center"/>
          </w:tcPr>
          <w:p>
            <w:pPr>
              <w:snapToGrid w:val="0"/>
              <w:spacing w:line="4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评审标准</w:t>
            </w:r>
          </w:p>
        </w:tc>
        <w:tc>
          <w:tcPr>
            <w:tcW w:w="674" w:type="dxa"/>
            <w:noWrap w:val="0"/>
            <w:vAlign w:val="center"/>
          </w:tcPr>
          <w:p>
            <w:pPr>
              <w:snapToGrid w:val="0"/>
              <w:spacing w:line="420" w:lineRule="exact"/>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065"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价格</w:t>
            </w:r>
          </w:p>
        </w:tc>
        <w:tc>
          <w:tcPr>
            <w:tcW w:w="1111"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价格</w:t>
            </w: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采用低价优先法计算，即满足招标文件要求且投标价格最低的投标报价为基准价，其价格分为满分2</w:t>
            </w:r>
            <w:r>
              <w:rPr>
                <w:rFonts w:hint="eastAsia" w:ascii="宋体" w:hAnsi="宋体" w:cs="宋体"/>
                <w:szCs w:val="21"/>
                <w:highlight w:val="none"/>
                <w:lang w:val="en-US" w:eastAsia="zh-CN"/>
              </w:rPr>
              <w:t>5</w:t>
            </w:r>
            <w:r>
              <w:rPr>
                <w:rFonts w:hint="eastAsia" w:ascii="宋体" w:hAnsi="宋体" w:eastAsia="宋体" w:cs="宋体"/>
                <w:szCs w:val="21"/>
                <w:highlight w:val="none"/>
              </w:rPr>
              <w:t>分。其他投标人的投标报价得分计算公式如下：投标报价得分=(评标基准价／投标报价)×2</w:t>
            </w:r>
            <w:r>
              <w:rPr>
                <w:rFonts w:hint="eastAsia" w:ascii="宋体" w:hAnsi="宋体" w:cs="宋体"/>
                <w:szCs w:val="21"/>
                <w:highlight w:val="none"/>
                <w:lang w:val="en-US" w:eastAsia="zh-CN"/>
              </w:rPr>
              <w:t>5</w:t>
            </w:r>
            <w:r>
              <w:rPr>
                <w:rFonts w:hint="eastAsia" w:ascii="宋体" w:hAnsi="宋体" w:eastAsia="宋体" w:cs="宋体"/>
                <w:szCs w:val="21"/>
                <w:highlight w:val="none"/>
              </w:rPr>
              <w:t>（四舍五入，小数点保留两位）。</w:t>
            </w:r>
          </w:p>
        </w:tc>
        <w:tc>
          <w:tcPr>
            <w:tcW w:w="674" w:type="dxa"/>
            <w:noWrap w:val="0"/>
            <w:vAlign w:val="center"/>
          </w:tcPr>
          <w:p>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Merge w:val="restart"/>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065" w:type="dxa"/>
            <w:vMerge w:val="restart"/>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履约能力</w:t>
            </w:r>
          </w:p>
        </w:tc>
        <w:tc>
          <w:tcPr>
            <w:tcW w:w="1111"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精品</w:t>
            </w:r>
          </w:p>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课程</w:t>
            </w: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投标人以往制作的课程获得过国家级线上一流课程（含国家精品在线开放课程）的，每提供1个得1分，本项最多得</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分。（须提供合同复印件及相应教育部官网文件作为证明材料，所提供的合同可以不牵涉到金额等相关商业机密信息，但必须提供合同双方签署页及合同签署双方的完整信息）</w:t>
            </w:r>
          </w:p>
        </w:tc>
        <w:tc>
          <w:tcPr>
            <w:tcW w:w="674" w:type="dxa"/>
            <w:noWrap w:val="0"/>
            <w:vAlign w:val="center"/>
          </w:tcPr>
          <w:p>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noWrap w:val="0"/>
            <w:vAlign w:val="center"/>
          </w:tcPr>
          <w:p>
            <w:pPr>
              <w:spacing w:line="420" w:lineRule="exact"/>
              <w:jc w:val="center"/>
              <w:rPr>
                <w:rFonts w:hint="eastAsia" w:ascii="宋体" w:hAnsi="宋体" w:eastAsia="宋体" w:cs="宋体"/>
                <w:szCs w:val="21"/>
                <w:highlight w:val="none"/>
              </w:rPr>
            </w:pPr>
          </w:p>
        </w:tc>
        <w:tc>
          <w:tcPr>
            <w:tcW w:w="1065" w:type="dxa"/>
            <w:vMerge w:val="continue"/>
            <w:noWrap w:val="0"/>
            <w:vAlign w:val="center"/>
          </w:tcPr>
          <w:p>
            <w:pPr>
              <w:pStyle w:val="4"/>
              <w:jc w:val="center"/>
              <w:rPr>
                <w:rFonts w:hint="eastAsia" w:ascii="宋体" w:hAnsi="宋体" w:eastAsia="宋体" w:cs="宋体"/>
                <w:highlight w:val="none"/>
              </w:rPr>
            </w:pPr>
          </w:p>
        </w:tc>
        <w:tc>
          <w:tcPr>
            <w:tcW w:w="1111" w:type="dxa"/>
            <w:noWrap w:val="0"/>
            <w:vAlign w:val="center"/>
          </w:tcPr>
          <w:p>
            <w:pPr>
              <w:pStyle w:val="4"/>
              <w:ind w:firstLine="0"/>
              <w:jc w:val="center"/>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2</w:t>
            </w:r>
          </w:p>
          <w:p>
            <w:pPr>
              <w:pStyle w:val="4"/>
              <w:ind w:firstLine="0"/>
              <w:jc w:val="center"/>
              <w:rPr>
                <w:rFonts w:hint="eastAsia" w:ascii="宋体" w:hAnsi="宋体" w:eastAsia="宋体" w:cs="宋体"/>
                <w:highlight w:val="none"/>
              </w:rPr>
            </w:pPr>
            <w:r>
              <w:rPr>
                <w:rFonts w:hint="eastAsia" w:ascii="宋体" w:hAnsi="宋体" w:eastAsia="宋体" w:cs="宋体"/>
                <w:highlight w:val="none"/>
              </w:rPr>
              <w:t>企业</w:t>
            </w:r>
          </w:p>
          <w:p>
            <w:pPr>
              <w:pStyle w:val="4"/>
              <w:ind w:firstLine="0"/>
              <w:jc w:val="center"/>
              <w:rPr>
                <w:rFonts w:hint="eastAsia" w:ascii="宋体" w:hAnsi="宋体" w:eastAsia="宋体" w:cs="宋体"/>
                <w:highlight w:val="none"/>
              </w:rPr>
            </w:pPr>
            <w:r>
              <w:rPr>
                <w:rFonts w:hint="eastAsia" w:ascii="宋体" w:hAnsi="宋体" w:eastAsia="宋体" w:cs="宋体"/>
                <w:highlight w:val="none"/>
              </w:rPr>
              <w:t>资质</w:t>
            </w:r>
          </w:p>
        </w:tc>
        <w:tc>
          <w:tcPr>
            <w:tcW w:w="5685" w:type="dxa"/>
            <w:noWrap w:val="0"/>
            <w:vAlign w:val="center"/>
          </w:tcPr>
          <w:p>
            <w:pPr>
              <w:numPr>
                <w:ilvl w:val="0"/>
                <w:numId w:val="3"/>
              </w:num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投标人企业的经营范围涵盖多媒体制作、广播电视节目制作经营，得2分，缺少任何一项均不得分（原件复印件加盖公章，原件中标后备查，复印件不加盖公章不得分。）</w:t>
            </w:r>
          </w:p>
          <w:p>
            <w:pPr>
              <w:numPr>
                <w:ilvl w:val="0"/>
                <w:numId w:val="3"/>
              </w:numPr>
              <w:spacing w:line="42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具有</w:t>
            </w:r>
            <w:r>
              <w:rPr>
                <w:rFonts w:hint="eastAsia" w:ascii="宋体" w:hAnsi="宋体" w:eastAsia="宋体" w:cs="宋体"/>
                <w:szCs w:val="21"/>
                <w:highlight w:val="none"/>
              </w:rPr>
              <w:t>ISO27001 信息安全管理体系认证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包含教学视频制作服务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得2分</w:t>
            </w:r>
          </w:p>
          <w:p>
            <w:pPr>
              <w:numPr>
                <w:ilvl w:val="0"/>
                <w:numId w:val="3"/>
              </w:num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具有ISO9001质量管理体系认证（包含视频制作）得3分。</w:t>
            </w:r>
          </w:p>
          <w:p>
            <w:pPr>
              <w:numPr>
                <w:ilvl w:val="0"/>
                <w:numId w:val="3"/>
              </w:num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投标人具有广播电视节目制作经营许可证，得2分。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（以上要求涉及证书的须提供证书复印件并加盖公章，原件备查，不加盖公章不得分）</w:t>
            </w:r>
          </w:p>
        </w:tc>
        <w:tc>
          <w:tcPr>
            <w:tcW w:w="674" w:type="dxa"/>
            <w:noWrap w:val="0"/>
            <w:vAlign w:val="center"/>
          </w:tcPr>
          <w:p>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noWrap w:val="0"/>
            <w:vAlign w:val="center"/>
          </w:tcPr>
          <w:p>
            <w:pPr>
              <w:spacing w:line="420" w:lineRule="exact"/>
              <w:jc w:val="center"/>
              <w:rPr>
                <w:rFonts w:hint="eastAsia" w:ascii="宋体" w:hAnsi="宋体" w:eastAsia="宋体" w:cs="宋体"/>
                <w:szCs w:val="21"/>
                <w:highlight w:val="none"/>
              </w:rPr>
            </w:pPr>
          </w:p>
        </w:tc>
        <w:tc>
          <w:tcPr>
            <w:tcW w:w="1065" w:type="dxa"/>
            <w:vMerge w:val="continue"/>
            <w:noWrap w:val="0"/>
            <w:vAlign w:val="center"/>
          </w:tcPr>
          <w:p>
            <w:pPr>
              <w:pStyle w:val="4"/>
              <w:jc w:val="center"/>
              <w:rPr>
                <w:rFonts w:hint="eastAsia" w:ascii="宋体" w:hAnsi="宋体" w:eastAsia="宋体" w:cs="宋体"/>
                <w:highlight w:val="none"/>
              </w:rPr>
            </w:pPr>
          </w:p>
        </w:tc>
        <w:tc>
          <w:tcPr>
            <w:tcW w:w="1111"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p>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人员</w:t>
            </w:r>
          </w:p>
          <w:p>
            <w:pPr>
              <w:spacing w:line="42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配备</w:t>
            </w: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要求投入本项目组人数不低于</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人，其中项目负责人1人、课程编导1人、摄像</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人、化妆师1人，后期制作人员</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人。</w:t>
            </w:r>
          </w:p>
          <w:p>
            <w:pPr>
              <w:numPr>
                <w:ilvl w:val="0"/>
                <w:numId w:val="4"/>
              </w:numPr>
              <w:spacing w:line="42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项目负责人具有广播电视相关专业本科级以上学历得1分；</w:t>
            </w:r>
          </w:p>
          <w:p>
            <w:pPr>
              <w:numPr>
                <w:ilvl w:val="0"/>
                <w:numId w:val="4"/>
              </w:numPr>
              <w:spacing w:line="420" w:lineRule="exact"/>
              <w:rPr>
                <w:rFonts w:hint="eastAsia" w:ascii="宋体" w:hAnsi="宋体" w:eastAsia="宋体" w:cs="宋体"/>
                <w:szCs w:val="21"/>
                <w:highlight w:val="none"/>
                <w:lang w:val="en-US" w:eastAsia="zh-CN"/>
              </w:rPr>
            </w:pPr>
            <w:r>
              <w:rPr>
                <w:rFonts w:hint="eastAsia" w:ascii="宋体" w:hAnsi="宋体" w:eastAsia="宋体" w:cs="宋体"/>
                <w:highlight w:val="none"/>
                <w:lang w:val="en-US" w:eastAsia="zh-CN"/>
              </w:rPr>
              <w:t>课程编导具有广播电视编导专业本科及以上学历得1分；</w:t>
            </w:r>
          </w:p>
          <w:p>
            <w:pPr>
              <w:numPr>
                <w:ilvl w:val="0"/>
                <w:numId w:val="4"/>
              </w:numPr>
              <w:spacing w:line="420" w:lineRule="exact"/>
              <w:rPr>
                <w:rFonts w:hint="eastAsia" w:ascii="宋体" w:hAnsi="宋体" w:eastAsia="宋体" w:cs="宋体"/>
                <w:szCs w:val="21"/>
                <w:highlight w:val="none"/>
                <w:lang w:val="en-US" w:eastAsia="zh-CN"/>
              </w:rPr>
            </w:pPr>
            <w:r>
              <w:rPr>
                <w:rFonts w:hint="eastAsia" w:ascii="宋体" w:hAnsi="宋体" w:eastAsia="宋体" w:cs="宋体"/>
                <w:highlight w:val="none"/>
                <w:lang w:val="en-US" w:eastAsia="zh-CN"/>
              </w:rPr>
              <w:t>拍摄人员具有本科及以上学历且具有中级及以上职称得1分；</w:t>
            </w:r>
          </w:p>
          <w:p>
            <w:pPr>
              <w:numPr>
                <w:ilvl w:val="0"/>
                <w:numId w:val="4"/>
              </w:numPr>
              <w:spacing w:line="420" w:lineRule="exact"/>
              <w:rPr>
                <w:rFonts w:hint="eastAsia" w:ascii="宋体" w:hAnsi="宋体" w:eastAsia="宋体" w:cs="宋体"/>
                <w:szCs w:val="21"/>
                <w:highlight w:val="none"/>
                <w:lang w:val="en-US" w:eastAsia="zh-CN"/>
              </w:rPr>
            </w:pPr>
            <w:r>
              <w:rPr>
                <w:rFonts w:hint="eastAsia" w:ascii="宋体" w:hAnsi="宋体" w:eastAsia="宋体" w:cs="宋体"/>
                <w:highlight w:val="none"/>
                <w:lang w:val="en-US" w:eastAsia="zh-CN"/>
              </w:rPr>
              <w:t>后期制作人员为动画设计或影视多媒体等相关专业得2分。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提供相关学历职称等证明文件复印件加盖公章，</w:t>
            </w:r>
            <w:r>
              <w:rPr>
                <w:rFonts w:hint="eastAsia" w:ascii="宋体" w:hAnsi="宋体" w:eastAsia="宋体" w:cs="宋体"/>
                <w:szCs w:val="21"/>
                <w:highlight w:val="none"/>
              </w:rPr>
              <w:t>项目组服务人员均需提供近三个月的社保证明</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不提供不得分。）</w:t>
            </w:r>
          </w:p>
        </w:tc>
        <w:tc>
          <w:tcPr>
            <w:tcW w:w="674"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065" w:type="dxa"/>
            <w:vMerge w:val="restart"/>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服务方案及服务承诺</w:t>
            </w:r>
          </w:p>
        </w:tc>
        <w:tc>
          <w:tcPr>
            <w:tcW w:w="1111"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3.1</w:t>
            </w:r>
          </w:p>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服务</w:t>
            </w:r>
          </w:p>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方案</w:t>
            </w:r>
          </w:p>
          <w:p>
            <w:pPr>
              <w:spacing w:line="420" w:lineRule="exact"/>
              <w:jc w:val="center"/>
              <w:rPr>
                <w:rFonts w:hint="eastAsia" w:ascii="宋体" w:hAnsi="宋体" w:eastAsia="宋体" w:cs="宋体"/>
                <w:highlight w:val="none"/>
              </w:rPr>
            </w:pP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1.课程制作方案（15分）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根据投标人提供的针对所投包件内的所含课程各个课程的制作方案，课程拍摄工作的重点分析，服务方案是否针对所投包件，是否满足项目需求等的完整性、科学性、可行性及连续性等进行综合评审。</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针对所投包件内的所含课程各个课程的制作方案架构清晰，合理可行，完全满足采购要求的得15分；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针对所投包件内的所含课程各个课程的制作方案架构较为合理，可以根据方案实施，能够满足采购要求的得12分；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针对所投包件内的所含课程各个课程的制作方案架构一般，基本能够满足采购要求的得9分；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针对所投包件内的所含课程各个课程的制作方案有瑕疵，可行性欠缺，勉强满足采购要求的得6分；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针对所投包件内的所含课程各个课程的制作方案粗糙，难以按方案实施，难以满足采购要求的得3分；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未提供全部课程制作方案的，本项不得分。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2.实施方案（9分）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各投标人针对本项目各阶段工作质量、时间的承诺，质量保证措施、内部管理方式等拟定实施方案，评委根据进度及质量承诺及质量保证措施的完整性、科学性、可行性及连续性等进行综合评审（含所有课程）。</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进度及质量承诺及质量保证措施完整具体、科学合理、可行性强，优于采购人服务要求的得9分；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进度及质量承诺及质量保证措施较完整具体、科学合理、可行性较强，完全满足采购人服务要求的得6分；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进度及质量承诺及质量保证措施的完整性、科学合理性、可行性有不足但基本满足采购人服务要求的得3分；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进度及质量承诺及质量保证措施的完整性、科学合理性及可行性均明显不足的得1分。未提供方案本项不得分。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3.推广及运行方案（6分）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各投标人提供为学校所制作课程的后续推广及运行服务方案，由评委根据方案的科学合理性、针对性进行评审。</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方案架构清晰，合理可行，完全满足采购要求的得6分；</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方案略有瑕疵，可行性欠缺，基本满足采购要求的得3分；方案粗糙，难以实施，无法满足采购要求的得1分；</w:t>
            </w:r>
          </w:p>
          <w:p>
            <w:pPr>
              <w:spacing w:line="420" w:lineRule="exact"/>
              <w:rPr>
                <w:rFonts w:hint="eastAsia" w:ascii="宋体" w:hAnsi="宋体" w:eastAsia="宋体" w:cs="宋体"/>
                <w:highlight w:val="none"/>
              </w:rPr>
            </w:pPr>
            <w:r>
              <w:rPr>
                <w:rFonts w:hint="eastAsia" w:ascii="宋体" w:hAnsi="宋体" w:eastAsia="宋体" w:cs="宋体"/>
                <w:szCs w:val="21"/>
                <w:highlight w:val="none"/>
              </w:rPr>
              <w:t>未提供推广及运行方案的本项不得分。</w:t>
            </w:r>
          </w:p>
        </w:tc>
        <w:tc>
          <w:tcPr>
            <w:tcW w:w="674"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noWrap w:val="0"/>
            <w:vAlign w:val="center"/>
          </w:tcPr>
          <w:p>
            <w:pPr>
              <w:spacing w:line="420" w:lineRule="exact"/>
              <w:jc w:val="center"/>
              <w:rPr>
                <w:rFonts w:hint="eastAsia" w:ascii="宋体" w:hAnsi="宋体" w:eastAsia="宋体" w:cs="宋体"/>
                <w:szCs w:val="21"/>
                <w:highlight w:val="none"/>
              </w:rPr>
            </w:pPr>
          </w:p>
        </w:tc>
        <w:tc>
          <w:tcPr>
            <w:tcW w:w="1065" w:type="dxa"/>
            <w:vMerge w:val="continue"/>
            <w:noWrap w:val="0"/>
            <w:vAlign w:val="center"/>
          </w:tcPr>
          <w:p>
            <w:pPr>
              <w:pStyle w:val="4"/>
              <w:jc w:val="center"/>
              <w:rPr>
                <w:rFonts w:hint="eastAsia" w:ascii="宋体" w:hAnsi="宋体" w:eastAsia="宋体" w:cs="宋体"/>
                <w:highlight w:val="none"/>
              </w:rPr>
            </w:pPr>
          </w:p>
        </w:tc>
        <w:tc>
          <w:tcPr>
            <w:tcW w:w="1111" w:type="dxa"/>
            <w:noWrap w:val="0"/>
            <w:vAlign w:val="center"/>
          </w:tcPr>
          <w:p>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w:t>
            </w:r>
          </w:p>
          <w:p>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w:t>
            </w:r>
          </w:p>
          <w:p>
            <w:pPr>
              <w:spacing w:line="420" w:lineRule="exact"/>
              <w:jc w:val="center"/>
              <w:rPr>
                <w:rFonts w:hint="eastAsia" w:ascii="宋体" w:hAnsi="宋体" w:eastAsia="宋体" w:cs="宋体"/>
                <w:kern w:val="0"/>
                <w:szCs w:val="21"/>
                <w:highlight w:val="none"/>
              </w:rPr>
            </w:pPr>
            <w:r>
              <w:rPr>
                <w:rFonts w:hint="eastAsia" w:ascii="宋体" w:hAnsi="宋体" w:eastAsia="宋体" w:cs="宋体"/>
                <w:color w:val="000000"/>
                <w:szCs w:val="21"/>
                <w:highlight w:val="none"/>
              </w:rPr>
              <w:t>承诺</w:t>
            </w: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2.投标人承诺提供全程驻场服务，并承诺不随意更换项目负责人及驻场人员的得1分。（需提供拟项目负责人及驻场人员名单）</w:t>
            </w:r>
          </w:p>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以上服务承诺投标人须提供相应的服务承诺书</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加盖投标人公章</w:t>
            </w:r>
            <w:r>
              <w:rPr>
                <w:rFonts w:hint="eastAsia" w:ascii="宋体" w:hAnsi="宋体" w:eastAsia="宋体" w:cs="宋体"/>
                <w:szCs w:val="21"/>
                <w:highlight w:val="none"/>
              </w:rPr>
              <w:t>，不提供不得分。</w:t>
            </w:r>
          </w:p>
        </w:tc>
        <w:tc>
          <w:tcPr>
            <w:tcW w:w="674" w:type="dxa"/>
            <w:noWrap w:val="0"/>
            <w:vAlign w:val="center"/>
          </w:tcPr>
          <w:p>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176" w:type="dxa"/>
            <w:gridSpan w:val="2"/>
            <w:noWrap w:val="0"/>
            <w:vAlign w:val="center"/>
          </w:tcPr>
          <w:p>
            <w:pPr>
              <w:pStyle w:val="4"/>
              <w:ind w:firstLine="0"/>
              <w:jc w:val="center"/>
              <w:rPr>
                <w:rFonts w:hint="eastAsia" w:ascii="宋体" w:hAnsi="宋体" w:eastAsia="宋体" w:cs="宋体"/>
                <w:highlight w:val="none"/>
              </w:rPr>
            </w:pPr>
            <w:r>
              <w:rPr>
                <w:rFonts w:hint="eastAsia" w:ascii="宋体" w:hAnsi="宋体" w:eastAsia="宋体" w:cs="宋体"/>
                <w:highlight w:val="none"/>
              </w:rPr>
              <w:t>同类业绩</w:t>
            </w:r>
          </w:p>
        </w:tc>
        <w:tc>
          <w:tcPr>
            <w:tcW w:w="5685" w:type="dxa"/>
            <w:noWrap w:val="0"/>
            <w:vAlign w:val="center"/>
          </w:tcPr>
          <w:p>
            <w:pPr>
              <w:spacing w:line="420" w:lineRule="exact"/>
              <w:rPr>
                <w:rFonts w:hint="eastAsia" w:ascii="宋体" w:hAnsi="宋体" w:eastAsia="宋体" w:cs="宋体"/>
                <w:szCs w:val="21"/>
                <w:highlight w:val="none"/>
              </w:rPr>
            </w:pPr>
            <w:r>
              <w:rPr>
                <w:rFonts w:hint="eastAsia" w:ascii="宋体" w:hAnsi="宋体" w:eastAsia="宋体" w:cs="宋体"/>
                <w:szCs w:val="21"/>
                <w:highlight w:val="none"/>
              </w:rPr>
              <w:t>根据本次立项课程类别占比及我校专业特色，将此次项目课程</w:t>
            </w:r>
            <w:r>
              <w:rPr>
                <w:rFonts w:hint="eastAsia" w:ascii="宋体" w:hAnsi="宋体" w:eastAsia="宋体" w:cs="宋体"/>
                <w:szCs w:val="21"/>
                <w:highlight w:val="none"/>
              </w:rPr>
              <w:t>分为理学类、工科类、文管类三个分类</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投标人每提供一个自2017年6月1月（含）至今的开放课程制作业绩并与本项目课程清单类似业绩得1分，每个分类最多得4分，此项最多得12分，须提供合同复印件并加</w:t>
            </w:r>
            <w:r>
              <w:rPr>
                <w:rFonts w:hint="eastAsia" w:ascii="宋体" w:hAnsi="宋体" w:eastAsia="宋体" w:cs="宋体"/>
                <w:szCs w:val="21"/>
                <w:highlight w:val="none"/>
              </w:rPr>
              <w:t>盖公章，所提供的合同可以不牵涉到金额等相关商业机密信息，但必须提供合同双方签署页及合同签署双方的完整信息，未提供的不得分（原件备查）。</w:t>
            </w:r>
          </w:p>
        </w:tc>
        <w:tc>
          <w:tcPr>
            <w:tcW w:w="674"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jc w:val="center"/>
        </w:trPr>
        <w:tc>
          <w:tcPr>
            <w:tcW w:w="659" w:type="dxa"/>
            <w:noWrap w:val="0"/>
            <w:vAlign w:val="center"/>
          </w:tcPr>
          <w:p>
            <w:pPr>
              <w:spacing w:line="420" w:lineRule="exac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176" w:type="dxa"/>
            <w:gridSpan w:val="2"/>
            <w:noWrap w:val="0"/>
            <w:vAlign w:val="center"/>
          </w:tcPr>
          <w:p>
            <w:pPr>
              <w:pStyle w:val="4"/>
              <w:jc w:val="center"/>
              <w:rPr>
                <w:rFonts w:hint="eastAsia" w:ascii="宋体" w:hAnsi="宋体" w:eastAsia="宋体" w:cs="宋体"/>
                <w:highlight w:val="none"/>
              </w:rPr>
            </w:pPr>
            <w:r>
              <w:rPr>
                <w:rFonts w:hint="eastAsia" w:ascii="宋体" w:hAnsi="宋体" w:eastAsia="宋体" w:cs="宋体"/>
                <w:highlight w:val="none"/>
              </w:rPr>
              <w:t>演示</w:t>
            </w:r>
          </w:p>
          <w:p>
            <w:pPr>
              <w:pStyle w:val="4"/>
              <w:jc w:val="center"/>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U盘单独密封，随投标文件一起寄送，</w:t>
            </w:r>
            <w:r>
              <w:rPr>
                <w:rFonts w:hint="eastAsia" w:ascii="宋体" w:hAnsi="宋体" w:eastAsia="宋体" w:cs="宋体"/>
                <w:szCs w:val="21"/>
                <w:highlight w:val="none"/>
              </w:rPr>
              <w:t>演示时间不得超过8分钟</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未提供演示为无效标</w:t>
            </w:r>
            <w:r>
              <w:rPr>
                <w:rFonts w:hint="eastAsia" w:ascii="宋体" w:hAnsi="宋体" w:eastAsia="宋体" w:cs="宋体"/>
                <w:highlight w:val="none"/>
                <w:lang w:eastAsia="zh-CN"/>
              </w:rPr>
              <w:t>）</w:t>
            </w:r>
          </w:p>
          <w:p>
            <w:pPr>
              <w:pStyle w:val="4"/>
              <w:jc w:val="center"/>
              <w:rPr>
                <w:rFonts w:hint="eastAsia" w:ascii="宋体" w:hAnsi="宋体" w:eastAsia="宋体" w:cs="宋体"/>
                <w:highlight w:val="none"/>
              </w:rPr>
            </w:pPr>
          </w:p>
        </w:tc>
        <w:tc>
          <w:tcPr>
            <w:tcW w:w="5685" w:type="dxa"/>
            <w:noWrap w:val="0"/>
            <w:vAlign w:val="center"/>
          </w:tcPr>
          <w:p>
            <w:pPr>
              <w:pStyle w:val="5"/>
              <w:spacing w:line="4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投标单位需要提供演示视频（U盘寄送，未寄送演示视频视为无效投标）</w:t>
            </w:r>
          </w:p>
          <w:p>
            <w:pPr>
              <w:pStyle w:val="5"/>
              <w:spacing w:line="4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投标人须严格按照学校所招标课程类别（理学类、工科类、文管类）演示由投标人制作的英文课程视频，由评审专家根据课程视频制作页面布局、课程内容及效果综合打分，演示时间不得超过8分钟。</w:t>
            </w:r>
          </w:p>
          <w:p>
            <w:pPr>
              <w:pStyle w:val="5"/>
              <w:spacing w:line="4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页面布局精美、内容丰富且课程效果显著得9分；</w:t>
            </w:r>
          </w:p>
          <w:p>
            <w:pPr>
              <w:pStyle w:val="5"/>
              <w:spacing w:line="4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页面布局较精美、内容较丰富且课程效果良好得5分；</w:t>
            </w:r>
          </w:p>
          <w:p>
            <w:pPr>
              <w:pStyle w:val="5"/>
              <w:spacing w:line="4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页面布局、内容及课程效果均有明显不足得2分。</w:t>
            </w:r>
          </w:p>
          <w:p>
            <w:pPr>
              <w:pStyle w:val="5"/>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若演示课程视频，不符合课程类别，或不是英文课程的，每缺少一类扣3分。</w:t>
            </w:r>
          </w:p>
        </w:tc>
        <w:tc>
          <w:tcPr>
            <w:tcW w:w="674" w:type="dxa"/>
            <w:noWrap w:val="0"/>
            <w:vAlign w:val="center"/>
          </w:tcPr>
          <w:p>
            <w:pPr>
              <w:spacing w:line="42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noWrap w:val="0"/>
            <w:vAlign w:val="center"/>
          </w:tcPr>
          <w:p>
            <w:pPr>
              <w:spacing w:line="4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2176" w:type="dxa"/>
            <w:gridSpan w:val="2"/>
            <w:noWrap w:val="0"/>
            <w:vAlign w:val="center"/>
          </w:tcPr>
          <w:p>
            <w:pPr>
              <w:pStyle w:val="4"/>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投标文件制作</w:t>
            </w:r>
          </w:p>
        </w:tc>
        <w:tc>
          <w:tcPr>
            <w:tcW w:w="5685" w:type="dxa"/>
            <w:noWrap w:val="0"/>
            <w:vAlign w:val="center"/>
          </w:tcPr>
          <w:p>
            <w:pPr>
              <w:pStyle w:val="8"/>
              <w:adjustRightInd w:val="0"/>
              <w:snapToGrid w:val="0"/>
              <w:spacing w:after="0" w:line="360" w:lineRule="auto"/>
              <w:ind w:left="0" w:leftChars="0" w:right="0" w:rightChars="0"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文件内容完备，格式规范，封装整齐，目录、页码齐全，目录与页码能准确对应，满足招标文件要求得2分，否则不得分。未经胶封（如文件夹或订书机等）此项不得分。</w:t>
            </w:r>
          </w:p>
          <w:p>
            <w:pPr>
              <w:pStyle w:val="5"/>
              <w:ind w:left="0" w:leftChars="0" w:firstLine="0" w:firstLineChars="0"/>
              <w:rPr>
                <w:rFonts w:hint="eastAsia" w:ascii="宋体" w:hAnsi="宋体" w:eastAsia="宋体" w:cs="宋体"/>
                <w:kern w:val="2"/>
                <w:sz w:val="21"/>
                <w:szCs w:val="21"/>
                <w:highlight w:val="none"/>
                <w:lang w:val="en-US" w:eastAsia="zh-CN" w:bidi="ar-SA"/>
              </w:rPr>
            </w:pPr>
          </w:p>
        </w:tc>
        <w:tc>
          <w:tcPr>
            <w:tcW w:w="674" w:type="dxa"/>
            <w:noWrap w:val="0"/>
            <w:vAlign w:val="center"/>
          </w:tcPr>
          <w:p>
            <w:pPr>
              <w:spacing w:line="4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20" w:type="dxa"/>
            <w:gridSpan w:val="4"/>
            <w:noWrap w:val="0"/>
            <w:vAlign w:val="center"/>
          </w:tcPr>
          <w:p>
            <w:pPr>
              <w:spacing w:line="4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合计</w:t>
            </w:r>
          </w:p>
        </w:tc>
        <w:tc>
          <w:tcPr>
            <w:tcW w:w="674" w:type="dxa"/>
            <w:noWrap w:val="0"/>
            <w:vAlign w:val="center"/>
          </w:tcPr>
          <w:p>
            <w:pPr>
              <w:spacing w:line="4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100</w:t>
            </w:r>
          </w:p>
        </w:tc>
      </w:tr>
    </w:tbl>
    <w:p>
      <w:pPr>
        <w:widowControl/>
        <w:jc w:val="left"/>
      </w:pPr>
      <w:r>
        <w:rPr>
          <w:rFonts w:hint="eastAsia" w:ascii="宋体" w:eastAsia="宋体"/>
          <w:b/>
          <w:bCs/>
          <w:sz w:val="24"/>
          <w:szCs w:val="32"/>
        </w:rPr>
        <w:t>（本部分内容由南京信息工程大学</w:t>
      </w:r>
      <w:r>
        <w:rPr>
          <w:rFonts w:hint="eastAsia" w:ascii="宋体" w:eastAsia="宋体"/>
          <w:b/>
          <w:bCs/>
          <w:sz w:val="24"/>
          <w:szCs w:val="32"/>
          <w:lang w:val="en-US" w:eastAsia="zh-CN"/>
        </w:rPr>
        <w:t>国际合作与交流处</w:t>
      </w:r>
      <w:r>
        <w:rPr>
          <w:rFonts w:hint="eastAsia" w:ascii="宋体" w:eastAsia="宋体"/>
          <w:b/>
          <w:bCs/>
          <w:sz w:val="24"/>
          <w:szCs w:val="32"/>
        </w:rPr>
        <w:t>提供并负责）</w:t>
      </w:r>
    </w:p>
    <w:p>
      <w:pPr>
        <w:pStyle w:val="4"/>
        <w:ind w:left="0" w:leftChars="0" w:firstLine="0" w:firstLineChars="0"/>
        <w:rPr>
          <w:highlight w:val="none"/>
        </w:rPr>
      </w:pPr>
    </w:p>
    <w:p>
      <w:pPr>
        <w:pStyle w:val="3"/>
        <w:widowControl/>
        <w:numPr>
          <w:ilvl w:val="0"/>
          <w:numId w:val="0"/>
        </w:numPr>
        <w:rPr>
          <w:rFonts w:hint="eastAsia" w:ascii="宋体" w:hAnsi="宋体" w:eastAsia="宋体" w:cs="宋体"/>
          <w:b/>
          <w:bCs w:val="0"/>
          <w:kern w:val="2"/>
          <w:sz w:val="28"/>
          <w:szCs w:val="28"/>
          <w:highlight w:val="none"/>
        </w:rPr>
      </w:pPr>
      <w:r>
        <w:rPr>
          <w:rFonts w:hint="eastAsia" w:ascii="宋体" w:hAnsi="宋体" w:cs="宋体"/>
          <w:b/>
          <w:bCs w:val="0"/>
          <w:kern w:val="2"/>
          <w:sz w:val="28"/>
          <w:szCs w:val="28"/>
          <w:highlight w:val="none"/>
          <w:lang w:val="en-US" w:eastAsia="zh-CN"/>
        </w:rPr>
        <w:t>附件6：</w:t>
      </w:r>
      <w:r>
        <w:rPr>
          <w:rFonts w:hint="eastAsia" w:ascii="宋体" w:hAnsi="宋体" w:eastAsia="宋体" w:cs="宋体"/>
          <w:b/>
          <w:bCs w:val="0"/>
          <w:kern w:val="2"/>
          <w:sz w:val="28"/>
          <w:szCs w:val="28"/>
          <w:highlight w:val="none"/>
        </w:rPr>
        <w:t xml:space="preserve"> 合同文本</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微软雅黑" w:hAnsi="微软雅黑" w:eastAsia="微软雅黑" w:cs="微软雅黑"/>
          <w:b/>
          <w:bCs/>
          <w:kern w:val="2"/>
          <w:sz w:val="21"/>
          <w:szCs w:val="21"/>
          <w:highlight w:val="none"/>
          <w:lang w:val="en-US" w:eastAsia="zh-CN" w:bidi="ar"/>
        </w:rPr>
        <w:t>（此合同仅作范本，但对已明确约定的内容不得进行实质性改动。最终文本将根据招标需求、投标承诺进行修改，并以采购人合同审核部门最终审核意见为准。）</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项目名称：                                       项目编号：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甲方：（买方）_________</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乙方：（卖方）_________</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rPr>
        <w:t xml:space="preserve">   </w:t>
      </w:r>
      <w:r>
        <w:rPr>
          <w:rFonts w:hint="eastAsia" w:ascii="宋体" w:hAnsi="宋体" w:eastAsia="宋体" w:cs="宋体"/>
          <w:kern w:val="2"/>
          <w:sz w:val="21"/>
          <w:szCs w:val="21"/>
          <w:highlight w:val="none"/>
        </w:rPr>
        <w:t>甲、乙双方根据南京信息工程大学招标办</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项目公开招标的结果，签署本合同，并共同遵守。</w:t>
      </w:r>
    </w:p>
    <w:p>
      <w:pPr>
        <w:pStyle w:val="10"/>
        <w:widowControl/>
        <w:spacing w:line="360" w:lineRule="auto"/>
        <w:jc w:val="left"/>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一、合同内容：</w:t>
      </w:r>
    </w:p>
    <w:p>
      <w:pPr>
        <w:pStyle w:val="10"/>
        <w:widowControl/>
        <w:spacing w:line="360" w:lineRule="auto"/>
        <w:ind w:left="0"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1．乙方负责完成甲方的</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，详见乙方的投标（响应）文件。</w:t>
      </w:r>
    </w:p>
    <w:p>
      <w:pPr>
        <w:keepNext w:val="0"/>
        <w:keepLines w:val="0"/>
        <w:widowControl/>
        <w:suppressLineNumbers w:val="0"/>
        <w:spacing w:before="0" w:beforeAutospacing="0" w:after="0" w:afterAutospacing="0" w:line="360" w:lineRule="auto"/>
        <w:ind w:left="0" w:right="0" w:firstLine="371" w:firstLineChars="17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2．下列文件为本合同不可分割部分，与本合同具有同等法律效力：</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（1）中标（成交）通知书；</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（2）甲方的招标（采购）文件及其它补充文件；</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（3）乙方投标（响应）文件及其它补充文件；</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（4）乙方在采购过程中所作的其它书面承诺、声明、澄清等。</w:t>
      </w:r>
    </w:p>
    <w:p>
      <w:pPr>
        <w:pStyle w:val="10"/>
        <w:widowControl/>
        <w:spacing w:line="360" w:lineRule="auto"/>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二、服务费与支付：</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1.合同总金额为人民币 </w:t>
      </w:r>
      <w:r>
        <w:rPr>
          <w:rFonts w:hint="eastAsia" w:ascii="宋体" w:hAnsi="宋体" w:eastAsia="宋体" w:cs="宋体"/>
          <w:kern w:val="2"/>
          <w:sz w:val="21"/>
          <w:szCs w:val="21"/>
          <w:highlight w:val="none"/>
          <w:u w:val="single"/>
          <w:lang w:val="en-US" w:eastAsia="zh-CN" w:bidi="ar"/>
        </w:rPr>
        <w:t>（大写）            （小写</w:t>
      </w:r>
      <w:r>
        <w:rPr>
          <w:rFonts w:hint="default" w:ascii="Lucida Sans Unicode" w:hAnsi="Lucida Sans Unicode" w:eastAsia="Lucida Sans Unicode" w:cs="Lucida Sans Unicode"/>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包括项目实施所有费用（包含工资、福利、保险、劳保等人员费用、相关货物费用、专利技术及相关所发生的全部费用）以及供应商企业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2．付款比例及时间约定：针对本项目，签订合同后，20日内预付合同金额的30%，全部服务完成并验收合格后，凭验收凭证等文件20内支付至合同金额的100%。</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3.乙方（卖方）账户信息：</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乙方（卖方）户名：</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乙方（卖方）账号：</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乙方（卖方）开户行：</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 税费：本合同执行中相关的一切税费均由乙方负担。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 支付方式：银行转帐。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6. 服务期内，甲方提出的非架构性追加需求，乙方应无条件免费满足。服务期满后，甲方需追加与合同标的相同的服务的，在不改变合同其它条款的前提下，可以与乙方签订补充合同，但所有补充合同的采购金额不得超过原合同采购金额的</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7.如果甲方要求扩大服务项目范围，或因甲方改变已经议定的项目内容导致乙方需重复进行项目步骤，对于增加的工作部分，双方应及时协商，无论服务费是否发生变更，均须签署补充协议作为依据。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三、履约保证金</w:t>
      </w:r>
    </w:p>
    <w:p>
      <w:pPr>
        <w:spacing w:line="360" w:lineRule="auto"/>
        <w:ind w:firstLine="411" w:firstLineChars="196"/>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1．乙方在签订本合同之前，须向甲方交纳</w:t>
      </w:r>
      <w:r>
        <w:rPr>
          <w:rFonts w:hint="eastAsia" w:ascii="宋体" w:hAnsi="宋体" w:eastAsia="宋体" w:cs="宋体"/>
          <w:kern w:val="2"/>
          <w:sz w:val="21"/>
          <w:szCs w:val="21"/>
          <w:highlight w:val="none"/>
          <w:u w:val="single"/>
          <w:lang w:val="en-US" w:eastAsia="zh-CN" w:bidi="ar"/>
        </w:rPr>
        <w:t>中标金额10%的</w:t>
      </w:r>
      <w:r>
        <w:rPr>
          <w:rFonts w:hint="eastAsia" w:ascii="宋体" w:hAnsi="宋体" w:eastAsia="宋体" w:cs="宋体"/>
          <w:kern w:val="2"/>
          <w:sz w:val="21"/>
          <w:szCs w:val="21"/>
          <w:highlight w:val="none"/>
          <w:lang w:val="en-US" w:eastAsia="zh-CN" w:bidi="ar"/>
        </w:rPr>
        <w:t>的履约保证金，甲方在全部服务验收合格无异议后无息返还50%履约保证金，另50%履约保证金转为质量保证金。</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2.若乙方有未能履行合同约定义务的情形，甲方有权不予退还全部或部分履约保证金作为补偿：</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四、项目实施：</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1.服务期限：</w:t>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bCs/>
          <w:kern w:val="2"/>
          <w:sz w:val="21"/>
          <w:szCs w:val="21"/>
          <w:highlight w:val="none"/>
          <w:lang w:val="en-US" w:eastAsia="zh-CN" w:bidi="ar"/>
        </w:rPr>
        <w:t>2.服务地点：</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3.甲方联系人：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所在单位：</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电话：</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 xml:space="preserve">  乙方联系人：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电话：</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五、甲方权利和义务：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1.根据甲方服务管理要求及乙方的相关承诺，对乙方提供的服务及履行本合同情况实行验收考核。验收考核方式为：</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2.甲方有义务在适当的范围内公开考核结果。甲方有权对项目资金使用情况进行监督、检查，并要求乙方提供相关资料。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3.因突发情况，甲方需调动乙方人员和器材设备时，乙方应服从安排,予以配合。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4.甲方有权根据国家政策或法律法规的变动对服务的需求标准和质量做出相应变动。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六、乙方权利和义务：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1.乙方根据国家标准、行业标准和规范要求、招标（采购）文件规定的服务质量标准和有关要求及投标（响应）文件所作的承诺，积极主动保质保量地完成服务工作。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2.乙方应配备具有相应资质、特定经验的工作人员负责项目实施，按照合同约定的标准、要求和时间完成项目。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3.乙方接受并主动配合甲方及行业主管部门的检查，对甲方指出的问题，应及时做出合理解释或予以纠正。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4.对服务范围之外的突击性、突发性工作，乙方须服从甲方的安排，不得无故拖延。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5.对因乙方管理不善而损坏的硬件设施，乙方应负责及时修复，或照价赔偿。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6.乙方承诺，根据本合同提供的服务及相关的软件和技术资料，均已取得有关知识产权的权利人的合法授权，如发生侵权等争议，乙方负责处理并承担由此引发的全部责任。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7.乙方应做好详细的管理台账，建立管理档案，并按双方约定将管理情况汇总报送甲方。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七、服务管理基本要求：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1.为确保服务质量，乙方须安排管理人员进行监督管理。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2.服务过程中，乙方必须采取周密的安全措施，以避免对人身和财产的损害。如因乙方原因而造成人身伤害或财产损失的，由乙方承担全部责任。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3.乙方服务期间由于服务工作不能及时完成，且造成较大影响的，</w:t>
      </w:r>
      <w:r>
        <w:rPr>
          <w:rFonts w:hint="eastAsia" w:ascii="宋体" w:hAnsi="宋体" w:cs="宋体"/>
          <w:bCs/>
          <w:color w:val="auto"/>
          <w:highlight w:val="none"/>
        </w:rPr>
        <w:t>或乙方拒绝配合甲方工作检查或不予以改正的，</w:t>
      </w:r>
      <w:r>
        <w:rPr>
          <w:rFonts w:hint="eastAsia" w:ascii="宋体" w:hAnsi="宋体" w:cs="宋体"/>
          <w:color w:val="auto"/>
          <w:highlight w:val="none"/>
        </w:rPr>
        <w:t>甲方有权通过扣除服务费用进行处罚。</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八、不可抗力事件处理：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2.因不可抗力不能履行合同的，根据不可抗力的影响，双方协商合同是否继续履行与责任承担。但合同一方迟延履行后发生严重后果的，不能免除责任。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3.合同一方因不可抗力不能履行合同的，应当及时通知对方，以减轻可能给对方造成的损失，并应当在合理期限内提供证明，按事件对本合同的影响程度，双方协商是否终止本合同，或部分免除本合同的义务。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九、违约责任：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合同一方不履行合同义务或者履行合同义务不符合约定的，应当承担继续履行、采取补救措施或者赔偿损失等违约责任。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 在合同生效后，甲方要求取消服务的，应按合同总价款的</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向乙方偿付违约金，违约金不足以补偿损失的，乙方有权要求甲方补足。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2.乙方不能按时、按质提供服务的，甲方有权解除合同，乙方应按合同总价款的</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%向甲方偿付违约金，违约金不足以补偿损失的，甲方有权要求乙方补足。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3.乙方提供的服务不符合本合同规定内容的，甲方有权拒收，且乙方须向甲方支付本合同金额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%的违约金（</w:t>
      </w:r>
      <w:r>
        <w:rPr>
          <w:rFonts w:hint="eastAsia" w:ascii="宋体" w:hAnsi="宋体" w:eastAsia="宋体" w:cs="宋体"/>
          <w:bCs/>
          <w:kern w:val="2"/>
          <w:sz w:val="21"/>
          <w:szCs w:val="21"/>
          <w:highlight w:val="none"/>
          <w:lang w:val="en-US" w:eastAsia="zh-CN" w:bidi="ar"/>
        </w:rPr>
        <w:t>违约金不超过合同总金额的30%）。</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lang w:val="en-US" w:eastAsia="zh-CN" w:bidi="ar"/>
        </w:rPr>
        <w:t>十、合同生效：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 xml:space="preserve"> 合同经双方法定代表人或授权代表签字并加盖单位公章或合同专用章后生效。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十一、合同的解除和转让：</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1.甲方和乙方协商一致，可以解除合同。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2．有下列情形之一，合同一方可以解除合同：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（1）因不可抗力致使不能实现合同目的，未受不可抗力影响的一方有权解除合同；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（2）因合同一方违约导致合同不能履行，另一方有权解除合同。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（3）甲方有权在出现以下情形时，单独解除合同，合同解除自书面解除通知到达乙方时生效：</w:t>
      </w:r>
    </w:p>
    <w:p>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（a）乙方逾期未完成约定义务超过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（b）乙方履行本合同约定义务时，未达到甲方要求，修改或整改超过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次仍然无法达到甲方要求。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3.双方除非事先得到对方的书面同意或本合同另有约定，任何一方不得将本合同项下的任何权利、义务、责任转让或分包给任何第三方。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4.乙方应对甲方提供的资料具有保密义务，未经甲方同意，不得将与本合同的相关内容资料提供给其他单位和个人。如发生以上情况，甲方有权向乙方索赔一切损失。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十二、争议解决：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甲乙双方因合同发生争议，签约双方应友好协商解决。协商不成，任何一方可以向合同签订地法院起诉，合同签订地在此约定为南京市。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十三、合同生效及其它：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kern w:val="2"/>
          <w:sz w:val="21"/>
          <w:szCs w:val="21"/>
          <w:highlight w:val="none"/>
        </w:rPr>
      </w:pPr>
      <w:r>
        <w:rPr>
          <w:rFonts w:hint="eastAsia" w:ascii="宋体" w:hAnsi="宋体" w:eastAsia="宋体" w:cs="宋体"/>
          <w:kern w:val="2"/>
          <w:sz w:val="21"/>
          <w:szCs w:val="21"/>
          <w:highlight w:val="none"/>
          <w:lang w:val="en-US" w:eastAsia="zh-CN" w:bidi="ar"/>
        </w:rPr>
        <w:t>1.本合同未尽事宜，遵照《中华人民共和国民法典》有关条文执行。对本合同内容的任何修改和变更须由甲乙双方协商后达成书面补充协议，并经双方签字并加盖单位公章或合同专用章后生效。补充协议</w:t>
      </w:r>
      <w:r>
        <w:rPr>
          <w:rFonts w:hint="eastAsia" w:ascii="宋体" w:hAnsi="宋体" w:eastAsia="宋体" w:cs="宋体"/>
          <w:bCs/>
          <w:kern w:val="2"/>
          <w:sz w:val="21"/>
          <w:szCs w:val="21"/>
          <w:highlight w:val="none"/>
          <w:lang w:val="en-US" w:eastAsia="zh-CN" w:bidi="ar"/>
        </w:rPr>
        <w:t>与本合同具有同等法律效力。</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合同份数：本合同一式</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份，具备同等法律效力。甲方执</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份，乙方执</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w:t>
      </w:r>
    </w:p>
    <w:p>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bCs/>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其它约定：</w:t>
      </w:r>
    </w:p>
    <w:p>
      <w:pPr>
        <w:keepNext w:val="0"/>
        <w:keepLines w:val="0"/>
        <w:widowControl w:val="0"/>
        <w:suppressLineNumbers w:val="0"/>
        <w:spacing w:before="0" w:beforeAutospacing="0" w:after="0" w:afterAutospacing="0" w:line="360" w:lineRule="auto"/>
        <w:ind w:left="0" w:right="0"/>
        <w:jc w:val="left"/>
        <w:rPr>
          <w:rFonts w:hint="default" w:ascii="Times New Roman" w:hAnsi="宋体" w:cs="Times New Roman"/>
          <w:kern w:val="2"/>
          <w:sz w:val="21"/>
          <w:szCs w:val="21"/>
          <w:highlight w:val="none"/>
        </w:rPr>
      </w:pPr>
      <w:r>
        <w:rPr>
          <w:rFonts w:hint="default" w:ascii="Times New Roman" w:hAnsi="宋体" w:eastAsia="宋体" w:cs="Times New Roman"/>
          <w:kern w:val="2"/>
          <w:sz w:val="21"/>
          <w:szCs w:val="21"/>
          <w:highlight w:val="none"/>
          <w:lang w:val="en-US" w:eastAsia="zh-CN" w:bidi="ar"/>
        </w:rPr>
        <w:t xml:space="preserve"> </w:t>
      </w:r>
    </w:p>
    <w:p>
      <w:pPr>
        <w:pStyle w:val="10"/>
        <w:widowControl/>
        <w:snapToGrid w:val="0"/>
        <w:spacing w:line="360" w:lineRule="auto"/>
        <w:ind w:left="420" w:hanging="420" w:hanging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甲方：                              乙方： </w:t>
      </w:r>
    </w:p>
    <w:p>
      <w:pPr>
        <w:pStyle w:val="10"/>
        <w:widowControl/>
        <w:snapToGrid w:val="0"/>
        <w:spacing w:line="360" w:lineRule="auto"/>
        <w:ind w:left="4725" w:hanging="4725" w:hangingChars="22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地址：                              地址：</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法定代表人或授权代表                法定代表人或授权代表</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（签字、盖章）：                    （签字、盖章）：</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纳税人识别号：                      纳税人识别号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开户行及账号：                      开户行及账号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联系电话：                          联系电话：</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pStyle w:val="3"/>
        <w:widowControl/>
        <w:spacing w:line="420" w:lineRule="exact"/>
        <w:rPr>
          <w:highlight w:val="none"/>
        </w:rPr>
      </w:pPr>
      <w:r>
        <w:rPr>
          <w:rFonts w:hint="default" w:ascii="楷体_GB2312" w:hAnsi="宋体" w:eastAsia="楷体_GB2312" w:cs="楷体_GB2312"/>
          <w:kern w:val="2"/>
          <w:sz w:val="21"/>
          <w:szCs w:val="21"/>
          <w:highlight w:val="none"/>
        </w:rPr>
        <w:t>签订日期：</w:t>
      </w:r>
      <w:r>
        <w:rPr>
          <w:rFonts w:hint="eastAsia" w:ascii="宋体" w:hAnsi="宋体" w:eastAsia="楷体_GB2312" w:cs="宋体"/>
          <w:kern w:val="2"/>
          <w:sz w:val="21"/>
          <w:szCs w:val="21"/>
          <w:highlight w:val="none"/>
        </w:rPr>
        <w:t xml:space="preserve">      </w:t>
      </w:r>
      <w:r>
        <w:rPr>
          <w:rFonts w:hint="default" w:ascii="楷体_GB2312" w:hAnsi="宋体" w:eastAsia="楷体_GB2312" w:cs="楷体_GB2312"/>
          <w:kern w:val="2"/>
          <w:sz w:val="21"/>
          <w:szCs w:val="21"/>
          <w:highlight w:val="none"/>
        </w:rPr>
        <w:t>年</w:t>
      </w:r>
      <w:r>
        <w:rPr>
          <w:rFonts w:hint="eastAsia" w:ascii="宋体" w:hAnsi="宋体" w:eastAsia="楷体_GB2312" w:cs="宋体"/>
          <w:kern w:val="2"/>
          <w:sz w:val="21"/>
          <w:szCs w:val="21"/>
          <w:highlight w:val="none"/>
        </w:rPr>
        <w:t xml:space="preserve">   </w:t>
      </w:r>
      <w:r>
        <w:rPr>
          <w:rFonts w:hint="default" w:ascii="楷体_GB2312" w:hAnsi="宋体" w:eastAsia="楷体_GB2312" w:cs="楷体_GB2312"/>
          <w:kern w:val="2"/>
          <w:sz w:val="21"/>
          <w:szCs w:val="21"/>
          <w:highlight w:val="none"/>
        </w:rPr>
        <w:t>月</w:t>
      </w:r>
      <w:r>
        <w:rPr>
          <w:rFonts w:hint="eastAsia" w:ascii="宋体" w:hAnsi="宋体" w:eastAsia="楷体_GB2312" w:cs="宋体"/>
          <w:kern w:val="2"/>
          <w:sz w:val="21"/>
          <w:szCs w:val="21"/>
          <w:highlight w:val="none"/>
        </w:rPr>
        <w:t xml:space="preserve">  </w:t>
      </w:r>
      <w:r>
        <w:rPr>
          <w:rFonts w:hint="eastAsia" w:ascii="微软雅黑" w:hAnsi="微软雅黑" w:eastAsia="微软雅黑" w:cs="微软雅黑"/>
          <w:kern w:val="2"/>
          <w:sz w:val="21"/>
          <w:szCs w:val="21"/>
          <w:highlight w:val="none"/>
        </w:rPr>
        <w:br w:type="page"/>
      </w:r>
    </w:p>
    <w:p>
      <w:pPr>
        <w:pStyle w:val="4"/>
        <w:rPr>
          <w:highlight w:val="none"/>
        </w:rPr>
      </w:pPr>
    </w:p>
    <w:p>
      <w:pPr>
        <w:pStyle w:val="4"/>
        <w:rPr>
          <w:highlight w:val="none"/>
        </w:rPr>
      </w:pPr>
    </w:p>
    <w:p>
      <w:pPr>
        <w:pStyle w:val="4"/>
        <w:rPr>
          <w:highlight w:val="none"/>
        </w:rPr>
      </w:pPr>
    </w:p>
    <w:p>
      <w:pPr>
        <w:pStyle w:val="10"/>
        <w:adjustRightInd w:val="0"/>
        <w:snapToGrid w:val="0"/>
        <w:spacing w:before="120" w:after="120" w:line="360" w:lineRule="auto"/>
        <w:ind w:firstLine="767"/>
        <w:rPr>
          <w:rFonts w:cs="仿宋"/>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1</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3779"/>
    <w:multiLevelType w:val="multilevel"/>
    <w:tmpl w:val="13D337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34DF4AC"/>
    <w:multiLevelType w:val="singleLevel"/>
    <w:tmpl w:val="234DF4AC"/>
    <w:lvl w:ilvl="0" w:tentative="0">
      <w:start w:val="1"/>
      <w:numFmt w:val="decimal"/>
      <w:suff w:val="nothing"/>
      <w:lvlText w:val="%1、"/>
      <w:lvlJc w:val="left"/>
    </w:lvl>
  </w:abstractNum>
  <w:abstractNum w:abstractNumId="2">
    <w:nsid w:val="65B3604B"/>
    <w:multiLevelType w:val="multilevel"/>
    <w:tmpl w:val="65B360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44A7CD"/>
    <w:multiLevelType w:val="singleLevel"/>
    <w:tmpl w:val="7444A7CD"/>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506A"/>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36159EE"/>
    <w:rsid w:val="04104A24"/>
    <w:rsid w:val="04F331A7"/>
    <w:rsid w:val="05B517B2"/>
    <w:rsid w:val="060A2AE1"/>
    <w:rsid w:val="060C7F92"/>
    <w:rsid w:val="0666393D"/>
    <w:rsid w:val="078D73D6"/>
    <w:rsid w:val="07D33D16"/>
    <w:rsid w:val="09637941"/>
    <w:rsid w:val="0B675B31"/>
    <w:rsid w:val="0B7F20A1"/>
    <w:rsid w:val="0BDF51D7"/>
    <w:rsid w:val="0C3615C8"/>
    <w:rsid w:val="0C4861BD"/>
    <w:rsid w:val="0C7E7AA1"/>
    <w:rsid w:val="0CFE3A2E"/>
    <w:rsid w:val="0D865199"/>
    <w:rsid w:val="0D873213"/>
    <w:rsid w:val="0D9425DE"/>
    <w:rsid w:val="0D99361C"/>
    <w:rsid w:val="0FED3F88"/>
    <w:rsid w:val="10327956"/>
    <w:rsid w:val="107D340A"/>
    <w:rsid w:val="10EB4170"/>
    <w:rsid w:val="10F05838"/>
    <w:rsid w:val="113C24CA"/>
    <w:rsid w:val="119D0D41"/>
    <w:rsid w:val="11D57EAE"/>
    <w:rsid w:val="12162C3B"/>
    <w:rsid w:val="12281502"/>
    <w:rsid w:val="130F1D58"/>
    <w:rsid w:val="146723C1"/>
    <w:rsid w:val="14896182"/>
    <w:rsid w:val="155010AB"/>
    <w:rsid w:val="15572C10"/>
    <w:rsid w:val="15737A45"/>
    <w:rsid w:val="1584594C"/>
    <w:rsid w:val="15907301"/>
    <w:rsid w:val="15A069B5"/>
    <w:rsid w:val="15A90346"/>
    <w:rsid w:val="15B24E31"/>
    <w:rsid w:val="16AA09BD"/>
    <w:rsid w:val="16C670BD"/>
    <w:rsid w:val="17652C65"/>
    <w:rsid w:val="17833DE3"/>
    <w:rsid w:val="1890511D"/>
    <w:rsid w:val="19775424"/>
    <w:rsid w:val="1A241EC0"/>
    <w:rsid w:val="1A4B11ED"/>
    <w:rsid w:val="1AE96A89"/>
    <w:rsid w:val="1B823C4D"/>
    <w:rsid w:val="1C121D57"/>
    <w:rsid w:val="1C4A137C"/>
    <w:rsid w:val="1C8F1DE9"/>
    <w:rsid w:val="1CBB3611"/>
    <w:rsid w:val="1D3C57BB"/>
    <w:rsid w:val="1DA871CA"/>
    <w:rsid w:val="1F11313D"/>
    <w:rsid w:val="1F956998"/>
    <w:rsid w:val="20DC5C02"/>
    <w:rsid w:val="20DE7ECC"/>
    <w:rsid w:val="20FE711F"/>
    <w:rsid w:val="21A70E96"/>
    <w:rsid w:val="225E4DAF"/>
    <w:rsid w:val="22891E2D"/>
    <w:rsid w:val="22A743B8"/>
    <w:rsid w:val="22D33607"/>
    <w:rsid w:val="23BD6FE3"/>
    <w:rsid w:val="23FD2509"/>
    <w:rsid w:val="243943F8"/>
    <w:rsid w:val="24D37996"/>
    <w:rsid w:val="24E05430"/>
    <w:rsid w:val="25A81A4F"/>
    <w:rsid w:val="267A7579"/>
    <w:rsid w:val="272231F7"/>
    <w:rsid w:val="278173C8"/>
    <w:rsid w:val="27961F1E"/>
    <w:rsid w:val="27AD7C03"/>
    <w:rsid w:val="28836C75"/>
    <w:rsid w:val="288B7FBE"/>
    <w:rsid w:val="28C46277"/>
    <w:rsid w:val="29062B05"/>
    <w:rsid w:val="29127A38"/>
    <w:rsid w:val="294E2ABF"/>
    <w:rsid w:val="2A9B73F2"/>
    <w:rsid w:val="2AAA7342"/>
    <w:rsid w:val="2AB43BC5"/>
    <w:rsid w:val="2B556F15"/>
    <w:rsid w:val="2B7F4BC3"/>
    <w:rsid w:val="2B877755"/>
    <w:rsid w:val="2CAC2D20"/>
    <w:rsid w:val="2CE81BAF"/>
    <w:rsid w:val="2DAC05D8"/>
    <w:rsid w:val="2DE728EA"/>
    <w:rsid w:val="2DF34335"/>
    <w:rsid w:val="2E3269AF"/>
    <w:rsid w:val="2E726843"/>
    <w:rsid w:val="2EDC02FF"/>
    <w:rsid w:val="2EE87C86"/>
    <w:rsid w:val="2EEC5388"/>
    <w:rsid w:val="2FE95EC5"/>
    <w:rsid w:val="3172033E"/>
    <w:rsid w:val="317E53B7"/>
    <w:rsid w:val="32191EE0"/>
    <w:rsid w:val="3227588C"/>
    <w:rsid w:val="325F6558"/>
    <w:rsid w:val="32D31276"/>
    <w:rsid w:val="331653E5"/>
    <w:rsid w:val="341C30A3"/>
    <w:rsid w:val="34624C86"/>
    <w:rsid w:val="351529A9"/>
    <w:rsid w:val="355A74E9"/>
    <w:rsid w:val="35FD1F7A"/>
    <w:rsid w:val="36616918"/>
    <w:rsid w:val="366D672C"/>
    <w:rsid w:val="36E3150F"/>
    <w:rsid w:val="36E80692"/>
    <w:rsid w:val="3836614A"/>
    <w:rsid w:val="384A4707"/>
    <w:rsid w:val="385D644E"/>
    <w:rsid w:val="38CB6D40"/>
    <w:rsid w:val="38F33167"/>
    <w:rsid w:val="397A4554"/>
    <w:rsid w:val="39B83B5F"/>
    <w:rsid w:val="39C83C69"/>
    <w:rsid w:val="39CE5E1D"/>
    <w:rsid w:val="3A177EA3"/>
    <w:rsid w:val="3A9701E9"/>
    <w:rsid w:val="3B4244C5"/>
    <w:rsid w:val="3C003247"/>
    <w:rsid w:val="3C8E6F2D"/>
    <w:rsid w:val="3D6145DC"/>
    <w:rsid w:val="3E122F01"/>
    <w:rsid w:val="3E5E0082"/>
    <w:rsid w:val="3EDB4EA4"/>
    <w:rsid w:val="3F22378C"/>
    <w:rsid w:val="3F9F3463"/>
    <w:rsid w:val="3FC31914"/>
    <w:rsid w:val="405D6728"/>
    <w:rsid w:val="40FD6FDA"/>
    <w:rsid w:val="41110191"/>
    <w:rsid w:val="414A37BB"/>
    <w:rsid w:val="41AB78A0"/>
    <w:rsid w:val="41B45A04"/>
    <w:rsid w:val="42643A73"/>
    <w:rsid w:val="42AA1012"/>
    <w:rsid w:val="43FB66E3"/>
    <w:rsid w:val="44982D07"/>
    <w:rsid w:val="44DC7F4B"/>
    <w:rsid w:val="45651876"/>
    <w:rsid w:val="463D7DBF"/>
    <w:rsid w:val="466F6CEB"/>
    <w:rsid w:val="46AA377D"/>
    <w:rsid w:val="480352A0"/>
    <w:rsid w:val="49363676"/>
    <w:rsid w:val="49713AA7"/>
    <w:rsid w:val="499A2688"/>
    <w:rsid w:val="49D47D5A"/>
    <w:rsid w:val="49F62026"/>
    <w:rsid w:val="4A4B48E3"/>
    <w:rsid w:val="4B1A7369"/>
    <w:rsid w:val="4B5137BF"/>
    <w:rsid w:val="4D774E55"/>
    <w:rsid w:val="4DA86B45"/>
    <w:rsid w:val="4E3720DD"/>
    <w:rsid w:val="4F510F39"/>
    <w:rsid w:val="4FAB5553"/>
    <w:rsid w:val="4FAF38AA"/>
    <w:rsid w:val="51497070"/>
    <w:rsid w:val="51E025FE"/>
    <w:rsid w:val="52FD675A"/>
    <w:rsid w:val="532B7AD5"/>
    <w:rsid w:val="53D80FA7"/>
    <w:rsid w:val="542D758B"/>
    <w:rsid w:val="5448002A"/>
    <w:rsid w:val="5473349C"/>
    <w:rsid w:val="54A3797A"/>
    <w:rsid w:val="54B6223B"/>
    <w:rsid w:val="54E15A0F"/>
    <w:rsid w:val="55344B23"/>
    <w:rsid w:val="55CB1AC6"/>
    <w:rsid w:val="56732DC5"/>
    <w:rsid w:val="56C21B98"/>
    <w:rsid w:val="57360F05"/>
    <w:rsid w:val="581F495D"/>
    <w:rsid w:val="58484116"/>
    <w:rsid w:val="58DA78C0"/>
    <w:rsid w:val="58E017CC"/>
    <w:rsid w:val="5A770570"/>
    <w:rsid w:val="5AB97222"/>
    <w:rsid w:val="5AC859BF"/>
    <w:rsid w:val="5ACE1E06"/>
    <w:rsid w:val="5B4C17F1"/>
    <w:rsid w:val="5C0F2072"/>
    <w:rsid w:val="5C491A34"/>
    <w:rsid w:val="5CFC1D50"/>
    <w:rsid w:val="5D740137"/>
    <w:rsid w:val="5D8C1657"/>
    <w:rsid w:val="5E6C25B6"/>
    <w:rsid w:val="5E84123F"/>
    <w:rsid w:val="5F0028BB"/>
    <w:rsid w:val="5F2528F6"/>
    <w:rsid w:val="5F9045F5"/>
    <w:rsid w:val="5F9764C2"/>
    <w:rsid w:val="600B6514"/>
    <w:rsid w:val="603300A7"/>
    <w:rsid w:val="60363DC9"/>
    <w:rsid w:val="607E0927"/>
    <w:rsid w:val="60D968DA"/>
    <w:rsid w:val="60F41422"/>
    <w:rsid w:val="619D5BCC"/>
    <w:rsid w:val="61FD5E09"/>
    <w:rsid w:val="6233128F"/>
    <w:rsid w:val="62635DDC"/>
    <w:rsid w:val="62FE3555"/>
    <w:rsid w:val="63183382"/>
    <w:rsid w:val="63D7368B"/>
    <w:rsid w:val="64133649"/>
    <w:rsid w:val="64CA773A"/>
    <w:rsid w:val="64DA6953"/>
    <w:rsid w:val="654A5C21"/>
    <w:rsid w:val="657A0549"/>
    <w:rsid w:val="65807902"/>
    <w:rsid w:val="665A104A"/>
    <w:rsid w:val="66ED444E"/>
    <w:rsid w:val="67484273"/>
    <w:rsid w:val="68A2256D"/>
    <w:rsid w:val="68A603CF"/>
    <w:rsid w:val="699363A9"/>
    <w:rsid w:val="69A05AEA"/>
    <w:rsid w:val="69E27B06"/>
    <w:rsid w:val="69EA623B"/>
    <w:rsid w:val="6A0F3694"/>
    <w:rsid w:val="6A5445FC"/>
    <w:rsid w:val="6A5C1E75"/>
    <w:rsid w:val="6A6F4CA3"/>
    <w:rsid w:val="6AB76CFB"/>
    <w:rsid w:val="6ABA08C1"/>
    <w:rsid w:val="6AE82C10"/>
    <w:rsid w:val="6BC1702A"/>
    <w:rsid w:val="6C282248"/>
    <w:rsid w:val="6CBD55AC"/>
    <w:rsid w:val="6CF92406"/>
    <w:rsid w:val="6DE636A7"/>
    <w:rsid w:val="6DE86594"/>
    <w:rsid w:val="6E5C2511"/>
    <w:rsid w:val="6EAA322C"/>
    <w:rsid w:val="6EC21AA2"/>
    <w:rsid w:val="701D462F"/>
    <w:rsid w:val="725831A5"/>
    <w:rsid w:val="73607DE9"/>
    <w:rsid w:val="73711235"/>
    <w:rsid w:val="753E278B"/>
    <w:rsid w:val="75BE6EB5"/>
    <w:rsid w:val="766E504D"/>
    <w:rsid w:val="77532864"/>
    <w:rsid w:val="7815375E"/>
    <w:rsid w:val="790D6252"/>
    <w:rsid w:val="79346F3D"/>
    <w:rsid w:val="79AC519F"/>
    <w:rsid w:val="7AE40810"/>
    <w:rsid w:val="7B0749C7"/>
    <w:rsid w:val="7BBB6C68"/>
    <w:rsid w:val="7C574749"/>
    <w:rsid w:val="7C8E2CF6"/>
    <w:rsid w:val="7C967B8B"/>
    <w:rsid w:val="7CBA2D72"/>
    <w:rsid w:val="7CD015B7"/>
    <w:rsid w:val="7DAF0C8C"/>
    <w:rsid w:val="7DC931C4"/>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4"/>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11">
    <w:name w:val="Date"/>
    <w:basedOn w:val="1"/>
    <w:next w:val="1"/>
    <w:link w:val="28"/>
    <w:qFormat/>
    <w:uiPriority w:val="99"/>
    <w:pPr>
      <w:ind w:left="100" w:leftChars="2500"/>
    </w:pPr>
    <w:rPr>
      <w:sz w:val="24"/>
      <w:szCs w:val="20"/>
    </w:rPr>
  </w:style>
  <w:style w:type="paragraph" w:styleId="12">
    <w:name w:val="Balloon Text"/>
    <w:basedOn w:val="1"/>
    <w:link w:val="29"/>
    <w:semiHidden/>
    <w:qFormat/>
    <w:uiPriority w:val="99"/>
    <w:rPr>
      <w:kern w:val="0"/>
      <w:sz w:val="2"/>
      <w:szCs w:val="20"/>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2"/>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paragraph" w:customStyle="1" w:styleId="23">
    <w:name w:val="DAS正文"/>
    <w:basedOn w:val="1"/>
    <w:qFormat/>
    <w:uiPriority w:val="0"/>
    <w:pPr>
      <w:spacing w:line="360" w:lineRule="auto"/>
      <w:ind w:right="181" w:firstLine="480"/>
      <w:jc w:val="both"/>
    </w:pPr>
    <w:rPr>
      <w:rFonts w:ascii="Verdana" w:hAnsi="Verdana" w:cs="Times New Roman"/>
      <w:szCs w:val="24"/>
    </w:rPr>
  </w:style>
  <w:style w:type="character" w:customStyle="1" w:styleId="24">
    <w:name w:val="标题 1 Char"/>
    <w:link w:val="3"/>
    <w:qFormat/>
    <w:locked/>
    <w:uiPriority w:val="99"/>
    <w:rPr>
      <w:rFonts w:cs="Times New Roman"/>
      <w:b/>
      <w:kern w:val="44"/>
      <w:sz w:val="44"/>
    </w:rPr>
  </w:style>
  <w:style w:type="character" w:customStyle="1" w:styleId="25">
    <w:name w:val="批注文字 Char"/>
    <w:link w:val="5"/>
    <w:qFormat/>
    <w:locked/>
    <w:uiPriority w:val="99"/>
    <w:rPr>
      <w:rFonts w:cs="Times New Roman"/>
      <w:kern w:val="2"/>
      <w:sz w:val="24"/>
    </w:rPr>
  </w:style>
  <w:style w:type="character" w:customStyle="1" w:styleId="26">
    <w:name w:val="正文文本缩进 Char"/>
    <w:link w:val="7"/>
    <w:qFormat/>
    <w:locked/>
    <w:uiPriority w:val="99"/>
    <w:rPr>
      <w:rFonts w:ascii="等线" w:eastAsia="等线" w:cs="Times New Roman"/>
      <w:kern w:val="2"/>
      <w:sz w:val="22"/>
    </w:rPr>
  </w:style>
  <w:style w:type="character" w:customStyle="1" w:styleId="27">
    <w:name w:val="纯文本 Char"/>
    <w:link w:val="10"/>
    <w:qFormat/>
    <w:locked/>
    <w:uiPriority w:val="0"/>
    <w:rPr>
      <w:rFonts w:ascii="宋体" w:hAnsi="Courier New" w:cs="Times New Roman"/>
      <w:kern w:val="2"/>
      <w:sz w:val="21"/>
    </w:rPr>
  </w:style>
  <w:style w:type="character" w:customStyle="1" w:styleId="28">
    <w:name w:val="日期 Char"/>
    <w:link w:val="11"/>
    <w:qFormat/>
    <w:locked/>
    <w:uiPriority w:val="99"/>
    <w:rPr>
      <w:rFonts w:cs="Times New Roman"/>
      <w:kern w:val="2"/>
      <w:sz w:val="24"/>
    </w:rPr>
  </w:style>
  <w:style w:type="character" w:customStyle="1" w:styleId="29">
    <w:name w:val="批注框文本 Char"/>
    <w:link w:val="12"/>
    <w:semiHidden/>
    <w:qFormat/>
    <w:locked/>
    <w:uiPriority w:val="99"/>
    <w:rPr>
      <w:rFonts w:cs="Times New Roman"/>
      <w:sz w:val="2"/>
    </w:rPr>
  </w:style>
  <w:style w:type="character" w:customStyle="1" w:styleId="30">
    <w:name w:val="页脚 Char"/>
    <w:link w:val="13"/>
    <w:semiHidden/>
    <w:qFormat/>
    <w:locked/>
    <w:uiPriority w:val="99"/>
    <w:rPr>
      <w:rFonts w:cs="Times New Roman"/>
      <w:sz w:val="18"/>
      <w:szCs w:val="18"/>
    </w:rPr>
  </w:style>
  <w:style w:type="character" w:customStyle="1" w:styleId="31">
    <w:name w:val="页眉 Char"/>
    <w:link w:val="14"/>
    <w:qFormat/>
    <w:locked/>
    <w:uiPriority w:val="99"/>
    <w:rPr>
      <w:rFonts w:cs="Times New Roman"/>
      <w:kern w:val="2"/>
      <w:sz w:val="18"/>
    </w:rPr>
  </w:style>
  <w:style w:type="character" w:customStyle="1" w:styleId="32">
    <w:name w:val="批注主题 Char"/>
    <w:link w:val="16"/>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出段落 Char"/>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Char"/>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6">
    <w:name w:val="正文2"/>
    <w:basedOn w:val="1"/>
    <w:qFormat/>
    <w:uiPriority w:val="0"/>
    <w:pPr>
      <w:spacing w:before="156" w:line="360" w:lineRule="auto"/>
      <w:ind w:firstLine="510" w:firstLineChars="200"/>
    </w:pPr>
    <w:rPr>
      <w:sz w:val="24"/>
    </w:rPr>
  </w:style>
  <w:style w:type="paragraph" w:customStyle="1" w:styleId="47">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8">
    <w:name w:val="A9"/>
    <w:qFormat/>
    <w:uiPriority w:val="0"/>
    <w:rPr>
      <w:rFonts w:cs="PSFEIH+StoneSans"/>
      <w:color w:val="262424"/>
      <w:sz w:val="20"/>
      <w:szCs w:val="20"/>
    </w:r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A14"/>
    <w:qFormat/>
    <w:uiPriority w:val="99"/>
    <w:rPr>
      <w:rFonts w:cs="Open Sans Light"/>
      <w:color w:val="FFFFFF"/>
      <w:sz w:val="13"/>
      <w:szCs w:val="13"/>
    </w:rPr>
  </w:style>
  <w:style w:type="paragraph" w:customStyle="1" w:styleId="51">
    <w:name w:val="表格文字"/>
    <w:basedOn w:val="1"/>
    <w:next w:val="6"/>
    <w:qFormat/>
    <w:uiPriority w:val="0"/>
    <w:rPr>
      <w:sz w:val="24"/>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2366</Words>
  <Characters>13489</Characters>
  <Lines>1</Lines>
  <Paragraphs>1</Paragraphs>
  <TotalTime>2</TotalTime>
  <ScaleCrop>false</ScaleCrop>
  <LinksUpToDate>false</LinksUpToDate>
  <CharactersWithSpaces>15824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2021-11-26T06:51:20Z</dcterms:modified>
  <dc:title>淮海工学院A8-10号楼学生宿舍家具招标书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23639D17F0B14261A440BFF04957280E</vt:lpwstr>
  </property>
</Properties>
</file>