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highlight w:val="none"/>
        </w:rPr>
      </w:pPr>
      <w:bookmarkStart w:id="11" w:name="_GoBack"/>
      <w:bookmarkStart w:id="0" w:name="OLE_LINK2"/>
      <w:bookmarkStart w:id="1" w:name="OLE_LINK1"/>
      <w:r>
        <w:rPr>
          <w:highlight w:val="none"/>
        </w:rPr>
        <w:t>南京信息工程大学</w:t>
      </w:r>
      <w:bookmarkEnd w:id="0"/>
      <w:bookmarkEnd w:id="1"/>
      <w:r>
        <w:rPr>
          <w:highlight w:val="none"/>
        </w:rPr>
        <w:t>气相色谱仪</w:t>
      </w:r>
      <w:r>
        <w:rPr>
          <w:rFonts w:hint="eastAsia" w:ascii="宋体" w:hAnsi="宋体"/>
          <w:highlight w:val="none"/>
        </w:rPr>
        <w:t>采购</w:t>
      </w:r>
      <w:r>
        <w:rPr>
          <w:rFonts w:hint="eastAsia"/>
          <w:highlight w:val="none"/>
        </w:rPr>
        <w:t>项目</w:t>
      </w:r>
      <w:r>
        <w:rPr>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JZCG-2022-00001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ascii="宋体" w:hAnsi="宋体" w:cs="仿宋"/>
          <w:sz w:val="28"/>
          <w:szCs w:val="28"/>
          <w:highlight w:val="none"/>
          <w:u w:val="single"/>
        </w:rPr>
        <w:t>2</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w:t>
      </w:r>
      <w:r>
        <w:rPr>
          <w:rFonts w:ascii="宋体" w:hAnsi="宋体" w:cs="仿宋"/>
          <w:sz w:val="28"/>
          <w:szCs w:val="28"/>
          <w:highlight w:val="none"/>
          <w:u w:val="single"/>
        </w:rPr>
        <w:t>1</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环境科学与工程学院</w:t>
      </w:r>
      <w:r>
        <w:rPr>
          <w:rFonts w:ascii="宋体" w:hAnsi="宋体"/>
          <w:sz w:val="28"/>
          <w:szCs w:val="28"/>
          <w:highlight w:val="none"/>
        </w:rPr>
        <w:t>委托，就</w:t>
      </w:r>
      <w:r>
        <w:rPr>
          <w:rFonts w:hint="eastAsia" w:ascii="宋体" w:hAnsi="宋体"/>
          <w:sz w:val="28"/>
          <w:szCs w:val="28"/>
          <w:highlight w:val="none"/>
        </w:rPr>
        <w:t>气相色谱仪采购项目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1"/>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1"/>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气相色谱仪</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5"/>
          <w:b/>
          <w:color w:val="auto"/>
          <w:sz w:val="24"/>
          <w:highlight w:val="none"/>
        </w:rPr>
        <w:t>https://bulletin.nuist.edu.cn/779/lis</w:t>
      </w:r>
      <w:r>
        <w:rPr>
          <w:rStyle w:val="25"/>
          <w:color w:val="auto"/>
          <w:sz w:val="24"/>
          <w:highlight w:val="none"/>
        </w:rPr>
        <w:t>t.htm</w:t>
      </w:r>
      <w:r>
        <w:rPr>
          <w:rStyle w:val="25"/>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w:t>
      </w:r>
      <w:commentRangeStart w:id="0"/>
      <w:r>
        <w:rPr>
          <w:rFonts w:hint="eastAsia" w:ascii="宋体" w:hAnsi="宋体" w:cs="宋体"/>
          <w:sz w:val="28"/>
          <w:szCs w:val="28"/>
          <w:highlight w:val="none"/>
        </w:rPr>
        <w:t>90天</w:t>
      </w:r>
      <w:commentRangeEnd w:id="0"/>
      <w:r>
        <w:rPr>
          <w:rStyle w:val="27"/>
          <w:szCs w:val="20"/>
          <w:highlight w:val="none"/>
        </w:rPr>
        <w:commentReference w:id="0"/>
      </w:r>
      <w:r>
        <w:rPr>
          <w:rFonts w:hint="eastAsia" w:ascii="宋体" w:hAnsi="宋体" w:cs="宋体"/>
          <w:sz w:val="28"/>
          <w:szCs w:val="28"/>
          <w:highlight w:val="none"/>
        </w:rPr>
        <w:t>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ascii="宋体" w:hAnsi="宋体" w:cs="宋体"/>
          <w:sz w:val="28"/>
          <w:szCs w:val="28"/>
          <w:highlight w:val="none"/>
        </w:rPr>
        <w:t>23</w:t>
      </w:r>
      <w:r>
        <w:rPr>
          <w:rFonts w:hint="eastAsia" w:ascii="宋体" w:hAnsi="宋体" w:cs="宋体"/>
          <w:sz w:val="28"/>
          <w:szCs w:val="28"/>
          <w:highlight w:val="none"/>
        </w:rPr>
        <w:t>.00万元，本项目只接受人民币报价。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七、本项目</w:t>
      </w:r>
      <w:r>
        <w:rPr>
          <w:rFonts w:hint="eastAsia" w:ascii="宋体" w:hAnsi="宋体" w:cs="宋体"/>
          <w:sz w:val="28"/>
          <w:szCs w:val="28"/>
          <w:highlight w:val="none"/>
          <w:u w:val="single"/>
        </w:rPr>
        <w:t>接受</w:t>
      </w:r>
      <w:r>
        <w:rPr>
          <w:rFonts w:hint="eastAsia" w:ascii="宋体" w:hAnsi="宋体" w:cs="宋体"/>
          <w:sz w:val="28"/>
          <w:szCs w:val="28"/>
          <w:highlight w:val="none"/>
        </w:rPr>
        <w:t>进口产品投标。</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进口货物的外贸代理公司由投标人（中标人）在我校确定的三家外贸代理公司中自行选择，代理费由投标人与所选外贸公司协商确定并含在报价中。我校协助办理入关、免税等相关证明材料手续。</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050"/>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0" w:type="dxa"/>
          </w:tcPr>
          <w:p>
            <w:pPr>
              <w:widowControl/>
              <w:spacing w:line="440" w:lineRule="exact"/>
              <w:rPr>
                <w:rFonts w:ascii="宋体" w:hAnsi="宋体" w:cs="宋体"/>
                <w:highlight w:val="none"/>
              </w:rPr>
            </w:pPr>
            <w:r>
              <w:rPr>
                <w:rFonts w:hint="eastAsia" w:ascii="宋体" w:hAnsi="宋体" w:cs="宋体"/>
                <w:highlight w:val="none"/>
              </w:rPr>
              <w:t>单位名称</w:t>
            </w:r>
          </w:p>
        </w:tc>
        <w:tc>
          <w:tcPr>
            <w:tcW w:w="1050" w:type="dxa"/>
          </w:tcPr>
          <w:p>
            <w:pPr>
              <w:widowControl/>
              <w:spacing w:line="440" w:lineRule="exact"/>
              <w:rPr>
                <w:rFonts w:ascii="宋体" w:hAnsi="宋体" w:cs="宋体"/>
                <w:highlight w:val="none"/>
              </w:rPr>
            </w:pPr>
            <w:r>
              <w:rPr>
                <w:rFonts w:hint="eastAsia" w:ascii="宋体" w:hAnsi="宋体" w:cs="宋体"/>
                <w:highlight w:val="none"/>
              </w:rPr>
              <w:t>联系人</w:t>
            </w:r>
          </w:p>
        </w:tc>
        <w:tc>
          <w:tcPr>
            <w:tcW w:w="3441" w:type="dxa"/>
          </w:tcPr>
          <w:p>
            <w:pPr>
              <w:widowControl/>
              <w:spacing w:line="440" w:lineRule="exact"/>
              <w:rPr>
                <w:rFonts w:ascii="宋体" w:hAnsi="宋体" w:cs="宋体"/>
                <w:highlight w:val="none"/>
              </w:rPr>
            </w:pPr>
            <w:r>
              <w:rPr>
                <w:rFonts w:hint="eastAsia" w:ascii="宋体" w:hAnsi="宋体" w:cs="宋体"/>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0" w:type="dxa"/>
          </w:tcPr>
          <w:p>
            <w:pPr>
              <w:widowControl/>
              <w:spacing w:line="440" w:lineRule="exact"/>
              <w:rPr>
                <w:rFonts w:ascii="宋体" w:hAnsi="宋体" w:cs="宋体"/>
                <w:highlight w:val="none"/>
              </w:rPr>
            </w:pPr>
            <w:r>
              <w:rPr>
                <w:rFonts w:hint="eastAsia" w:ascii="宋体" w:hAnsi="宋体" w:cs="宋体"/>
                <w:highlight w:val="none"/>
              </w:rPr>
              <w:t>赛尔网络有限公司</w:t>
            </w:r>
          </w:p>
        </w:tc>
        <w:tc>
          <w:tcPr>
            <w:tcW w:w="1050" w:type="dxa"/>
          </w:tcPr>
          <w:p>
            <w:pPr>
              <w:widowControl/>
              <w:spacing w:line="440" w:lineRule="exact"/>
              <w:rPr>
                <w:rFonts w:ascii="宋体" w:hAnsi="宋体" w:cs="宋体"/>
                <w:highlight w:val="none"/>
              </w:rPr>
            </w:pPr>
            <w:r>
              <w:rPr>
                <w:rFonts w:hint="eastAsia" w:ascii="宋体" w:hAnsi="宋体" w:cs="宋体"/>
                <w:highlight w:val="none"/>
              </w:rPr>
              <w:t>孔经理</w:t>
            </w:r>
          </w:p>
        </w:tc>
        <w:tc>
          <w:tcPr>
            <w:tcW w:w="3441" w:type="dxa"/>
          </w:tcPr>
          <w:p>
            <w:pPr>
              <w:widowControl/>
              <w:spacing w:line="440" w:lineRule="exact"/>
              <w:rPr>
                <w:rFonts w:ascii="宋体" w:hAnsi="宋体" w:cs="宋体"/>
                <w:highlight w:val="none"/>
              </w:rPr>
            </w:pPr>
            <w:r>
              <w:rPr>
                <w:rFonts w:hint="eastAsia" w:ascii="宋体" w:hAnsi="宋体" w:cs="宋体"/>
                <w:highlight w:val="none"/>
              </w:rPr>
              <w:t>025-84526113-303； 15950551182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0" w:type="dxa"/>
          </w:tcPr>
          <w:p>
            <w:pPr>
              <w:widowControl/>
              <w:spacing w:line="440" w:lineRule="exact"/>
              <w:rPr>
                <w:rFonts w:ascii="宋体" w:hAnsi="宋体" w:cs="宋体"/>
                <w:highlight w:val="none"/>
              </w:rPr>
            </w:pPr>
            <w:r>
              <w:rPr>
                <w:rFonts w:hint="eastAsia" w:ascii="宋体" w:hAnsi="宋体" w:cs="宋体"/>
                <w:highlight w:val="none"/>
              </w:rPr>
              <w:t>江苏苏美达仪器设备有限公司</w:t>
            </w:r>
          </w:p>
        </w:tc>
        <w:tc>
          <w:tcPr>
            <w:tcW w:w="1050" w:type="dxa"/>
          </w:tcPr>
          <w:p>
            <w:pPr>
              <w:widowControl/>
              <w:spacing w:line="440" w:lineRule="exact"/>
              <w:rPr>
                <w:rFonts w:ascii="宋体" w:hAnsi="宋体" w:cs="宋体"/>
                <w:highlight w:val="none"/>
              </w:rPr>
            </w:pPr>
            <w:r>
              <w:rPr>
                <w:rFonts w:hint="eastAsia" w:ascii="宋体" w:hAnsi="宋体" w:cs="宋体"/>
                <w:highlight w:val="none"/>
              </w:rPr>
              <w:t>练经理</w:t>
            </w:r>
          </w:p>
        </w:tc>
        <w:tc>
          <w:tcPr>
            <w:tcW w:w="3441" w:type="dxa"/>
          </w:tcPr>
          <w:p>
            <w:pPr>
              <w:widowControl/>
              <w:spacing w:line="440" w:lineRule="exact"/>
              <w:rPr>
                <w:rFonts w:ascii="宋体" w:hAnsi="宋体" w:cs="宋体"/>
                <w:highlight w:val="none"/>
              </w:rPr>
            </w:pPr>
            <w:r>
              <w:rPr>
                <w:rFonts w:hint="eastAsia" w:ascii="宋体" w:hAnsi="宋体" w:cs="宋体"/>
                <w:highlight w:val="none"/>
              </w:rPr>
              <w:t>025-84531280；15205153042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0" w:type="dxa"/>
          </w:tcPr>
          <w:p>
            <w:pPr>
              <w:widowControl/>
              <w:spacing w:line="440" w:lineRule="exact"/>
              <w:rPr>
                <w:rFonts w:ascii="宋体" w:hAnsi="宋体" w:cs="宋体"/>
                <w:highlight w:val="none"/>
              </w:rPr>
            </w:pPr>
            <w:r>
              <w:rPr>
                <w:rFonts w:hint="eastAsia" w:ascii="宋体" w:hAnsi="宋体" w:cs="宋体"/>
                <w:highlight w:val="none"/>
              </w:rPr>
              <w:t>江苏海外集团国际技术工程有限公司</w:t>
            </w:r>
          </w:p>
        </w:tc>
        <w:tc>
          <w:tcPr>
            <w:tcW w:w="1050" w:type="dxa"/>
          </w:tcPr>
          <w:p>
            <w:pPr>
              <w:widowControl/>
              <w:spacing w:line="440" w:lineRule="exact"/>
              <w:rPr>
                <w:rFonts w:ascii="宋体" w:hAnsi="宋体" w:cs="宋体"/>
                <w:highlight w:val="none"/>
              </w:rPr>
            </w:pPr>
            <w:r>
              <w:rPr>
                <w:rFonts w:hint="eastAsia" w:ascii="宋体" w:hAnsi="宋体" w:cs="宋体"/>
                <w:highlight w:val="none"/>
              </w:rPr>
              <w:t>方经理</w:t>
            </w:r>
          </w:p>
        </w:tc>
        <w:tc>
          <w:tcPr>
            <w:tcW w:w="3441" w:type="dxa"/>
          </w:tcPr>
          <w:p>
            <w:pPr>
              <w:widowControl/>
              <w:spacing w:line="440" w:lineRule="exact"/>
              <w:rPr>
                <w:rFonts w:ascii="宋体" w:hAnsi="宋体" w:cs="宋体"/>
                <w:highlight w:val="none"/>
              </w:rPr>
            </w:pPr>
            <w:r>
              <w:rPr>
                <w:rFonts w:hint="eastAsia" w:ascii="宋体" w:hAnsi="宋体" w:cs="宋体"/>
                <w:highlight w:val="none"/>
              </w:rPr>
              <w:t>025-84795955；15996350251</w:t>
            </w:r>
          </w:p>
        </w:tc>
      </w:tr>
    </w:tbl>
    <w:p>
      <w:pPr>
        <w:spacing w:before="312" w:beforeLines="100" w:after="312" w:afterLines="100" w:line="360" w:lineRule="auto"/>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sz w:val="28"/>
          <w:szCs w:val="28"/>
          <w:highlight w:val="none"/>
        </w:rPr>
        <w:t>JZCG-2022-00001资料费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w:t>
      </w:r>
      <w:r>
        <w:rPr>
          <w:rFonts w:hint="eastAsia" w:ascii="宋体" w:hAnsi="宋体" w:cs="宋体"/>
          <w:sz w:val="28"/>
          <w:szCs w:val="28"/>
          <w:highlight w:val="none"/>
        </w:rPr>
        <w:t>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宋体" w:hAnsi="宋体" w:cs="宋体"/>
          <w:b/>
          <w:sz w:val="28"/>
          <w:szCs w:val="28"/>
          <w:highlight w:val="none"/>
        </w:rPr>
        <w:t>JZCG-2022-00001资料费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2022</w:t>
      </w:r>
      <w:r>
        <w:rPr>
          <w:rFonts w:hint="eastAsia" w:ascii="宋体" w:hAnsi="宋体"/>
          <w:b/>
          <w:sz w:val="28"/>
          <w:szCs w:val="28"/>
          <w:highlight w:val="none"/>
          <w:u w:val="single"/>
        </w:rPr>
        <w:t>年0</w:t>
      </w:r>
      <w:r>
        <w:rPr>
          <w:rFonts w:ascii="宋体" w:hAnsi="宋体"/>
          <w:b/>
          <w:sz w:val="28"/>
          <w:szCs w:val="28"/>
          <w:highlight w:val="none"/>
          <w:u w:val="single"/>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w:t>
      </w:r>
      <w:r>
        <w:rPr>
          <w:rFonts w:ascii="宋体" w:hAnsi="宋体"/>
          <w:b/>
          <w:sz w:val="28"/>
          <w:szCs w:val="28"/>
          <w:highlight w:val="none"/>
          <w:u w:val="single"/>
        </w:rPr>
        <w:t>8</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w:t>
      </w:r>
      <w:r>
        <w:rPr>
          <w:rFonts w:ascii="宋体" w:hAnsi="宋体"/>
          <w:sz w:val="28"/>
          <w:szCs w:val="28"/>
          <w:highlight w:val="none"/>
        </w:rPr>
        <w:t>2</w:t>
      </w:r>
      <w:r>
        <w:rPr>
          <w:rFonts w:hint="eastAsia" w:ascii="宋体" w:hAnsi="宋体"/>
          <w:sz w:val="28"/>
          <w:szCs w:val="28"/>
          <w:highlight w:val="none"/>
        </w:rPr>
        <w:t>年0</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14</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w:t>
      </w:r>
      <w:r>
        <w:rPr>
          <w:rFonts w:ascii="宋体" w:hAnsi="宋体"/>
          <w:sz w:val="28"/>
          <w:szCs w:val="28"/>
          <w:highlight w:val="none"/>
        </w:rPr>
        <w:t>2</w:t>
      </w:r>
      <w:r>
        <w:rPr>
          <w:rFonts w:hint="eastAsia" w:ascii="宋体" w:hAnsi="宋体"/>
          <w:sz w:val="28"/>
          <w:szCs w:val="28"/>
          <w:highlight w:val="none"/>
        </w:rPr>
        <w:t>年0</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14</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用户单位联系电话：15850547678，联系人：朱琳。</w:t>
      </w: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8"/>
          <w:rFonts w:ascii="宋体" w:hAnsi="Times New Roman" w:eastAsia="宋体"/>
          <w:sz w:val="28"/>
          <w:szCs w:val="28"/>
          <w:highlight w:val="none"/>
        </w:rPr>
      </w:pPr>
      <w:r>
        <w:rPr>
          <w:rStyle w:val="48"/>
          <w:rFonts w:ascii="宋体" w:hAnsi="宋体" w:eastAsia="宋体"/>
          <w:sz w:val="28"/>
          <w:szCs w:val="28"/>
          <w:highlight w:val="none"/>
        </w:rPr>
        <w:t>20</w:t>
      </w:r>
      <w:r>
        <w:rPr>
          <w:rStyle w:val="48"/>
          <w:rFonts w:hint="eastAsia" w:ascii="宋体" w:hAnsi="宋体" w:eastAsia="宋体"/>
          <w:sz w:val="28"/>
          <w:szCs w:val="28"/>
          <w:highlight w:val="none"/>
        </w:rPr>
        <w:t>2</w:t>
      </w:r>
      <w:r>
        <w:rPr>
          <w:rStyle w:val="48"/>
          <w:rFonts w:ascii="宋体" w:hAnsi="宋体" w:eastAsia="宋体"/>
          <w:sz w:val="28"/>
          <w:szCs w:val="28"/>
          <w:highlight w:val="none"/>
        </w:rPr>
        <w:t>2</w:t>
      </w:r>
      <w:r>
        <w:rPr>
          <w:rStyle w:val="48"/>
          <w:rFonts w:hint="eastAsia" w:ascii="宋体" w:hAnsi="宋体" w:eastAsia="宋体"/>
          <w:sz w:val="28"/>
          <w:szCs w:val="28"/>
          <w:highlight w:val="none"/>
        </w:rPr>
        <w:t>年</w:t>
      </w:r>
      <w:r>
        <w:rPr>
          <w:rStyle w:val="48"/>
          <w:rFonts w:ascii="宋体" w:hAnsi="宋体"/>
          <w:sz w:val="28"/>
          <w:szCs w:val="28"/>
          <w:highlight w:val="none"/>
        </w:rPr>
        <w:t>0</w:t>
      </w:r>
      <w:r>
        <w:rPr>
          <w:rStyle w:val="48"/>
          <w:rFonts w:hint="eastAsia" w:ascii="宋体" w:hAnsi="宋体"/>
          <w:sz w:val="28"/>
          <w:szCs w:val="28"/>
          <w:highlight w:val="none"/>
          <w:lang w:val="en-US"/>
        </w:rPr>
        <w:t>2</w:t>
      </w:r>
      <w:r>
        <w:rPr>
          <w:rStyle w:val="48"/>
          <w:rFonts w:hint="eastAsia" w:ascii="宋体" w:hAnsi="宋体" w:eastAsia="宋体"/>
          <w:sz w:val="28"/>
          <w:szCs w:val="28"/>
          <w:highlight w:val="none"/>
        </w:rPr>
        <w:t>月</w:t>
      </w:r>
      <w:r>
        <w:rPr>
          <w:rStyle w:val="48"/>
          <w:rFonts w:hint="eastAsia" w:ascii="宋体" w:hAnsi="宋体"/>
          <w:sz w:val="28"/>
          <w:szCs w:val="28"/>
          <w:highlight w:val="none"/>
          <w:lang w:val="en-US"/>
        </w:rPr>
        <w:t>21</w:t>
      </w:r>
      <w:r>
        <w:rPr>
          <w:rStyle w:val="48"/>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8"/>
          <w:rFonts w:ascii="宋体" w:hAnsi="宋体" w:eastAsia="宋体"/>
          <w:b w:val="0"/>
          <w:sz w:val="28"/>
          <w:szCs w:val="28"/>
          <w:highlight w:val="none"/>
        </w:rPr>
      </w:pPr>
      <w:r>
        <w:rPr>
          <w:rStyle w:val="48"/>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rPr>
          <w:highlight w:val="none"/>
        </w:rPr>
      </w:pPr>
      <w:r>
        <w:rPr>
          <w:rFonts w:hint="eastAsia"/>
          <w:highlight w:val="none"/>
        </w:rPr>
        <w:t>项目名称：气相色谱仪</w:t>
      </w:r>
    </w:p>
    <w:p>
      <w:pPr>
        <w:rPr>
          <w:highlight w:val="none"/>
        </w:rPr>
      </w:pPr>
      <w:r>
        <w:rPr>
          <w:rFonts w:hint="eastAsia"/>
          <w:highlight w:val="none"/>
        </w:rPr>
        <w:t>数量：1台</w:t>
      </w:r>
    </w:p>
    <w:p>
      <w:pPr>
        <w:rPr>
          <w:highlight w:val="none"/>
        </w:rPr>
      </w:pPr>
      <w:r>
        <w:rPr>
          <w:rFonts w:hint="eastAsia"/>
          <w:highlight w:val="none"/>
        </w:rPr>
        <w:t>主要技术要求：</w:t>
      </w:r>
    </w:p>
    <w:p>
      <w:pPr>
        <w:rPr>
          <w:highlight w:val="none"/>
        </w:rPr>
      </w:pPr>
      <w:r>
        <w:rPr>
          <w:rFonts w:hint="eastAsia"/>
          <w:highlight w:val="none"/>
        </w:rPr>
        <w:t>一、整体配置和性能要求</w:t>
      </w:r>
    </w:p>
    <w:p>
      <w:pPr>
        <w:rPr>
          <w:highlight w:val="none"/>
        </w:rPr>
      </w:pPr>
      <w:r>
        <w:rPr>
          <w:rFonts w:hint="eastAsia" w:ascii="宋体" w:hAnsi="宋体" w:cs="宋体"/>
          <w:kern w:val="0"/>
          <w:szCs w:val="21"/>
          <w:highlight w:val="none"/>
        </w:rPr>
        <w:t>▲</w:t>
      </w:r>
      <w:r>
        <w:rPr>
          <w:highlight w:val="none"/>
        </w:rPr>
        <w:t>1</w:t>
      </w:r>
      <w:r>
        <w:rPr>
          <w:rFonts w:hint="eastAsia"/>
          <w:highlight w:val="none"/>
        </w:rPr>
        <w:t>、气相色谱与色谱工作站之间的数据传输使用自身安装标准的</w:t>
      </w:r>
      <w:r>
        <w:rPr>
          <w:highlight w:val="none"/>
        </w:rPr>
        <w:t>Ethernet</w:t>
      </w:r>
      <w:r>
        <w:rPr>
          <w:rFonts w:hint="eastAsia"/>
          <w:highlight w:val="none"/>
        </w:rPr>
        <w:t>连接；该</w:t>
      </w:r>
      <w:r>
        <w:rPr>
          <w:highlight w:val="none"/>
        </w:rPr>
        <w:t>系统配备了使用两个检测器（火焰离子化检测器和微池电子捕获检测器）的单通道，用于分析空气样品中的 CO</w:t>
      </w:r>
      <w:r>
        <w:rPr>
          <w:highlight w:val="none"/>
          <w:vertAlign w:val="subscript"/>
        </w:rPr>
        <w:t>2</w:t>
      </w:r>
      <w:r>
        <w:rPr>
          <w:highlight w:val="none"/>
        </w:rPr>
        <w:t xml:space="preserve"> 、CH</w:t>
      </w:r>
      <w:r>
        <w:rPr>
          <w:highlight w:val="none"/>
          <w:vertAlign w:val="subscript"/>
        </w:rPr>
        <w:t>4</w:t>
      </w:r>
      <w:r>
        <w:rPr>
          <w:highlight w:val="none"/>
        </w:rPr>
        <w:t xml:space="preserve"> 、N</w:t>
      </w:r>
      <w:r>
        <w:rPr>
          <w:highlight w:val="none"/>
          <w:vertAlign w:val="subscript"/>
        </w:rPr>
        <w:t>2</w:t>
      </w:r>
      <w:r>
        <w:rPr>
          <w:highlight w:val="none"/>
        </w:rPr>
        <w:t>O 和 SF6 。配备了火焰离子化检测器的甲烷转化器 可以分析低浓度 CO</w:t>
      </w:r>
      <w:r>
        <w:rPr>
          <w:highlight w:val="none"/>
          <w:vertAlign w:val="subscript"/>
        </w:rPr>
        <w:t>2</w:t>
      </w:r>
      <w:r>
        <w:rPr>
          <w:rFonts w:hint="eastAsia"/>
          <w:highlight w:val="none"/>
        </w:rPr>
        <w:t>。</w:t>
      </w:r>
      <w:r>
        <w:rPr>
          <w:highlight w:val="none"/>
        </w:rPr>
        <w:t>使用 1/8 英寸不锈钢填充柱</w:t>
      </w:r>
      <w:r>
        <w:rPr>
          <w:rFonts w:hint="eastAsia"/>
          <w:highlight w:val="none"/>
        </w:rPr>
        <w:t>，</w:t>
      </w:r>
      <w:r>
        <w:rPr>
          <w:highlight w:val="none"/>
        </w:rPr>
        <w:t>甲烷转化器/火焰离子化检测器的组合系统用于检测低浓度的 CH</w:t>
      </w:r>
      <w:r>
        <w:rPr>
          <w:highlight w:val="none"/>
          <w:vertAlign w:val="subscript"/>
        </w:rPr>
        <w:t>4</w:t>
      </w:r>
      <w:r>
        <w:rPr>
          <w:highlight w:val="none"/>
        </w:rPr>
        <w:t xml:space="preserve"> 和 CO</w:t>
      </w:r>
      <w:r>
        <w:rPr>
          <w:highlight w:val="none"/>
          <w:vertAlign w:val="subscript"/>
        </w:rPr>
        <w:t>2</w:t>
      </w:r>
      <w:r>
        <w:rPr>
          <w:highlight w:val="none"/>
        </w:rPr>
        <w:t xml:space="preserve"> ， 而微池电子捕获检测器 用于检测 N</w:t>
      </w:r>
      <w:r>
        <w:rPr>
          <w:highlight w:val="none"/>
          <w:vertAlign w:val="subscript"/>
        </w:rPr>
        <w:t>2</w:t>
      </w:r>
      <w:r>
        <w:rPr>
          <w:highlight w:val="none"/>
        </w:rPr>
        <w:t>O。</w:t>
      </w:r>
    </w:p>
    <w:p>
      <w:pPr>
        <w:rPr>
          <w:highlight w:val="none"/>
        </w:rPr>
      </w:pPr>
      <w:r>
        <w:rPr>
          <w:highlight w:val="none"/>
        </w:rPr>
        <w:t>2</w:t>
      </w:r>
      <w:r>
        <w:rPr>
          <w:rFonts w:hint="eastAsia"/>
          <w:highlight w:val="none"/>
        </w:rPr>
        <w:t>、配置要求</w:t>
      </w:r>
    </w:p>
    <w:p>
      <w:pPr>
        <w:rPr>
          <w:highlight w:val="none"/>
        </w:rPr>
      </w:pPr>
      <w:r>
        <w:rPr>
          <w:highlight w:val="none"/>
        </w:rPr>
        <w:t>2</w:t>
      </w:r>
      <w:r>
        <w:rPr>
          <w:rFonts w:hint="eastAsia"/>
          <w:highlight w:val="none"/>
        </w:rPr>
        <w:t>.1气相色谱仪主机（带电子流量控制）　1台</w:t>
      </w:r>
    </w:p>
    <w:p>
      <w:pPr>
        <w:rPr>
          <w:highlight w:val="none"/>
        </w:rPr>
      </w:pPr>
      <w:r>
        <w:rPr>
          <w:highlight w:val="none"/>
        </w:rPr>
        <w:t>2</w:t>
      </w:r>
      <w:r>
        <w:rPr>
          <w:rFonts w:hint="eastAsia"/>
          <w:highlight w:val="none"/>
        </w:rPr>
        <w:t xml:space="preserve">.2进样口 </w:t>
      </w:r>
      <w:r>
        <w:rPr>
          <w:highlight w:val="none"/>
        </w:rPr>
        <w:t xml:space="preserve">      </w:t>
      </w:r>
      <w:r>
        <w:rPr>
          <w:rFonts w:hint="eastAsia"/>
          <w:highlight w:val="none"/>
        </w:rPr>
        <w:t>1套</w:t>
      </w:r>
    </w:p>
    <w:p>
      <w:pPr>
        <w:rPr>
          <w:highlight w:val="none"/>
        </w:rPr>
      </w:pPr>
      <w:r>
        <w:rPr>
          <w:highlight w:val="none"/>
        </w:rPr>
        <w:t>2</w:t>
      </w:r>
      <w:r>
        <w:rPr>
          <w:rFonts w:hint="eastAsia"/>
          <w:highlight w:val="none"/>
        </w:rPr>
        <w:t>.3</w:t>
      </w:r>
      <w:r>
        <w:rPr>
          <w:highlight w:val="none"/>
        </w:rPr>
        <w:t xml:space="preserve"> </w:t>
      </w:r>
      <w:r>
        <w:rPr>
          <w:rFonts w:hint="eastAsia"/>
          <w:highlight w:val="none"/>
        </w:rPr>
        <w:t>E</w:t>
      </w:r>
      <w:r>
        <w:rPr>
          <w:highlight w:val="none"/>
        </w:rPr>
        <w:t>CD</w:t>
      </w:r>
      <w:r>
        <w:rPr>
          <w:rFonts w:hint="eastAsia"/>
          <w:highlight w:val="none"/>
        </w:rPr>
        <w:t xml:space="preserve">检测器  </w:t>
      </w:r>
      <w:r>
        <w:rPr>
          <w:highlight w:val="none"/>
        </w:rPr>
        <w:t xml:space="preserve"> </w:t>
      </w:r>
      <w:r>
        <w:rPr>
          <w:rFonts w:hint="eastAsia"/>
          <w:highlight w:val="none"/>
        </w:rPr>
        <w:t>1套</w:t>
      </w:r>
    </w:p>
    <w:p>
      <w:pPr>
        <w:rPr>
          <w:highlight w:val="none"/>
        </w:rPr>
      </w:pPr>
      <w:r>
        <w:rPr>
          <w:highlight w:val="none"/>
        </w:rPr>
        <w:t>2.4 FID</w:t>
      </w:r>
      <w:r>
        <w:rPr>
          <w:rFonts w:hint="eastAsia"/>
          <w:highlight w:val="none"/>
        </w:rPr>
        <w:t xml:space="preserve">检测器 </w:t>
      </w:r>
      <w:r>
        <w:rPr>
          <w:highlight w:val="none"/>
        </w:rPr>
        <w:t xml:space="preserve">   1</w:t>
      </w:r>
      <w:r>
        <w:rPr>
          <w:rFonts w:hint="eastAsia"/>
          <w:highlight w:val="none"/>
        </w:rPr>
        <w:t>套</w:t>
      </w:r>
    </w:p>
    <w:p>
      <w:pPr>
        <w:rPr>
          <w:highlight w:val="none"/>
        </w:rPr>
      </w:pPr>
      <w:r>
        <w:rPr>
          <w:highlight w:val="none"/>
        </w:rPr>
        <w:t>2</w:t>
      </w:r>
      <w:r>
        <w:rPr>
          <w:rFonts w:hint="eastAsia"/>
          <w:highlight w:val="none"/>
        </w:rPr>
        <w:t>.</w:t>
      </w:r>
      <w:r>
        <w:rPr>
          <w:highlight w:val="none"/>
        </w:rPr>
        <w:t>5</w:t>
      </w:r>
      <w:r>
        <w:rPr>
          <w:rFonts w:hint="eastAsia"/>
          <w:highlight w:val="none"/>
        </w:rPr>
        <w:t xml:space="preserve"> 气体进样系统 1套</w:t>
      </w:r>
    </w:p>
    <w:p>
      <w:pPr>
        <w:rPr>
          <w:highlight w:val="none"/>
        </w:rPr>
      </w:pPr>
      <w:r>
        <w:rPr>
          <w:highlight w:val="none"/>
        </w:rPr>
        <w:t xml:space="preserve">2.6 </w:t>
      </w:r>
      <w:r>
        <w:rPr>
          <w:rFonts w:hint="eastAsia"/>
          <w:highlight w:val="none"/>
        </w:rPr>
        <w:t xml:space="preserve">阀切换装置 </w:t>
      </w:r>
      <w:r>
        <w:rPr>
          <w:highlight w:val="none"/>
        </w:rPr>
        <w:t xml:space="preserve">  1</w:t>
      </w:r>
      <w:r>
        <w:rPr>
          <w:rFonts w:hint="eastAsia"/>
          <w:highlight w:val="none"/>
        </w:rPr>
        <w:t>套</w:t>
      </w:r>
    </w:p>
    <w:p>
      <w:pPr>
        <w:rPr>
          <w:highlight w:val="none"/>
        </w:rPr>
      </w:pPr>
      <w:r>
        <w:rPr>
          <w:highlight w:val="none"/>
        </w:rPr>
        <w:t>2</w:t>
      </w:r>
      <w:r>
        <w:rPr>
          <w:rFonts w:hint="eastAsia"/>
          <w:highlight w:val="none"/>
        </w:rPr>
        <w:t>.</w:t>
      </w:r>
      <w:r>
        <w:rPr>
          <w:highlight w:val="none"/>
        </w:rPr>
        <w:t>7</w:t>
      </w:r>
      <w:r>
        <w:rPr>
          <w:rFonts w:hint="eastAsia"/>
          <w:highlight w:val="none"/>
        </w:rPr>
        <w:t xml:space="preserve">色谱工作站　 </w:t>
      </w:r>
      <w:r>
        <w:rPr>
          <w:highlight w:val="none"/>
        </w:rPr>
        <w:t xml:space="preserve"> </w:t>
      </w:r>
      <w:r>
        <w:rPr>
          <w:rFonts w:hint="eastAsia"/>
          <w:highlight w:val="none"/>
        </w:rPr>
        <w:t>1套</w:t>
      </w:r>
    </w:p>
    <w:p>
      <w:pPr>
        <w:rPr>
          <w:highlight w:val="none"/>
        </w:rPr>
      </w:pPr>
      <w:r>
        <w:rPr>
          <w:highlight w:val="none"/>
        </w:rPr>
        <w:t>2</w:t>
      </w:r>
      <w:r>
        <w:rPr>
          <w:rFonts w:hint="eastAsia"/>
          <w:highlight w:val="none"/>
        </w:rPr>
        <w:t>.</w:t>
      </w:r>
      <w:r>
        <w:rPr>
          <w:highlight w:val="none"/>
        </w:rPr>
        <w:t>8</w:t>
      </w:r>
      <w:r>
        <w:rPr>
          <w:rFonts w:hint="eastAsia"/>
          <w:highlight w:val="none"/>
        </w:rPr>
        <w:t>计算机（双核8G内存 1T硬盘 512M独显 DVD刻录，22英寸宽屏显示器）　</w:t>
      </w:r>
    </w:p>
    <w:p>
      <w:pPr>
        <w:rPr>
          <w:highlight w:val="none"/>
        </w:rPr>
      </w:pPr>
      <w:r>
        <w:rPr>
          <w:rFonts w:hint="eastAsia"/>
          <w:highlight w:val="none"/>
        </w:rPr>
        <w:t>二、技术指标</w:t>
      </w:r>
    </w:p>
    <w:p>
      <w:pPr>
        <w:rPr>
          <w:highlight w:val="none"/>
        </w:rPr>
      </w:pPr>
      <w:r>
        <w:rPr>
          <w:rFonts w:hint="eastAsia"/>
          <w:highlight w:val="none"/>
        </w:rPr>
        <w:t>1、工作条件</w:t>
      </w:r>
    </w:p>
    <w:p>
      <w:pPr>
        <w:rPr>
          <w:highlight w:val="none"/>
        </w:rPr>
      </w:pPr>
      <w:r>
        <w:rPr>
          <w:rFonts w:hint="eastAsia"/>
          <w:highlight w:val="none"/>
        </w:rPr>
        <w:t>1.1电源：220V，50Hz</w:t>
      </w:r>
    </w:p>
    <w:p>
      <w:pPr>
        <w:rPr>
          <w:highlight w:val="none"/>
        </w:rPr>
      </w:pPr>
      <w:r>
        <w:rPr>
          <w:rFonts w:hint="eastAsia"/>
          <w:highlight w:val="none"/>
        </w:rPr>
        <w:t>1.2温度：操作环境15</w:t>
      </w:r>
      <w:r>
        <w:rPr>
          <w:highlight w:val="none"/>
        </w:rPr>
        <w:t>˚</w:t>
      </w:r>
      <w:r>
        <w:rPr>
          <w:rFonts w:hint="eastAsia"/>
          <w:highlight w:val="none"/>
        </w:rPr>
        <w:t>C-35</w:t>
      </w:r>
      <w:r>
        <w:rPr>
          <w:highlight w:val="none"/>
        </w:rPr>
        <w:t>˚</w:t>
      </w:r>
      <w:r>
        <w:rPr>
          <w:rFonts w:hint="eastAsia"/>
          <w:highlight w:val="none"/>
        </w:rPr>
        <w:t>C</w:t>
      </w:r>
    </w:p>
    <w:p>
      <w:pPr>
        <w:rPr>
          <w:highlight w:val="none"/>
        </w:rPr>
      </w:pPr>
      <w:r>
        <w:rPr>
          <w:rFonts w:hint="eastAsia"/>
          <w:highlight w:val="none"/>
        </w:rPr>
        <w:t>1.3湿度：操作状态25-50%，非操作状态10-95%</w:t>
      </w:r>
    </w:p>
    <w:p>
      <w:pPr>
        <w:rPr>
          <w:highlight w:val="none"/>
        </w:rPr>
      </w:pPr>
      <w:r>
        <w:rPr>
          <w:rFonts w:hint="eastAsia"/>
          <w:highlight w:val="none"/>
        </w:rPr>
        <w:t>2、柱温箱</w:t>
      </w:r>
      <w:r>
        <w:rPr>
          <w:rFonts w:hint="eastAsia"/>
          <w:highlight w:val="none"/>
        </w:rPr>
        <w:br w:type="textWrapping"/>
      </w:r>
      <w:r>
        <w:rPr>
          <w:rFonts w:hint="eastAsia"/>
          <w:highlight w:val="none"/>
        </w:rPr>
        <w:t>2.1温度范围:室温以上8</w:t>
      </w:r>
      <w:r>
        <w:rPr>
          <w:highlight w:val="none"/>
        </w:rPr>
        <w:t>˚</w:t>
      </w:r>
      <w:r>
        <w:rPr>
          <w:rFonts w:hint="eastAsia"/>
          <w:highlight w:val="none"/>
        </w:rPr>
        <w:t>C-425</w:t>
      </w:r>
      <w:r>
        <w:rPr>
          <w:highlight w:val="none"/>
        </w:rPr>
        <w:t>˚</w:t>
      </w:r>
      <w:r>
        <w:rPr>
          <w:rFonts w:hint="eastAsia"/>
          <w:highlight w:val="none"/>
        </w:rPr>
        <w:t>C</w:t>
      </w:r>
    </w:p>
    <w:p>
      <w:pPr>
        <w:rPr>
          <w:highlight w:val="none"/>
        </w:rPr>
      </w:pPr>
      <w:r>
        <w:rPr>
          <w:rFonts w:hint="eastAsia"/>
          <w:highlight w:val="none"/>
        </w:rPr>
        <w:t>2.2温度设定值精度:0.1℃</w:t>
      </w:r>
    </w:p>
    <w:p>
      <w:pPr>
        <w:rPr>
          <w:highlight w:val="none"/>
        </w:rPr>
      </w:pPr>
      <w:r>
        <w:rPr>
          <w:rFonts w:hint="eastAsia"/>
          <w:highlight w:val="none"/>
        </w:rPr>
        <w:t>2.3柱温箱升温速度:最高＞75℃/min</w:t>
      </w:r>
    </w:p>
    <w:p>
      <w:pPr>
        <w:rPr>
          <w:highlight w:val="none"/>
        </w:rPr>
      </w:pPr>
      <w:r>
        <w:rPr>
          <w:rFonts w:hint="eastAsia"/>
          <w:highlight w:val="none"/>
        </w:rPr>
        <w:t>2.4 柱温箱降温速度:300℃到50℃＜6分钟</w:t>
      </w:r>
    </w:p>
    <w:p>
      <w:pPr>
        <w:rPr>
          <w:highlight w:val="none"/>
        </w:rPr>
      </w:pPr>
      <w:r>
        <w:rPr>
          <w:rFonts w:hint="eastAsia"/>
          <w:highlight w:val="none"/>
        </w:rPr>
        <w:t>2.5柱温箱具有降温功能,保证第二次进样时基线不出鬼峰</w:t>
      </w:r>
    </w:p>
    <w:p>
      <w:pPr>
        <w:rPr>
          <w:highlight w:val="none"/>
        </w:rPr>
      </w:pPr>
      <w:r>
        <w:rPr>
          <w:rFonts w:hint="eastAsia" w:ascii="宋体" w:hAnsi="宋体" w:cs="宋体"/>
          <w:kern w:val="0"/>
          <w:szCs w:val="21"/>
          <w:highlight w:val="none"/>
        </w:rPr>
        <w:t>▲</w:t>
      </w:r>
      <w:r>
        <w:rPr>
          <w:rFonts w:hint="eastAsia"/>
          <w:highlight w:val="none"/>
        </w:rPr>
        <w:t>2.6升温程序:≥20阶</w:t>
      </w:r>
    </w:p>
    <w:p>
      <w:pPr>
        <w:rPr>
          <w:highlight w:val="none"/>
        </w:rPr>
      </w:pPr>
      <w:r>
        <w:rPr>
          <w:rFonts w:hint="eastAsia" w:ascii="宋体" w:hAnsi="宋体" w:cs="宋体"/>
          <w:kern w:val="0"/>
          <w:szCs w:val="21"/>
          <w:highlight w:val="none"/>
        </w:rPr>
        <w:t>▲</w:t>
      </w:r>
      <w:r>
        <w:rPr>
          <w:rFonts w:hint="eastAsia"/>
          <w:highlight w:val="none"/>
        </w:rPr>
        <w:t>2.7能够支持与气相色谱仪主机同一品牌的SCD及NCD检测器（提供证明资料）</w:t>
      </w:r>
    </w:p>
    <w:p>
      <w:pPr>
        <w:rPr>
          <w:highlight w:val="none"/>
        </w:rPr>
      </w:pPr>
      <w:r>
        <w:rPr>
          <w:rFonts w:hint="eastAsia" w:ascii="宋体" w:hAnsi="宋体" w:cs="宋体"/>
          <w:kern w:val="0"/>
          <w:szCs w:val="21"/>
          <w:highlight w:val="none"/>
        </w:rPr>
        <w:t>▲</w:t>
      </w:r>
      <w:r>
        <w:rPr>
          <w:rFonts w:hint="eastAsia"/>
          <w:highlight w:val="none"/>
        </w:rPr>
        <w:t>2.8仪器采用电容式6英寸以上触摸屏界面可实时访问仪器状态、配置和流路信息以及信号图确认分析</w:t>
      </w:r>
    </w:p>
    <w:p>
      <w:pPr>
        <w:rPr>
          <w:highlight w:val="none"/>
        </w:rPr>
      </w:pPr>
      <w:r>
        <w:rPr>
          <w:rFonts w:hint="eastAsia" w:ascii="宋体" w:hAnsi="宋体" w:cs="宋体"/>
          <w:kern w:val="0"/>
          <w:szCs w:val="21"/>
          <w:highlight w:val="none"/>
        </w:rPr>
        <w:t>▲</w:t>
      </w:r>
      <w:r>
        <w:rPr>
          <w:rFonts w:hint="eastAsia"/>
          <w:highlight w:val="none"/>
        </w:rPr>
        <w:t>2.9仪器本身采用智能移动浏览器界面控制，通过仪器本身的浏览器界面可远程操作查看设置信息、解决问题、检测泄露、反吹色谱柱、暂停和启动样品运行以及管理方法等</w:t>
      </w:r>
    </w:p>
    <w:p>
      <w:pPr>
        <w:rPr>
          <w:highlight w:val="none"/>
        </w:rPr>
      </w:pPr>
      <w:r>
        <w:rPr>
          <w:rFonts w:hint="eastAsia" w:ascii="宋体" w:hAnsi="宋体" w:cs="宋体"/>
          <w:kern w:val="0"/>
          <w:szCs w:val="21"/>
          <w:highlight w:val="none"/>
        </w:rPr>
        <w:t>▲</w:t>
      </w:r>
      <w:r>
        <w:rPr>
          <w:rFonts w:hint="eastAsia"/>
          <w:highlight w:val="none"/>
        </w:rPr>
        <w:t>2.10无需通过色谱工作站即可远程编辑气相的方法和序列</w:t>
      </w:r>
    </w:p>
    <w:p>
      <w:pPr>
        <w:rPr>
          <w:highlight w:val="none"/>
        </w:rPr>
      </w:pPr>
      <w:r>
        <w:rPr>
          <w:rFonts w:hint="eastAsia" w:ascii="宋体" w:hAnsi="宋体" w:cs="宋体"/>
          <w:kern w:val="0"/>
          <w:szCs w:val="21"/>
          <w:highlight w:val="none"/>
        </w:rPr>
        <w:t>▲</w:t>
      </w:r>
      <w:r>
        <w:rPr>
          <w:rFonts w:hint="eastAsia"/>
          <w:highlight w:val="none"/>
        </w:rPr>
        <w:t>2.11在实验室网络可及的范围内任何地点可远程查看仪器状态并运行诊断</w:t>
      </w:r>
      <w:r>
        <w:rPr>
          <w:rFonts w:hint="eastAsia"/>
          <w:highlight w:val="none"/>
        </w:rPr>
        <w:br w:type="textWrapping"/>
      </w:r>
      <w:r>
        <w:rPr>
          <w:rFonts w:hint="eastAsia"/>
          <w:highlight w:val="none"/>
        </w:rPr>
        <w:t>3、电子气路控制</w:t>
      </w:r>
    </w:p>
    <w:p>
      <w:pPr>
        <w:rPr>
          <w:highlight w:val="none"/>
        </w:rPr>
      </w:pPr>
      <w:r>
        <w:rPr>
          <w:rFonts w:hint="eastAsia"/>
          <w:highlight w:val="none"/>
        </w:rPr>
        <w:t>3.1大气压力传感器补偿高度或环境的变化</w:t>
      </w:r>
    </w:p>
    <w:p>
      <w:pPr>
        <w:rPr>
          <w:highlight w:val="none"/>
        </w:rPr>
      </w:pPr>
      <w:r>
        <w:rPr>
          <w:rFonts w:hint="eastAsia"/>
          <w:highlight w:val="none"/>
        </w:rPr>
        <w:t xml:space="preserve">3.2压力设定值和控制精度:0.01psi </w:t>
      </w:r>
    </w:p>
    <w:p>
      <w:pPr>
        <w:rPr>
          <w:highlight w:val="none"/>
        </w:rPr>
      </w:pPr>
      <w:r>
        <w:rPr>
          <w:rFonts w:hint="eastAsia"/>
          <w:highlight w:val="none"/>
        </w:rPr>
        <w:t>4、进样口</w:t>
      </w:r>
      <w:r>
        <w:rPr>
          <w:rFonts w:hint="eastAsia"/>
          <w:highlight w:val="none"/>
        </w:rPr>
        <w:br w:type="textWrapping"/>
      </w:r>
      <w:r>
        <w:rPr>
          <w:rFonts w:hint="eastAsia"/>
          <w:highlight w:val="none"/>
        </w:rPr>
        <w:t>4.1最高使用温度:≥400</w:t>
      </w:r>
      <w:r>
        <w:rPr>
          <w:highlight w:val="none"/>
        </w:rPr>
        <w:t>˚</w:t>
      </w:r>
      <w:r>
        <w:rPr>
          <w:rFonts w:hint="eastAsia"/>
          <w:highlight w:val="none"/>
        </w:rPr>
        <w:t>C</w:t>
      </w:r>
    </w:p>
    <w:p>
      <w:pPr>
        <w:rPr>
          <w:highlight w:val="none"/>
        </w:rPr>
      </w:pPr>
      <w:r>
        <w:rPr>
          <w:rFonts w:hint="eastAsia" w:ascii="宋体" w:hAnsi="宋体" w:cs="宋体"/>
          <w:kern w:val="0"/>
          <w:szCs w:val="21"/>
          <w:highlight w:val="none"/>
        </w:rPr>
        <w:t>▲</w:t>
      </w:r>
      <w:r>
        <w:rPr>
          <w:rFonts w:hint="eastAsia"/>
          <w:highlight w:val="none"/>
        </w:rPr>
        <w:t>4.2压力设定范围:0-100psi,压力设定精度0.01psi（小数点后面第二位能输入并在仪器中运行中保持）</w:t>
      </w:r>
    </w:p>
    <w:p>
      <w:pPr>
        <w:rPr>
          <w:highlight w:val="none"/>
        </w:rPr>
      </w:pPr>
      <w:r>
        <w:rPr>
          <w:rFonts w:hint="eastAsia"/>
          <w:highlight w:val="none"/>
        </w:rPr>
        <w:t>4.3总流量设定范围:0-1250ml/min</w:t>
      </w:r>
    </w:p>
    <w:p>
      <w:pPr>
        <w:rPr>
          <w:highlight w:val="none"/>
        </w:rPr>
      </w:pPr>
      <w:r>
        <w:rPr>
          <w:rFonts w:hint="eastAsia"/>
          <w:highlight w:val="none"/>
        </w:rPr>
        <w:t>4.4电子气路控制,电子参数设定压力，流速、线速度和分流比</w:t>
      </w:r>
    </w:p>
    <w:p>
      <w:pPr>
        <w:rPr>
          <w:highlight w:val="none"/>
        </w:rPr>
      </w:pPr>
      <w:r>
        <w:rPr>
          <w:rFonts w:hint="eastAsia"/>
          <w:highlight w:val="none"/>
        </w:rPr>
        <w:t>5、检测器</w:t>
      </w:r>
    </w:p>
    <w:p>
      <w:pPr>
        <w:rPr>
          <w:highlight w:val="none"/>
        </w:rPr>
      </w:pPr>
      <w:r>
        <w:rPr>
          <w:rFonts w:hint="eastAsia"/>
          <w:highlight w:val="none"/>
        </w:rPr>
        <w:t>5</w:t>
      </w:r>
      <w:r>
        <w:rPr>
          <w:highlight w:val="none"/>
        </w:rPr>
        <w:t xml:space="preserve">.1电子捕获检测器 (ECD) </w:t>
      </w:r>
    </w:p>
    <w:p>
      <w:pPr>
        <w:rPr>
          <w:highlight w:val="none"/>
        </w:rPr>
      </w:pPr>
      <w:r>
        <w:rPr>
          <w:highlight w:val="none"/>
        </w:rPr>
        <w:t xml:space="preserve">5.1.1 最高操作温度 400 °C </w:t>
      </w:r>
    </w:p>
    <w:p>
      <w:pPr>
        <w:rPr>
          <w:highlight w:val="none"/>
        </w:rPr>
      </w:pPr>
      <w:r>
        <w:rPr>
          <w:highlight w:val="none"/>
        </w:rPr>
        <w:t xml:space="preserve">5.1.2 尾吹气类型为氩气/5% 甲烷或氮气 </w:t>
      </w:r>
    </w:p>
    <w:p>
      <w:pPr>
        <w:rPr>
          <w:highlight w:val="none"/>
        </w:rPr>
      </w:pPr>
      <w:r>
        <w:rPr>
          <w:highlight w:val="none"/>
        </w:rPr>
        <w:t xml:space="preserve">5.2.3 放射源 &lt; 15 mCi 63Ni </w:t>
      </w:r>
    </w:p>
    <w:p>
      <w:pPr>
        <w:rPr>
          <w:highlight w:val="none"/>
        </w:rPr>
      </w:pPr>
      <w:r>
        <w:rPr>
          <w:highlight w:val="none"/>
        </w:rPr>
        <w:t xml:space="preserve">5.2.4 MDL &lt; 9 fg/mL 林丹 </w:t>
      </w:r>
    </w:p>
    <w:p>
      <w:pPr>
        <w:rPr>
          <w:highlight w:val="none"/>
        </w:rPr>
      </w:pPr>
      <w:r>
        <w:rPr>
          <w:highlight w:val="none"/>
        </w:rPr>
        <w:t xml:space="preserve">5.2.5采用林丹时动态范围 &gt; 104 </w:t>
      </w:r>
    </w:p>
    <w:p>
      <w:pPr>
        <w:rPr>
          <w:highlight w:val="none"/>
        </w:rPr>
      </w:pPr>
      <w:r>
        <w:rPr>
          <w:highlight w:val="none"/>
        </w:rPr>
        <w:t xml:space="preserve">5.2.6最高数据采集速率 50Hz </w:t>
      </w:r>
    </w:p>
    <w:p>
      <w:pPr>
        <w:rPr>
          <w:highlight w:val="none"/>
        </w:rPr>
      </w:pPr>
      <w:r>
        <w:rPr>
          <w:highlight w:val="none"/>
        </w:rPr>
        <w:t>5.2.7配备隐藏式阳极和高流速，可防止污染</w:t>
      </w:r>
    </w:p>
    <w:p>
      <w:pPr>
        <w:rPr>
          <w:highlight w:val="none"/>
        </w:rPr>
      </w:pPr>
      <w:r>
        <w:rPr>
          <w:rFonts w:hint="eastAsia"/>
          <w:highlight w:val="none"/>
        </w:rPr>
        <w:t>5</w:t>
      </w:r>
      <w:r>
        <w:rPr>
          <w:highlight w:val="none"/>
        </w:rPr>
        <w:t xml:space="preserve">.2火焰离子化检测器 (FID) </w:t>
      </w:r>
    </w:p>
    <w:p>
      <w:pPr>
        <w:rPr>
          <w:highlight w:val="none"/>
        </w:rPr>
      </w:pPr>
      <w:r>
        <w:rPr>
          <w:highlight w:val="none"/>
        </w:rPr>
        <w:t xml:space="preserve">5.2.1 最高操作温度 425 °C  </w:t>
      </w:r>
    </w:p>
    <w:p>
      <w:pPr>
        <w:rPr>
          <w:highlight w:val="none"/>
        </w:rPr>
      </w:pPr>
      <w:r>
        <w:rPr>
          <w:rFonts w:hint="eastAsia" w:ascii="宋体" w:hAnsi="宋体" w:cs="宋体"/>
          <w:kern w:val="0"/>
          <w:szCs w:val="21"/>
          <w:highlight w:val="none"/>
        </w:rPr>
        <w:t>▲</w:t>
      </w:r>
      <w:r>
        <w:rPr>
          <w:highlight w:val="none"/>
        </w:rPr>
        <w:t xml:space="preserve">5.2.2 MDL &lt; 3 pg 碳/s，以十三烷计  </w:t>
      </w:r>
    </w:p>
    <w:p>
      <w:pPr>
        <w:rPr>
          <w:highlight w:val="none"/>
        </w:rPr>
      </w:pPr>
      <w:r>
        <w:rPr>
          <w:highlight w:val="none"/>
        </w:rPr>
        <w:t>5.2.3 线性动态范围 &gt; 10</w:t>
      </w:r>
      <w:r>
        <w:rPr>
          <w:highlight w:val="none"/>
          <w:vertAlign w:val="superscript"/>
        </w:rPr>
        <w:t>7</w:t>
      </w:r>
    </w:p>
    <w:p>
      <w:pPr>
        <w:rPr>
          <w:highlight w:val="none"/>
        </w:rPr>
      </w:pPr>
      <w:r>
        <w:rPr>
          <w:highlight w:val="none"/>
        </w:rPr>
        <w:t xml:space="preserve">5.2.4 采用 N2 载气和 0.29 mm 内径喷雾 </w:t>
      </w:r>
    </w:p>
    <w:p>
      <w:pPr>
        <w:rPr>
          <w:highlight w:val="none"/>
        </w:rPr>
      </w:pPr>
      <w:r>
        <w:rPr>
          <w:rFonts w:hint="eastAsia" w:ascii="宋体" w:hAnsi="宋体" w:cs="宋体"/>
          <w:kern w:val="0"/>
          <w:szCs w:val="21"/>
          <w:highlight w:val="none"/>
        </w:rPr>
        <w:t>▲</w:t>
      </w:r>
      <w:r>
        <w:rPr>
          <w:highlight w:val="none"/>
        </w:rPr>
        <w:t xml:space="preserve">5.2.5 最大数据采集速率 500 Hz </w:t>
      </w:r>
    </w:p>
    <w:p>
      <w:pPr>
        <w:rPr>
          <w:highlight w:val="none"/>
        </w:rPr>
      </w:pPr>
      <w:r>
        <w:rPr>
          <w:highlight w:val="none"/>
        </w:rPr>
        <w:t>5.2.6 全程数字数据路径能够在一次运行中对整个 107 浓度范围 内的峰进行定量分析</w:t>
      </w:r>
    </w:p>
    <w:p>
      <w:pPr>
        <w:rPr>
          <w:highlight w:val="none"/>
        </w:rPr>
      </w:pPr>
      <w:r>
        <w:rPr>
          <w:rFonts w:hint="eastAsia"/>
          <w:highlight w:val="none"/>
        </w:rPr>
        <w:t>6、进样系统</w:t>
      </w:r>
    </w:p>
    <w:p>
      <w:pPr>
        <w:rPr>
          <w:highlight w:val="none"/>
        </w:rPr>
      </w:pPr>
      <w:r>
        <w:rPr>
          <w:highlight w:val="none"/>
        </w:rPr>
        <w:t xml:space="preserve">   </w:t>
      </w:r>
      <w:r>
        <w:rPr>
          <w:rFonts w:hint="eastAsia"/>
          <w:highlight w:val="none"/>
        </w:rPr>
        <w:t>气体样品进样，通过阀切换的方式分析温室气体样品。</w:t>
      </w:r>
    </w:p>
    <w:p>
      <w:pPr>
        <w:rPr>
          <w:highlight w:val="none"/>
        </w:rPr>
      </w:pPr>
      <w:r>
        <w:rPr>
          <w:rFonts w:hint="eastAsia"/>
          <w:highlight w:val="none"/>
        </w:rPr>
        <w:t>7、色谱工作站</w:t>
      </w:r>
      <w:r>
        <w:rPr>
          <w:rFonts w:hint="eastAsia"/>
          <w:highlight w:val="none"/>
        </w:rPr>
        <w:br w:type="textWrapping"/>
      </w:r>
      <w:r>
        <w:rPr>
          <w:rFonts w:hint="eastAsia"/>
          <w:highlight w:val="none"/>
        </w:rPr>
        <w:t>7.1功能强大、多任务、多窗口、多用户的色谱数据处理软件</w:t>
      </w:r>
    </w:p>
    <w:p>
      <w:pPr>
        <w:rPr>
          <w:highlight w:val="none"/>
        </w:rPr>
      </w:pPr>
      <w:r>
        <w:rPr>
          <w:rFonts w:hint="eastAsia"/>
          <w:highlight w:val="none"/>
        </w:rPr>
        <w:t>7.2简单直观的图形环境界面，快捷进入不同数据处理功能</w:t>
      </w:r>
      <w:r>
        <w:rPr>
          <w:rFonts w:hint="eastAsia"/>
          <w:highlight w:val="none"/>
        </w:rPr>
        <w:br w:type="textWrapping"/>
      </w:r>
      <w:r>
        <w:rPr>
          <w:rFonts w:hint="eastAsia"/>
          <w:highlight w:val="none"/>
        </w:rPr>
        <w:t>7.3软件可控制气相色谱仪所有参数和运行，可实施编辑功能，自动进行序列样品分析；实时在线显示色谱图，积分并报告出分析结果，绘制标准曲线；具有在线帮助的自学操作教程；具有自诊断程序</w:t>
      </w:r>
      <w:r>
        <w:rPr>
          <w:rFonts w:hint="eastAsia"/>
          <w:highlight w:val="none"/>
        </w:rPr>
        <w:br w:type="textWrapping"/>
      </w:r>
      <w:r>
        <w:rPr>
          <w:rFonts w:hint="eastAsia" w:ascii="宋体" w:hAnsi="宋体" w:cs="宋体"/>
          <w:kern w:val="0"/>
          <w:szCs w:val="21"/>
          <w:highlight w:val="none"/>
        </w:rPr>
        <w:t>▲</w:t>
      </w:r>
      <w:r>
        <w:rPr>
          <w:rFonts w:hint="eastAsia"/>
          <w:highlight w:val="none"/>
        </w:rPr>
        <w:t>7.4具有保留时间锁定软件: 可进行同台仪器的不同检测器,不同柱长及多台仪器之间数据的比对和确认</w:t>
      </w:r>
    </w:p>
    <w:p>
      <w:pPr>
        <w:rPr>
          <w:highlight w:val="none"/>
        </w:rPr>
      </w:pPr>
      <w:r>
        <w:rPr>
          <w:rFonts w:hint="eastAsia"/>
          <w:highlight w:val="none"/>
        </w:rPr>
        <w:t>7.5仪器面板控制:仪器面板可控制所有参数的设定及控制仪器的运行</w:t>
      </w:r>
    </w:p>
    <w:p>
      <w:pPr>
        <w:rPr>
          <w:highlight w:val="none"/>
        </w:rPr>
      </w:pPr>
      <w:r>
        <w:rPr>
          <w:rFonts w:hint="eastAsia"/>
          <w:highlight w:val="none"/>
        </w:rPr>
        <w:t>7.6数据系统应能提供电子签名功能。密码或身份识别联用能唯一识别使用者和他们的签名</w:t>
      </w:r>
    </w:p>
    <w:p>
      <w:pPr>
        <w:rPr>
          <w:highlight w:val="none"/>
        </w:rPr>
      </w:pPr>
      <w:r>
        <w:rPr>
          <w:rFonts w:hint="eastAsia"/>
          <w:highlight w:val="none"/>
        </w:rPr>
        <w:t>7.7操作人登陆或产生、修改、删除电子数据的记录及其时间，电子系统都能以计算机化作审计追踪</w:t>
      </w:r>
    </w:p>
    <w:p>
      <w:pPr>
        <w:rPr>
          <w:highlight w:val="none"/>
        </w:rPr>
      </w:pPr>
      <w:r>
        <w:rPr>
          <w:rFonts w:hint="eastAsia"/>
          <w:highlight w:val="none"/>
        </w:rPr>
        <w:t>7.8审计人员必须具有在系统内对审计追踪信息审核和确认的功能</w:t>
      </w:r>
    </w:p>
    <w:p>
      <w:pPr>
        <w:rPr>
          <w:highlight w:val="none"/>
        </w:rPr>
      </w:pPr>
      <w:r>
        <w:rPr>
          <w:rFonts w:hint="eastAsia"/>
          <w:highlight w:val="none"/>
        </w:rPr>
        <w:t>7.9兼容性要求:数据系统有合适的接口能适用于LIMS、ERP、网络打印机用于数据管理、存档</w:t>
      </w:r>
    </w:p>
    <w:p>
      <w:pPr>
        <w:rPr>
          <w:highlight w:val="none"/>
        </w:rPr>
      </w:pPr>
      <w:r>
        <w:rPr>
          <w:rFonts w:hint="eastAsia" w:ascii="宋体" w:hAnsi="宋体" w:cs="宋体"/>
          <w:kern w:val="0"/>
          <w:szCs w:val="21"/>
          <w:highlight w:val="none"/>
        </w:rPr>
        <w:t>▲</w:t>
      </w:r>
      <w:r>
        <w:rPr>
          <w:rFonts w:hint="eastAsia"/>
          <w:highlight w:val="none"/>
        </w:rPr>
        <w:t>7.10应提供序列的出峰预览功能，应可以不打开谱图的情况下，查看序列的主峰和杂质峰出峰情况</w:t>
      </w:r>
    </w:p>
    <w:p>
      <w:pPr>
        <w:rPr>
          <w:highlight w:val="none"/>
        </w:rPr>
      </w:pPr>
      <w:r>
        <w:rPr>
          <w:rFonts w:hint="eastAsia" w:ascii="宋体" w:hAnsi="宋体" w:cs="宋体"/>
          <w:kern w:val="0"/>
          <w:szCs w:val="21"/>
          <w:highlight w:val="none"/>
        </w:rPr>
        <w:t>▲</w:t>
      </w:r>
      <w:r>
        <w:rPr>
          <w:rFonts w:hint="eastAsia"/>
          <w:highlight w:val="none"/>
        </w:rPr>
        <w:t>7.11积分应该包括手动和自动积分功能</w:t>
      </w:r>
    </w:p>
    <w:p>
      <w:pPr>
        <w:rPr>
          <w:highlight w:val="none"/>
        </w:rPr>
      </w:pPr>
      <w:r>
        <w:rPr>
          <w:rFonts w:hint="eastAsia"/>
          <w:highlight w:val="none"/>
        </w:rPr>
        <w:t>三、技术服务及耗材</w:t>
      </w:r>
      <w:r>
        <w:rPr>
          <w:highlight w:val="none"/>
        </w:rPr>
        <w:tab/>
      </w:r>
    </w:p>
    <w:p>
      <w:pPr>
        <w:rPr>
          <w:highlight w:val="none"/>
        </w:rPr>
      </w:pPr>
      <w:r>
        <w:rPr>
          <w:rFonts w:hint="eastAsia"/>
          <w:highlight w:val="none"/>
        </w:rPr>
        <w:t>3.1数据处理系统、电脑与打印机和耗材</w:t>
      </w:r>
    </w:p>
    <w:p>
      <w:pPr>
        <w:rPr>
          <w:highlight w:val="none"/>
        </w:rPr>
      </w:pPr>
      <w:r>
        <w:rPr>
          <w:rFonts w:hint="eastAsia"/>
          <w:highlight w:val="none"/>
        </w:rPr>
        <w:t>3.2提供所需相关原版工作站软件。软件可控制气相色谱仪所有参数和运行，可实施编辑功能，自动进行序列样品分析；实时在线显示色谱图，积分并报告出分析结果，绘制标准曲线；具有在线帮助的自学操作教程；具有自诊断程序；</w:t>
      </w:r>
    </w:p>
    <w:p>
      <w:pPr>
        <w:rPr>
          <w:highlight w:val="none"/>
        </w:rPr>
      </w:pPr>
      <w:r>
        <w:rPr>
          <w:rFonts w:hint="eastAsia"/>
          <w:highlight w:val="none"/>
        </w:rPr>
        <w:t>3.3仪器面板触摸屏控制:仪器面板触摸屏控制,可控制所有参数的设定及控制仪器的运行</w:t>
      </w:r>
    </w:p>
    <w:p>
      <w:pPr>
        <w:rPr>
          <w:highlight w:val="none"/>
        </w:rPr>
      </w:pPr>
      <w:r>
        <w:rPr>
          <w:rFonts w:hint="eastAsia"/>
          <w:highlight w:val="none"/>
        </w:rPr>
        <w:t>3.4支持中/英文工作站，一套软件即可安装成中文，亦可安装成英文。支持全中文的样品名、文件名、序列名等输入。须同时提供中文和英文工作站的界面截图</w:t>
      </w:r>
    </w:p>
    <w:p>
      <w:pPr>
        <w:rPr>
          <w:highlight w:val="none"/>
        </w:rPr>
      </w:pPr>
      <w:r>
        <w:rPr>
          <w:rFonts w:hint="eastAsia"/>
          <w:highlight w:val="none"/>
        </w:rPr>
        <w:t>3.5网络化控制(选配):可通过网络式CDS（数据管理系统）进行软件远程控制和人机分离模式操作。远程访问功能允许直接通过智能手机或平板电脑远程访问实验室GC主机</w:t>
      </w:r>
    </w:p>
    <w:p>
      <w:pPr>
        <w:rPr>
          <w:highlight w:val="none"/>
        </w:rPr>
      </w:pPr>
      <w:r>
        <w:rPr>
          <w:rFonts w:hint="eastAsia"/>
          <w:highlight w:val="none"/>
        </w:rPr>
        <w:t>3.6集成的早期维护计数器有助于完成计划性维护，还能有效避免不必要的停机</w:t>
      </w:r>
    </w:p>
    <w:p>
      <w:pPr>
        <w:rPr>
          <w:highlight w:val="none"/>
        </w:rPr>
      </w:pPr>
      <w:r>
        <w:rPr>
          <w:rFonts w:hint="eastAsia"/>
          <w:highlight w:val="none"/>
        </w:rPr>
        <w:t>时间；</w:t>
      </w:r>
    </w:p>
    <w:p>
      <w:pPr>
        <w:rPr>
          <w:highlight w:val="none"/>
        </w:rPr>
      </w:pPr>
      <w:r>
        <w:rPr>
          <w:rFonts w:hint="eastAsia"/>
          <w:highlight w:val="none"/>
        </w:rPr>
        <w:t>3.</w:t>
      </w:r>
      <w:r>
        <w:rPr>
          <w:highlight w:val="none"/>
        </w:rPr>
        <w:t>7</w:t>
      </w:r>
      <w:r>
        <w:rPr>
          <w:rFonts w:hint="eastAsia"/>
          <w:highlight w:val="none"/>
        </w:rPr>
        <w:t>电脑</w:t>
      </w:r>
      <w:r>
        <w:rPr>
          <w:highlight w:val="none"/>
        </w:rPr>
        <w:t xml:space="preserve">: </w:t>
      </w:r>
      <w:r>
        <w:rPr>
          <w:rFonts w:hint="eastAsia"/>
          <w:highlight w:val="none"/>
        </w:rPr>
        <w:t>品牌电脑一台（</w:t>
      </w:r>
      <w:r>
        <w:rPr>
          <w:highlight w:val="none"/>
        </w:rPr>
        <w:t>Intel P4</w:t>
      </w:r>
      <w:r>
        <w:rPr>
          <w:rFonts w:hint="eastAsia"/>
          <w:highlight w:val="none"/>
        </w:rPr>
        <w:t>双核、≥</w:t>
      </w:r>
      <w:r>
        <w:rPr>
          <w:highlight w:val="none"/>
        </w:rPr>
        <w:t>2.66G CPU</w:t>
      </w:r>
      <w:r>
        <w:rPr>
          <w:rFonts w:hint="eastAsia"/>
          <w:highlight w:val="none"/>
        </w:rPr>
        <w:t>，内存8</w:t>
      </w:r>
      <w:r>
        <w:rPr>
          <w:highlight w:val="none"/>
        </w:rPr>
        <w:t>GB</w:t>
      </w:r>
      <w:r>
        <w:rPr>
          <w:rFonts w:hint="eastAsia"/>
          <w:highlight w:val="none"/>
        </w:rPr>
        <w:t>，≥1T</w:t>
      </w:r>
      <w:r>
        <w:rPr>
          <w:highlight w:val="none"/>
        </w:rPr>
        <w:t>GB</w:t>
      </w:r>
      <w:r>
        <w:rPr>
          <w:rFonts w:hint="eastAsia"/>
          <w:highlight w:val="none"/>
        </w:rPr>
        <w:t>，可刻录</w:t>
      </w:r>
      <w:r>
        <w:rPr>
          <w:highlight w:val="none"/>
        </w:rPr>
        <w:t>DVD</w:t>
      </w:r>
      <w:r>
        <w:rPr>
          <w:rFonts w:hint="eastAsia"/>
          <w:highlight w:val="none"/>
        </w:rPr>
        <w:t xml:space="preserve">光驱，光电鼠标≥22″液晶显示器）； </w:t>
      </w:r>
    </w:p>
    <w:p>
      <w:pPr>
        <w:widowControl/>
        <w:jc w:val="left"/>
        <w:rPr>
          <w:rFonts w:hAnsi="宋体"/>
          <w:b/>
          <w:sz w:val="28"/>
          <w:szCs w:val="28"/>
          <w:highlight w:val="none"/>
        </w:rPr>
      </w:pPr>
    </w:p>
    <w:p>
      <w:pPr>
        <w:pStyle w:val="2"/>
        <w:ind w:firstLine="0"/>
        <w:rPr>
          <w:b/>
          <w:bCs/>
          <w:sz w:val="28"/>
          <w:szCs w:val="28"/>
          <w:highlight w:val="none"/>
        </w:rPr>
      </w:pPr>
      <w:r>
        <w:rPr>
          <w:rFonts w:hint="eastAsia"/>
          <w:b/>
          <w:bCs/>
          <w:sz w:val="28"/>
          <w:szCs w:val="28"/>
          <w:highlight w:val="none"/>
        </w:rPr>
        <w:t>注：报价时必须注明或说明品牌中具体投标品牌，否则投标无效。</w:t>
      </w:r>
    </w:p>
    <w:p>
      <w:pPr>
        <w:pStyle w:val="2"/>
        <w:ind w:firstLine="0"/>
        <w:rPr>
          <w:b/>
          <w:bCs/>
          <w:sz w:val="28"/>
          <w:szCs w:val="28"/>
          <w:highlight w:val="none"/>
        </w:rPr>
      </w:pPr>
      <w:r>
        <w:rPr>
          <w:rFonts w:hint="eastAsia"/>
          <w:b/>
          <w:bCs/>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tabs>
          <w:tab w:val="left" w:pos="900"/>
        </w:tabs>
        <w:spacing w:line="560" w:lineRule="exact"/>
        <w:ind w:firstLine="480" w:firstLineChars="200"/>
        <w:rPr>
          <w:rFonts w:ascii="宋体"/>
          <w:sz w:val="24"/>
          <w:highlight w:val="none"/>
        </w:rPr>
      </w:pPr>
    </w:p>
    <w:p>
      <w:pPr>
        <w:widowControl/>
        <w:jc w:val="left"/>
        <w:rPr>
          <w:rFonts w:hAnsi="宋体"/>
          <w:b/>
          <w:sz w:val="28"/>
          <w:szCs w:val="28"/>
          <w:highlight w:val="none"/>
        </w:rPr>
      </w:pPr>
      <w:r>
        <w:rPr>
          <w:rFonts w:hint="eastAsia" w:ascii="宋体"/>
          <w:b/>
          <w:bCs/>
          <w:highlight w:val="none"/>
        </w:rPr>
        <w:t>（本部分内容由南京信息工程大学环境科学与工程学院提供并负责）</w:t>
      </w:r>
      <w:r>
        <w:rPr>
          <w:rFonts w:hint="eastAsia" w:ascii="宋体"/>
          <w:b/>
          <w:bCs/>
          <w:highlight w:val="none"/>
        </w:rPr>
        <w:br w:type="page"/>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rPr>
          <w:sz w:val="28"/>
          <w:szCs w:val="36"/>
          <w:highlight w:val="none"/>
        </w:rPr>
      </w:pPr>
      <w:r>
        <w:rPr>
          <w:sz w:val="28"/>
          <w:szCs w:val="36"/>
          <w:highlight w:val="none"/>
        </w:rPr>
        <w:t>1</w:t>
      </w:r>
      <w:r>
        <w:rPr>
          <w:rFonts w:hint="eastAsia"/>
          <w:sz w:val="28"/>
          <w:szCs w:val="36"/>
          <w:highlight w:val="none"/>
        </w:rPr>
        <w:t>，仪器在安装校准调试过程中对我方</w:t>
      </w:r>
      <w:r>
        <w:rPr>
          <w:sz w:val="28"/>
          <w:szCs w:val="36"/>
          <w:highlight w:val="none"/>
        </w:rPr>
        <w:t>6</w:t>
      </w:r>
      <w:r>
        <w:rPr>
          <w:rFonts w:hint="eastAsia"/>
          <w:sz w:val="28"/>
          <w:szCs w:val="36"/>
          <w:highlight w:val="none"/>
        </w:rPr>
        <w:t>名工作人员进行现场培训；仪器验收合格后，对实验室1位工作人员进行国内用户高级培训，并协助我方开发应用程序，此培训时间不少于</w:t>
      </w:r>
      <w:r>
        <w:rPr>
          <w:sz w:val="28"/>
          <w:szCs w:val="36"/>
          <w:highlight w:val="none"/>
        </w:rPr>
        <w:t>40</w:t>
      </w:r>
      <w:r>
        <w:rPr>
          <w:rFonts w:hint="eastAsia"/>
          <w:sz w:val="28"/>
          <w:szCs w:val="36"/>
          <w:highlight w:val="none"/>
        </w:rPr>
        <w:t>小时；</w:t>
      </w:r>
    </w:p>
    <w:p>
      <w:pPr>
        <w:rPr>
          <w:sz w:val="28"/>
          <w:szCs w:val="36"/>
          <w:highlight w:val="none"/>
        </w:rPr>
      </w:pPr>
      <w:r>
        <w:rPr>
          <w:sz w:val="28"/>
          <w:szCs w:val="36"/>
          <w:highlight w:val="none"/>
        </w:rPr>
        <w:t>2</w:t>
      </w:r>
      <w:r>
        <w:rPr>
          <w:rFonts w:hint="eastAsia"/>
          <w:sz w:val="28"/>
          <w:szCs w:val="36"/>
          <w:highlight w:val="none"/>
        </w:rPr>
        <w:t>，自仪器验收合格签字日起算，在仪器正常使用第三个月，对我方实验室人员进行一次提高性质的培训，时间不少于</w:t>
      </w:r>
      <w:r>
        <w:rPr>
          <w:sz w:val="28"/>
          <w:szCs w:val="36"/>
          <w:highlight w:val="none"/>
        </w:rPr>
        <w:t>20</w:t>
      </w:r>
      <w:r>
        <w:rPr>
          <w:rFonts w:hint="eastAsia"/>
          <w:sz w:val="28"/>
          <w:szCs w:val="36"/>
          <w:highlight w:val="none"/>
        </w:rPr>
        <w:t>小时；</w:t>
      </w:r>
    </w:p>
    <w:p>
      <w:pPr>
        <w:rPr>
          <w:sz w:val="28"/>
          <w:szCs w:val="36"/>
          <w:highlight w:val="none"/>
        </w:rPr>
      </w:pPr>
      <w:r>
        <w:rPr>
          <w:sz w:val="28"/>
          <w:szCs w:val="36"/>
          <w:highlight w:val="none"/>
        </w:rPr>
        <w:t>3</w:t>
      </w:r>
      <w:r>
        <w:rPr>
          <w:rFonts w:hint="eastAsia"/>
          <w:sz w:val="28"/>
          <w:szCs w:val="36"/>
          <w:highlight w:val="none"/>
        </w:rPr>
        <w:t>，在仪器保修期的最后</w:t>
      </w:r>
      <w:r>
        <w:rPr>
          <w:sz w:val="28"/>
          <w:szCs w:val="36"/>
          <w:highlight w:val="none"/>
        </w:rPr>
        <w:t>10</w:t>
      </w:r>
      <w:r>
        <w:rPr>
          <w:rFonts w:hint="eastAsia"/>
          <w:sz w:val="28"/>
          <w:szCs w:val="36"/>
          <w:highlight w:val="none"/>
        </w:rPr>
        <w:t>个工作日中，对仪器进行一次全面的检测和维护；</w:t>
      </w:r>
    </w:p>
    <w:p>
      <w:pPr>
        <w:rPr>
          <w:sz w:val="28"/>
          <w:szCs w:val="36"/>
          <w:highlight w:val="none"/>
        </w:rPr>
      </w:pPr>
      <w:r>
        <w:rPr>
          <w:sz w:val="28"/>
          <w:szCs w:val="36"/>
          <w:highlight w:val="none"/>
        </w:rPr>
        <w:t>4</w:t>
      </w:r>
      <w:r>
        <w:rPr>
          <w:rFonts w:hint="eastAsia"/>
          <w:sz w:val="28"/>
          <w:szCs w:val="36"/>
          <w:highlight w:val="none"/>
        </w:rPr>
        <w:t>，免费原厂保修壹年,保修期自仪器验收合格签字日起算；</w:t>
      </w:r>
    </w:p>
    <w:p>
      <w:pPr>
        <w:rPr>
          <w:sz w:val="28"/>
          <w:szCs w:val="36"/>
          <w:highlight w:val="none"/>
        </w:rPr>
      </w:pPr>
      <w:r>
        <w:rPr>
          <w:rFonts w:hint="eastAsia"/>
          <w:sz w:val="28"/>
          <w:szCs w:val="36"/>
          <w:highlight w:val="none"/>
        </w:rPr>
        <w:t>5，供应商送货至用户指定地点及楼层。</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8"/>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tcPr>
          <w:p>
            <w:pPr>
              <w:rPr>
                <w:highlight w:val="none"/>
              </w:rPr>
            </w:pPr>
            <w:r>
              <w:rPr>
                <w:rFonts w:hint="eastAsia" w:ascii="宋体" w:hAnsi="宋体" w:cs="宋体"/>
                <w:kern w:val="0"/>
                <w:szCs w:val="21"/>
                <w:highlight w:val="none"/>
              </w:rPr>
              <w:t>设备技术参数全部满足招标要求的得满分；打▲项为重要指标项，有一项负偏离扣5分，扣完为止。非打▲号指标，有一项负偏离扣3分，扣完为止。</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各投标供应商均应如实填写偏离情况，其中▲项重要指标，投标单位</w:t>
            </w:r>
            <w:r>
              <w:rPr>
                <w:rFonts w:hint="eastAsia"/>
                <w:highlight w:val="none"/>
              </w:rPr>
              <w:t>需提供产品使用</w:t>
            </w:r>
            <w:r>
              <w:rPr>
                <w:highlight w:val="none"/>
              </w:rPr>
              <w:t>手册</w:t>
            </w:r>
            <w:r>
              <w:rPr>
                <w:rFonts w:hint="eastAsia"/>
                <w:highlight w:val="none"/>
              </w:rPr>
              <w:t>、彩页、阀图、技术设计方案等证明材料，不提供视作负偏离，进行扣分。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3.1</w:t>
            </w:r>
          </w:p>
          <w:p>
            <w:pPr>
              <w:spacing w:line="360" w:lineRule="exact"/>
              <w:jc w:val="center"/>
              <w:rPr>
                <w:rFonts w:ascii="宋体" w:hAnsi="宋体" w:cs="宋体"/>
                <w:kern w:val="0"/>
                <w:szCs w:val="21"/>
                <w:highlight w:val="none"/>
              </w:rPr>
            </w:pP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w:t>
            </w:r>
            <w:r>
              <w:rPr>
                <w:rFonts w:ascii="宋体" w:hAnsi="宋体" w:cs="宋体"/>
                <w:szCs w:val="21"/>
                <w:highlight w:val="none"/>
              </w:rPr>
              <w:t>2</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售后服务方案</w:t>
            </w:r>
          </w:p>
          <w:p>
            <w:pPr>
              <w:spacing w:line="360" w:lineRule="exact"/>
              <w:jc w:val="center"/>
              <w:rPr>
                <w:rFonts w:ascii="宋体" w:hAnsi="宋体" w:cs="宋体"/>
                <w:kern w:val="0"/>
                <w:szCs w:val="21"/>
                <w:highlight w:val="none"/>
              </w:rPr>
            </w:pP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w:t>
            </w:r>
            <w:r>
              <w:rPr>
                <w:rFonts w:ascii="宋体" w:hAnsi="宋体" w:cs="宋体"/>
                <w:szCs w:val="21"/>
                <w:highlight w:val="none"/>
              </w:rPr>
              <w:t>3</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highlight w:val="none"/>
              </w:rPr>
            </w:pPr>
          </w:p>
          <w:p>
            <w:pPr>
              <w:kinsoku w:val="0"/>
              <w:overflowPunct w:val="0"/>
              <w:spacing w:after="120" w:line="360" w:lineRule="exact"/>
              <w:ind w:left="213"/>
              <w:rPr>
                <w:rFonts w:ascii="宋体" w:hAnsi="宋体" w:cs="宋体"/>
                <w:szCs w:val="21"/>
                <w:highlight w:val="none"/>
              </w:rPr>
            </w:pPr>
            <w:r>
              <w:rPr>
                <w:rFonts w:hint="eastAsia" w:ascii="宋体" w:hAnsi="宋体" w:cs="宋体"/>
                <w:szCs w:val="21"/>
                <w:highlight w:val="none"/>
              </w:rPr>
              <w:t>4.1</w:t>
            </w:r>
          </w:p>
        </w:tc>
        <w:tc>
          <w:tcPr>
            <w:tcW w:w="1276" w:type="dxa"/>
          </w:tcPr>
          <w:p>
            <w:pPr>
              <w:kinsoku w:val="0"/>
              <w:overflowPunct w:val="0"/>
              <w:spacing w:after="120" w:line="360" w:lineRule="exact"/>
              <w:ind w:left="155" w:right="155"/>
              <w:jc w:val="center"/>
              <w:rPr>
                <w:rFonts w:ascii="宋体" w:hAnsi="宋体" w:cs="宋体"/>
                <w:szCs w:val="21"/>
                <w:highlight w:val="none"/>
              </w:rPr>
            </w:pPr>
          </w:p>
          <w:p>
            <w:pPr>
              <w:kinsoku w:val="0"/>
              <w:overflowPunct w:val="0"/>
              <w:spacing w:after="120"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依据投标人自201</w:t>
            </w:r>
            <w:r>
              <w:rPr>
                <w:rFonts w:ascii="宋体" w:hAnsi="宋体" w:cs="宋体"/>
                <w:szCs w:val="21"/>
                <w:highlight w:val="none"/>
              </w:rPr>
              <w:t>9</w:t>
            </w:r>
            <w:r>
              <w:rPr>
                <w:rFonts w:hint="eastAsia" w:ascii="宋体" w:hAnsi="宋体" w:cs="宋体"/>
                <w:szCs w:val="21"/>
                <w:highlight w:val="none"/>
              </w:rPr>
              <w:t>年</w:t>
            </w:r>
            <w:r>
              <w:rPr>
                <w:rFonts w:ascii="宋体" w:hAnsi="宋体" w:cs="宋体"/>
                <w:szCs w:val="21"/>
                <w:highlight w:val="none"/>
              </w:rPr>
              <w:t>1</w:t>
            </w:r>
            <w:r>
              <w:rPr>
                <w:rFonts w:hint="eastAsia" w:ascii="宋体" w:hAnsi="宋体" w:cs="宋体"/>
                <w:szCs w:val="21"/>
                <w:highlight w:val="none"/>
              </w:rPr>
              <w:t>月1日以来完成过同类项目案例，每提供一个得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分。须提供有效的合同（时间以合同签订日期为准）。（复印件加盖公章，原件备查）。</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szCs w:val="21"/>
                <w:highlight w:val="none"/>
              </w:rPr>
            </w:pPr>
          </w:p>
          <w:p>
            <w:pPr>
              <w:kinsoku w:val="0"/>
              <w:overflowPunct w:val="0"/>
              <w:spacing w:after="120" w:line="360" w:lineRule="exact"/>
              <w:ind w:left="213"/>
              <w:jc w:val="center"/>
              <w:rPr>
                <w:rFonts w:ascii="宋体" w:hAnsi="宋体" w:cs="宋体"/>
                <w:szCs w:val="21"/>
                <w:highlight w:val="none"/>
              </w:rPr>
            </w:pPr>
            <w:r>
              <w:rPr>
                <w:rFonts w:hint="eastAsia" w:ascii="宋体" w:hAnsi="宋体" w:cs="宋体"/>
                <w:szCs w:val="21"/>
                <w:highlight w:val="none"/>
              </w:rPr>
              <w:t>5.1</w:t>
            </w:r>
          </w:p>
          <w:p>
            <w:pPr>
              <w:spacing w:line="360" w:lineRule="exact"/>
              <w:jc w:val="center"/>
              <w:rPr>
                <w:rFonts w:ascii="宋体" w:hAnsi="宋体" w:cs="宋体"/>
                <w:kern w:val="0"/>
                <w:szCs w:val="21"/>
                <w:highlight w:val="none"/>
              </w:rPr>
            </w:pP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质量安全体系认证</w:t>
            </w:r>
          </w:p>
          <w:p>
            <w:pPr>
              <w:spacing w:line="360" w:lineRule="exact"/>
              <w:jc w:val="center"/>
              <w:rPr>
                <w:rFonts w:ascii="宋体" w:hAnsi="宋体" w:cs="宋体"/>
                <w:kern w:val="0"/>
                <w:szCs w:val="21"/>
                <w:highlight w:val="none"/>
              </w:rPr>
            </w:pP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投标人具有有效期内的ISO9001质量体系认证，每提供1个得</w:t>
            </w:r>
            <w:r>
              <w:rPr>
                <w:rFonts w:ascii="宋体" w:hAnsi="宋体" w:cs="宋体"/>
                <w:szCs w:val="21"/>
                <w:highlight w:val="none"/>
              </w:rPr>
              <w:t>3</w:t>
            </w:r>
            <w:r>
              <w:rPr>
                <w:rFonts w:hint="eastAsia" w:ascii="宋体" w:hAnsi="宋体" w:cs="宋体"/>
                <w:szCs w:val="21"/>
                <w:highlight w:val="none"/>
              </w:rPr>
              <w:t>分，没有不得分，最多得3分。（复印件加盖单位公章）</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6.1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p>
    <w:p>
      <w:pPr>
        <w:spacing w:line="360" w:lineRule="auto"/>
        <w:rPr>
          <w:b/>
          <w:sz w:val="28"/>
          <w:szCs w:val="28"/>
          <w:highlight w:val="none"/>
        </w:rPr>
      </w:pPr>
      <w:r>
        <w:rPr>
          <w:rFonts w:hint="eastAsia" w:ascii="宋体"/>
          <w:b/>
          <w:bCs/>
          <w:highlight w:val="none"/>
        </w:rPr>
        <w:t>（本部分内容由南京信息工程大学环境科学与工程学院提供并负责）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8"/>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合同金额包括但不限于设备费、服务费、代理费、运输费、上下力费、检测费、安装费、调试费、培训费、技术资料费、安装辅材、合理利润、国家相关税费（含关税）及其他所有费用，乙方不得另行提出其他费用要求。</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元作为本合同的履约保证金。项目最终验收合格后返还50%履约保证金转为质量保证金。质保期届满，无质量问题且乙方履行完成所有合同义务后剩余的质保金一次性无息付清。</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w:t>
      </w:r>
      <w:r>
        <w:rPr>
          <w:rFonts w:hAnsi="宋体"/>
          <w:sz w:val="24"/>
          <w:szCs w:val="24"/>
          <w:highlight w:val="none"/>
        </w:rPr>
        <w:t>转包</w:t>
      </w:r>
      <w:r>
        <w:rPr>
          <w:rFonts w:hint="eastAsia" w:hAnsi="宋体"/>
          <w:sz w:val="24"/>
          <w:szCs w:val="24"/>
          <w:highlight w:val="none"/>
        </w:rPr>
        <w:t>行为，甲方有权给予终止合同。乙方</w:t>
      </w:r>
      <w:r>
        <w:rPr>
          <w:rFonts w:hAnsi="宋体"/>
          <w:sz w:val="24"/>
          <w:szCs w:val="24"/>
          <w:highlight w:val="none"/>
        </w:rPr>
        <w:t>应向甲方支付合同总价</w:t>
      </w:r>
      <w:r>
        <w:rPr>
          <w:rFonts w:hint="eastAsia" w:hAnsi="宋体"/>
          <w:sz w:val="24"/>
          <w:szCs w:val="24"/>
          <w:highlight w:val="none"/>
        </w:rPr>
        <w:t>30</w:t>
      </w:r>
      <w:r>
        <w:rPr>
          <w:rFonts w:hAnsi="宋体"/>
          <w:sz w:val="24"/>
          <w:szCs w:val="24"/>
          <w:highlight w:val="none"/>
        </w:rPr>
        <w:t>%违约金。造成</w:t>
      </w:r>
      <w:r>
        <w:rPr>
          <w:rFonts w:hint="eastAsia" w:hAnsi="宋体"/>
          <w:sz w:val="24"/>
          <w:szCs w:val="24"/>
          <w:highlight w:val="none"/>
        </w:rPr>
        <w:t>甲方</w:t>
      </w:r>
      <w:r>
        <w:rPr>
          <w:rFonts w:hAnsi="宋体"/>
          <w:sz w:val="24"/>
          <w:szCs w:val="24"/>
          <w:highlight w:val="none"/>
        </w:rPr>
        <w:t>损失的，乙方还应</w:t>
      </w:r>
      <w:r>
        <w:rPr>
          <w:rFonts w:hint="eastAsia" w:hAnsi="宋体"/>
          <w:sz w:val="24"/>
          <w:szCs w:val="24"/>
          <w:highlight w:val="none"/>
        </w:rPr>
        <w:t>承担</w:t>
      </w:r>
      <w:r>
        <w:rPr>
          <w:rFonts w:hAnsi="宋体"/>
          <w:sz w:val="24"/>
          <w:szCs w:val="24"/>
          <w:highlight w:val="none"/>
        </w:rPr>
        <w:t>赔偿责任。</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提供整机</w:t>
      </w:r>
      <w:r>
        <w:rPr>
          <w:rFonts w:hAnsi="宋体"/>
          <w:sz w:val="24"/>
          <w:szCs w:val="24"/>
          <w:highlight w:val="none"/>
        </w:rPr>
        <w:t>1</w:t>
      </w:r>
      <w:r>
        <w:rPr>
          <w:rFonts w:hint="eastAsia" w:hAnsi="宋体"/>
          <w:sz w:val="24"/>
          <w:szCs w:val="24"/>
          <w:highlight w:val="none"/>
        </w:rPr>
        <w:t>年免费质保期，台式电脑质保</w:t>
      </w:r>
      <w:r>
        <w:rPr>
          <w:rFonts w:hAnsi="宋体"/>
          <w:sz w:val="24"/>
          <w:szCs w:val="24"/>
          <w:highlight w:val="none"/>
        </w:rPr>
        <w:t>3</w:t>
      </w:r>
      <w:r>
        <w:rPr>
          <w:rFonts w:hint="eastAsia" w:hAnsi="宋体"/>
          <w:sz w:val="24"/>
          <w:szCs w:val="24"/>
          <w:highlight w:val="none"/>
        </w:rPr>
        <w:t>年。</w:t>
      </w:r>
      <w:r>
        <w:rPr>
          <w:rFonts w:hAnsi="宋体"/>
          <w:sz w:val="24"/>
          <w:szCs w:val="24"/>
          <w:highlight w:val="none"/>
        </w:rPr>
        <w:t>质保期</w:t>
      </w:r>
      <w:r>
        <w:rPr>
          <w:rFonts w:hint="eastAsia" w:hAnsi="宋体"/>
          <w:sz w:val="24"/>
          <w:szCs w:val="24"/>
          <w:highlight w:val="none"/>
        </w:rPr>
        <w:t>内</w:t>
      </w:r>
      <w:r>
        <w:rPr>
          <w:rFonts w:hAnsi="宋体"/>
          <w:sz w:val="24"/>
          <w:szCs w:val="24"/>
          <w:highlight w:val="none"/>
        </w:rPr>
        <w:t>更换的设备及零部件的质保期自更换之日起重新计算。</w:t>
      </w:r>
      <w:r>
        <w:rPr>
          <w:rFonts w:hint="eastAsia" w:hAnsi="宋体"/>
          <w:sz w:val="24"/>
          <w:szCs w:val="24"/>
          <w:highlight w:val="none"/>
        </w:rPr>
        <w:t>（自交货验收合格之日起计）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w:t>
      </w:r>
      <w:r>
        <w:rPr>
          <w:rFonts w:hint="eastAsia" w:hAnsi="宋体"/>
          <w:sz w:val="24"/>
          <w:szCs w:val="24"/>
          <w:highlight w:val="none"/>
          <w:u w:val="single"/>
        </w:rPr>
        <w:t>中标后90天内</w:t>
      </w:r>
      <w:r>
        <w:rPr>
          <w:rFonts w:hAnsi="宋体"/>
          <w:sz w:val="24"/>
          <w:szCs w:val="24"/>
          <w:highlight w:val="none"/>
        </w:rPr>
        <w:t>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w:t>
      </w:r>
      <w:r>
        <w:rPr>
          <w:rFonts w:hAnsi="宋体"/>
          <w:sz w:val="24"/>
          <w:szCs w:val="24"/>
          <w:highlight w:val="none"/>
          <w:u w:val="single"/>
        </w:rPr>
        <w:t xml:space="preserve"> </w:t>
      </w:r>
      <w:r>
        <w:rPr>
          <w:rFonts w:hint="eastAsia" w:hAnsi="宋体"/>
          <w:sz w:val="24"/>
          <w:szCs w:val="24"/>
          <w:highlight w:val="none"/>
          <w:u w:val="single"/>
        </w:rPr>
        <w:t>送货</w:t>
      </w:r>
      <w:r>
        <w:rPr>
          <w:rFonts w:hAnsi="宋体"/>
          <w:sz w:val="24"/>
          <w:szCs w:val="24"/>
          <w:highlight w:val="none"/>
          <w:u w:val="single"/>
        </w:rPr>
        <w:t xml:space="preserve">上门_ </w:t>
      </w:r>
      <w:r>
        <w:rPr>
          <w:rFonts w:hAnsi="宋体"/>
          <w:sz w:val="24"/>
          <w:szCs w:val="24"/>
          <w:highlight w:val="none"/>
        </w:rPr>
        <w:t>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付款方式：针对国内供应货物，签订合同后，20日内预付合同金额的30%，全部货物交货并最终验收合格后，凭验收凭证和货物验收合格等文件20内支付至合同金额的100%，质量保证金质保期满后，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bookmarkEnd w:id="11"/>
    <w:sectPr>
      <w:headerReference r:id="rId5" w:type="default"/>
      <w:footerReference r:id="rId6" w:type="default"/>
      <w:pgSz w:w="11906" w:h="16838"/>
      <w:pgMar w:top="1191" w:right="850" w:bottom="1191" w:left="85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rah" w:date="2022-02-17T21:49:00Z" w:initials="S">
    <w:p w14:paraId="4BE94B5D">
      <w:pPr>
        <w:pStyle w:val="5"/>
      </w:pPr>
      <w:r>
        <w:rPr>
          <w:rFonts w:hint="eastAsia"/>
        </w:rPr>
        <w:t>是否</w:t>
      </w:r>
      <w:r>
        <w:t>时间太久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E94B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2</w:t>
    </w:r>
    <w:r>
      <w:rPr>
        <w:rFonts w:hint="eastAsia" w:ascii="宋体" w:hAnsi="宋体" w:cs="宋体"/>
        <w:b/>
        <w:bCs/>
        <w:kern w:val="0"/>
        <w:sz w:val="15"/>
        <w:szCs w:val="15"/>
      </w:rPr>
      <w:t>年招标文件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rah">
    <w15:presenceInfo w15:providerId="None" w15:userId="Sar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A6D60"/>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1F7E3E"/>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87C30"/>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A7677"/>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92"/>
    <w:rsid w:val="00311CFE"/>
    <w:rsid w:val="00312896"/>
    <w:rsid w:val="00312CD2"/>
    <w:rsid w:val="00313155"/>
    <w:rsid w:val="003147BD"/>
    <w:rsid w:val="003163EE"/>
    <w:rsid w:val="00316AC1"/>
    <w:rsid w:val="00316C54"/>
    <w:rsid w:val="0031790B"/>
    <w:rsid w:val="0032353A"/>
    <w:rsid w:val="00323939"/>
    <w:rsid w:val="00324588"/>
    <w:rsid w:val="00325728"/>
    <w:rsid w:val="00326B86"/>
    <w:rsid w:val="00327C2C"/>
    <w:rsid w:val="00330268"/>
    <w:rsid w:val="00331A66"/>
    <w:rsid w:val="00331B2F"/>
    <w:rsid w:val="00334E11"/>
    <w:rsid w:val="0033568A"/>
    <w:rsid w:val="00335D4D"/>
    <w:rsid w:val="0033689B"/>
    <w:rsid w:val="0034145F"/>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4CA7"/>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41E"/>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1F"/>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1FA9"/>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1E05"/>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B6C22"/>
    <w:rsid w:val="005C241F"/>
    <w:rsid w:val="005C3B35"/>
    <w:rsid w:val="005C56AC"/>
    <w:rsid w:val="005C690D"/>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19CB"/>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2E2"/>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520"/>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2F1"/>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868F3"/>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2398"/>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640"/>
    <w:rsid w:val="00BF1B0B"/>
    <w:rsid w:val="00BF35F6"/>
    <w:rsid w:val="00BF5E90"/>
    <w:rsid w:val="00BF6FE2"/>
    <w:rsid w:val="00BF7470"/>
    <w:rsid w:val="00BF7C3D"/>
    <w:rsid w:val="00C006F0"/>
    <w:rsid w:val="00C015AA"/>
    <w:rsid w:val="00C04E41"/>
    <w:rsid w:val="00C062D0"/>
    <w:rsid w:val="00C11731"/>
    <w:rsid w:val="00C1294A"/>
    <w:rsid w:val="00C16B79"/>
    <w:rsid w:val="00C16E05"/>
    <w:rsid w:val="00C17D57"/>
    <w:rsid w:val="00C214AD"/>
    <w:rsid w:val="00C21BD8"/>
    <w:rsid w:val="00C24629"/>
    <w:rsid w:val="00C31819"/>
    <w:rsid w:val="00C31A61"/>
    <w:rsid w:val="00C32017"/>
    <w:rsid w:val="00C3206E"/>
    <w:rsid w:val="00C331F4"/>
    <w:rsid w:val="00C33BE7"/>
    <w:rsid w:val="00C35694"/>
    <w:rsid w:val="00C41CF2"/>
    <w:rsid w:val="00C433ED"/>
    <w:rsid w:val="00C44819"/>
    <w:rsid w:val="00C44E07"/>
    <w:rsid w:val="00C452A5"/>
    <w:rsid w:val="00C45B94"/>
    <w:rsid w:val="00C45BF6"/>
    <w:rsid w:val="00C45F59"/>
    <w:rsid w:val="00C4680A"/>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68C9"/>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5CBB"/>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1D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7F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832"/>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24F0"/>
    <w:rsid w:val="00F7340B"/>
    <w:rsid w:val="00F745D4"/>
    <w:rsid w:val="00F74814"/>
    <w:rsid w:val="00F74AFD"/>
    <w:rsid w:val="00F76B94"/>
    <w:rsid w:val="00F80C33"/>
    <w:rsid w:val="00F81941"/>
    <w:rsid w:val="00F8226F"/>
    <w:rsid w:val="00F87799"/>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57C"/>
    <w:rsid w:val="00FF1DAB"/>
    <w:rsid w:val="00FF394A"/>
    <w:rsid w:val="00FF3DF8"/>
    <w:rsid w:val="01CE7A1A"/>
    <w:rsid w:val="01D45E31"/>
    <w:rsid w:val="036159EE"/>
    <w:rsid w:val="04620439"/>
    <w:rsid w:val="051D6A91"/>
    <w:rsid w:val="05B517B2"/>
    <w:rsid w:val="06430CCF"/>
    <w:rsid w:val="0666393D"/>
    <w:rsid w:val="078D73D6"/>
    <w:rsid w:val="07D33D16"/>
    <w:rsid w:val="09637941"/>
    <w:rsid w:val="0AEE2A27"/>
    <w:rsid w:val="0B675B31"/>
    <w:rsid w:val="0BDF51D7"/>
    <w:rsid w:val="0C27772B"/>
    <w:rsid w:val="0C3615C8"/>
    <w:rsid w:val="0C4861BD"/>
    <w:rsid w:val="0C7E7AA1"/>
    <w:rsid w:val="0CC01CB5"/>
    <w:rsid w:val="0CFE3A2E"/>
    <w:rsid w:val="0D873213"/>
    <w:rsid w:val="0D9425DE"/>
    <w:rsid w:val="0D99361C"/>
    <w:rsid w:val="107D340A"/>
    <w:rsid w:val="10EB4170"/>
    <w:rsid w:val="10F05838"/>
    <w:rsid w:val="113C24CA"/>
    <w:rsid w:val="119D0D41"/>
    <w:rsid w:val="119F3673"/>
    <w:rsid w:val="11D57EAE"/>
    <w:rsid w:val="12162C3B"/>
    <w:rsid w:val="12542618"/>
    <w:rsid w:val="128A49C4"/>
    <w:rsid w:val="130F1D58"/>
    <w:rsid w:val="1451202B"/>
    <w:rsid w:val="145263CB"/>
    <w:rsid w:val="146723C1"/>
    <w:rsid w:val="14896182"/>
    <w:rsid w:val="149F13F6"/>
    <w:rsid w:val="155010AB"/>
    <w:rsid w:val="15572C10"/>
    <w:rsid w:val="15737A45"/>
    <w:rsid w:val="1584594C"/>
    <w:rsid w:val="15907301"/>
    <w:rsid w:val="15A069B5"/>
    <w:rsid w:val="15A90346"/>
    <w:rsid w:val="15B24E31"/>
    <w:rsid w:val="16014778"/>
    <w:rsid w:val="16603A96"/>
    <w:rsid w:val="16AA09BD"/>
    <w:rsid w:val="17652C65"/>
    <w:rsid w:val="17833DE3"/>
    <w:rsid w:val="17F72660"/>
    <w:rsid w:val="19775424"/>
    <w:rsid w:val="1A241EC0"/>
    <w:rsid w:val="1AE96A89"/>
    <w:rsid w:val="1C121D57"/>
    <w:rsid w:val="1C4A137C"/>
    <w:rsid w:val="1C8F1DE9"/>
    <w:rsid w:val="1DA871CA"/>
    <w:rsid w:val="1F11313D"/>
    <w:rsid w:val="1F956998"/>
    <w:rsid w:val="1FA31BDA"/>
    <w:rsid w:val="20DC5C02"/>
    <w:rsid w:val="20DE7ECC"/>
    <w:rsid w:val="20FE711F"/>
    <w:rsid w:val="21241474"/>
    <w:rsid w:val="21A70E96"/>
    <w:rsid w:val="225E4DAF"/>
    <w:rsid w:val="22891E2D"/>
    <w:rsid w:val="22A743B8"/>
    <w:rsid w:val="22D33607"/>
    <w:rsid w:val="23FD2509"/>
    <w:rsid w:val="243943F8"/>
    <w:rsid w:val="24E05430"/>
    <w:rsid w:val="267A7579"/>
    <w:rsid w:val="272231F7"/>
    <w:rsid w:val="27802F17"/>
    <w:rsid w:val="27961F1E"/>
    <w:rsid w:val="27AD7C03"/>
    <w:rsid w:val="280751E1"/>
    <w:rsid w:val="286536CA"/>
    <w:rsid w:val="28C46277"/>
    <w:rsid w:val="29062B05"/>
    <w:rsid w:val="29127A38"/>
    <w:rsid w:val="2AAA7342"/>
    <w:rsid w:val="2AB43BC5"/>
    <w:rsid w:val="2B556F15"/>
    <w:rsid w:val="2B5F6C57"/>
    <w:rsid w:val="2B7F4BC3"/>
    <w:rsid w:val="2CE81BAF"/>
    <w:rsid w:val="2DAC05D8"/>
    <w:rsid w:val="2DE728EA"/>
    <w:rsid w:val="2E726843"/>
    <w:rsid w:val="2E8D23D3"/>
    <w:rsid w:val="2EDC02FF"/>
    <w:rsid w:val="2EE87C86"/>
    <w:rsid w:val="2EEC5388"/>
    <w:rsid w:val="3172033E"/>
    <w:rsid w:val="3227588C"/>
    <w:rsid w:val="325F6558"/>
    <w:rsid w:val="32947A99"/>
    <w:rsid w:val="331653E5"/>
    <w:rsid w:val="341C30A3"/>
    <w:rsid w:val="351529A9"/>
    <w:rsid w:val="355A74E9"/>
    <w:rsid w:val="35FD1F7A"/>
    <w:rsid w:val="36616918"/>
    <w:rsid w:val="366D672C"/>
    <w:rsid w:val="3676129B"/>
    <w:rsid w:val="36E3150F"/>
    <w:rsid w:val="3836614A"/>
    <w:rsid w:val="384A4707"/>
    <w:rsid w:val="385D644E"/>
    <w:rsid w:val="38F33167"/>
    <w:rsid w:val="39B640BF"/>
    <w:rsid w:val="39C83C69"/>
    <w:rsid w:val="39CE5E1D"/>
    <w:rsid w:val="3A6D1DDA"/>
    <w:rsid w:val="3A9701E9"/>
    <w:rsid w:val="3B4244C5"/>
    <w:rsid w:val="3C003247"/>
    <w:rsid w:val="3C8E6F2D"/>
    <w:rsid w:val="3CEE5629"/>
    <w:rsid w:val="3D6145DC"/>
    <w:rsid w:val="3E495BEB"/>
    <w:rsid w:val="3E5E0082"/>
    <w:rsid w:val="3EDB4EA4"/>
    <w:rsid w:val="3F9F3463"/>
    <w:rsid w:val="3FC31914"/>
    <w:rsid w:val="404F5380"/>
    <w:rsid w:val="405D6728"/>
    <w:rsid w:val="40FD6FDA"/>
    <w:rsid w:val="41110191"/>
    <w:rsid w:val="411D5C03"/>
    <w:rsid w:val="414A37BB"/>
    <w:rsid w:val="41B45A04"/>
    <w:rsid w:val="42643A73"/>
    <w:rsid w:val="42AA1012"/>
    <w:rsid w:val="43FB66E3"/>
    <w:rsid w:val="44DC7F4B"/>
    <w:rsid w:val="45651876"/>
    <w:rsid w:val="45CC523B"/>
    <w:rsid w:val="466F6CEB"/>
    <w:rsid w:val="46AA377D"/>
    <w:rsid w:val="46D22C21"/>
    <w:rsid w:val="48214BAC"/>
    <w:rsid w:val="49363676"/>
    <w:rsid w:val="49713AA7"/>
    <w:rsid w:val="499A2688"/>
    <w:rsid w:val="49D47D5A"/>
    <w:rsid w:val="49F62026"/>
    <w:rsid w:val="4A4B48E3"/>
    <w:rsid w:val="4AF35168"/>
    <w:rsid w:val="4B1A7369"/>
    <w:rsid w:val="4B5137BF"/>
    <w:rsid w:val="4D774E55"/>
    <w:rsid w:val="4DA86B45"/>
    <w:rsid w:val="4E3720DD"/>
    <w:rsid w:val="4F510F39"/>
    <w:rsid w:val="4F9D72CF"/>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14399E"/>
    <w:rsid w:val="55344B23"/>
    <w:rsid w:val="55935F88"/>
    <w:rsid w:val="56732DC5"/>
    <w:rsid w:val="56C21B98"/>
    <w:rsid w:val="57360F05"/>
    <w:rsid w:val="581F495D"/>
    <w:rsid w:val="58484116"/>
    <w:rsid w:val="58DA78C0"/>
    <w:rsid w:val="58E017CC"/>
    <w:rsid w:val="5A770570"/>
    <w:rsid w:val="5A7D25A9"/>
    <w:rsid w:val="5AC859BF"/>
    <w:rsid w:val="5B4C17F1"/>
    <w:rsid w:val="5C0F2072"/>
    <w:rsid w:val="5CFC1D50"/>
    <w:rsid w:val="5E6C25B6"/>
    <w:rsid w:val="5E84123F"/>
    <w:rsid w:val="5ED57ADF"/>
    <w:rsid w:val="5F0028BB"/>
    <w:rsid w:val="5F2528F6"/>
    <w:rsid w:val="5F2E07B9"/>
    <w:rsid w:val="5F9764C2"/>
    <w:rsid w:val="603300A7"/>
    <w:rsid w:val="605C2ABC"/>
    <w:rsid w:val="607E0927"/>
    <w:rsid w:val="60D968DA"/>
    <w:rsid w:val="60F41422"/>
    <w:rsid w:val="61866A3A"/>
    <w:rsid w:val="619D5BCC"/>
    <w:rsid w:val="62107539"/>
    <w:rsid w:val="6233128F"/>
    <w:rsid w:val="62635DDC"/>
    <w:rsid w:val="62FE3555"/>
    <w:rsid w:val="63D7368B"/>
    <w:rsid w:val="63EA24F1"/>
    <w:rsid w:val="657A0549"/>
    <w:rsid w:val="665A104A"/>
    <w:rsid w:val="66ED444E"/>
    <w:rsid w:val="67484273"/>
    <w:rsid w:val="68A603CF"/>
    <w:rsid w:val="69D32689"/>
    <w:rsid w:val="69E27B06"/>
    <w:rsid w:val="69EA623B"/>
    <w:rsid w:val="6A081BC2"/>
    <w:rsid w:val="6A0F3694"/>
    <w:rsid w:val="6A5445FC"/>
    <w:rsid w:val="6A5C1E75"/>
    <w:rsid w:val="6AB76CFB"/>
    <w:rsid w:val="6ABA08C1"/>
    <w:rsid w:val="6BC1702A"/>
    <w:rsid w:val="6C282248"/>
    <w:rsid w:val="6CBD55AC"/>
    <w:rsid w:val="6D8F4B19"/>
    <w:rsid w:val="6DE636A7"/>
    <w:rsid w:val="6DE86594"/>
    <w:rsid w:val="6E5C2511"/>
    <w:rsid w:val="6F55769C"/>
    <w:rsid w:val="718764FD"/>
    <w:rsid w:val="725831A5"/>
    <w:rsid w:val="73607DE9"/>
    <w:rsid w:val="73711235"/>
    <w:rsid w:val="745F736B"/>
    <w:rsid w:val="753E278B"/>
    <w:rsid w:val="75BE6EB5"/>
    <w:rsid w:val="765F4FAE"/>
    <w:rsid w:val="7815375E"/>
    <w:rsid w:val="790D6252"/>
    <w:rsid w:val="7AE24CA4"/>
    <w:rsid w:val="7AE40810"/>
    <w:rsid w:val="7B0749C7"/>
    <w:rsid w:val="7BBB6C68"/>
    <w:rsid w:val="7C574749"/>
    <w:rsid w:val="7C8E2CF6"/>
    <w:rsid w:val="7C967B8B"/>
    <w:rsid w:val="7CD015B7"/>
    <w:rsid w:val="7E4931C0"/>
    <w:rsid w:val="7E7248EE"/>
    <w:rsid w:val="7EE12CFA"/>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1"/>
    <w:qFormat/>
    <w:uiPriority w:val="99"/>
    <w:pPr>
      <w:jc w:val="left"/>
    </w:pPr>
    <w:rPr>
      <w:sz w:val="24"/>
      <w:szCs w:val="20"/>
    </w:rPr>
  </w:style>
  <w:style w:type="paragraph" w:styleId="6">
    <w:name w:val="Body Text"/>
    <w:basedOn w:val="1"/>
    <w:link w:val="50"/>
    <w:unhideWhenUsed/>
    <w:qFormat/>
    <w:locked/>
    <w:uiPriority w:val="99"/>
    <w:pPr>
      <w:spacing w:after="120"/>
    </w:pPr>
  </w:style>
  <w:style w:type="paragraph" w:styleId="7">
    <w:name w:val="Body Text Indent"/>
    <w:basedOn w:val="1"/>
    <w:link w:val="32"/>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3"/>
    <w:qFormat/>
    <w:uiPriority w:val="0"/>
    <w:rPr>
      <w:rFonts w:ascii="宋体" w:hAnsi="Courier New"/>
      <w:szCs w:val="20"/>
    </w:rPr>
  </w:style>
  <w:style w:type="paragraph" w:styleId="11">
    <w:name w:val="Date"/>
    <w:basedOn w:val="1"/>
    <w:next w:val="1"/>
    <w:link w:val="34"/>
    <w:qFormat/>
    <w:uiPriority w:val="99"/>
    <w:pPr>
      <w:ind w:left="100" w:leftChars="2500"/>
    </w:pPr>
    <w:rPr>
      <w:sz w:val="24"/>
      <w:szCs w:val="20"/>
    </w:rPr>
  </w:style>
  <w:style w:type="paragraph" w:styleId="12">
    <w:name w:val="Balloon Text"/>
    <w:basedOn w:val="1"/>
    <w:link w:val="35"/>
    <w:semiHidden/>
    <w:qFormat/>
    <w:uiPriority w:val="99"/>
    <w:rPr>
      <w:kern w:val="0"/>
      <w:sz w:val="2"/>
      <w:szCs w:val="20"/>
    </w:rPr>
  </w:style>
  <w:style w:type="paragraph" w:styleId="13">
    <w:name w:val="footer"/>
    <w:basedOn w:val="1"/>
    <w:link w:val="36"/>
    <w:qFormat/>
    <w:uiPriority w:val="99"/>
    <w:pPr>
      <w:tabs>
        <w:tab w:val="center" w:pos="4153"/>
        <w:tab w:val="right" w:pos="8306"/>
      </w:tabs>
      <w:snapToGrid w:val="0"/>
      <w:jc w:val="left"/>
    </w:pPr>
    <w:rPr>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link w:val="5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5"/>
    <w:next w:val="5"/>
    <w:link w:val="38"/>
    <w:qFormat/>
    <w:uiPriority w:val="99"/>
    <w:rPr>
      <w:b/>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locked/>
    <w:uiPriority w:val="0"/>
  </w:style>
  <w:style w:type="character" w:styleId="23">
    <w:name w:val="FollowedHyperlink"/>
    <w:basedOn w:val="20"/>
    <w:semiHidden/>
    <w:unhideWhenUsed/>
    <w:qFormat/>
    <w:locked/>
    <w:uiPriority w:val="99"/>
    <w:rPr>
      <w:color w:val="4D7AD8"/>
      <w:u w:val="none"/>
    </w:rPr>
  </w:style>
  <w:style w:type="character" w:styleId="24">
    <w:name w:val="HTML Definition"/>
    <w:basedOn w:val="20"/>
    <w:semiHidden/>
    <w:unhideWhenUsed/>
    <w:qFormat/>
    <w:locked/>
    <w:uiPriority w:val="99"/>
    <w:rPr>
      <w:i/>
      <w:iCs/>
    </w:rPr>
  </w:style>
  <w:style w:type="character" w:styleId="25">
    <w:name w:val="Hyperlink"/>
    <w:qFormat/>
    <w:uiPriority w:val="99"/>
    <w:rPr>
      <w:rFonts w:cs="Times New Roman"/>
      <w:color w:val="0563C1"/>
      <w:u w:val="single"/>
    </w:rPr>
  </w:style>
  <w:style w:type="character" w:styleId="26">
    <w:name w:val="HTML Code"/>
    <w:basedOn w:val="20"/>
    <w:semiHidden/>
    <w:unhideWhenUsed/>
    <w:qFormat/>
    <w:locked/>
    <w:uiPriority w:val="99"/>
    <w:rPr>
      <w:rFonts w:hint="default" w:ascii="Consolas" w:hAnsi="Consolas" w:eastAsia="Consolas" w:cs="Consolas"/>
      <w:sz w:val="21"/>
      <w:szCs w:val="21"/>
    </w:rPr>
  </w:style>
  <w:style w:type="character" w:styleId="27">
    <w:name w:val="annotation reference"/>
    <w:basedOn w:val="20"/>
    <w:qFormat/>
    <w:uiPriority w:val="99"/>
    <w:rPr>
      <w:rFonts w:cs="Times New Roman"/>
      <w:sz w:val="21"/>
    </w:rPr>
  </w:style>
  <w:style w:type="character" w:styleId="28">
    <w:name w:val="HTML Keyboard"/>
    <w:basedOn w:val="20"/>
    <w:semiHidden/>
    <w:unhideWhenUsed/>
    <w:qFormat/>
    <w:locked/>
    <w:uiPriority w:val="99"/>
    <w:rPr>
      <w:rFonts w:ascii="Consolas" w:hAnsi="Consolas" w:eastAsia="Consolas" w:cs="Consolas"/>
      <w:sz w:val="21"/>
      <w:szCs w:val="21"/>
    </w:rPr>
  </w:style>
  <w:style w:type="character" w:styleId="29">
    <w:name w:val="HTML Sample"/>
    <w:basedOn w:val="20"/>
    <w:semiHidden/>
    <w:unhideWhenUsed/>
    <w:qFormat/>
    <w:locked/>
    <w:uiPriority w:val="99"/>
    <w:rPr>
      <w:rFonts w:hint="default" w:ascii="Consolas" w:hAnsi="Consolas" w:eastAsia="Consolas" w:cs="Consolas"/>
      <w:color w:val="000000"/>
      <w:sz w:val="21"/>
      <w:szCs w:val="21"/>
      <w:bdr w:val="single" w:color="D9D9D9" w:sz="6" w:space="0"/>
      <w:shd w:val="clear" w:fill="FFFFFF"/>
    </w:rPr>
  </w:style>
  <w:style w:type="character" w:customStyle="1" w:styleId="30">
    <w:name w:val="标题 1 Char"/>
    <w:link w:val="3"/>
    <w:qFormat/>
    <w:locked/>
    <w:uiPriority w:val="99"/>
    <w:rPr>
      <w:rFonts w:cs="Times New Roman"/>
      <w:b/>
      <w:kern w:val="44"/>
      <w:sz w:val="44"/>
    </w:rPr>
  </w:style>
  <w:style w:type="character" w:customStyle="1" w:styleId="31">
    <w:name w:val="批注文字 Char"/>
    <w:link w:val="5"/>
    <w:qFormat/>
    <w:locked/>
    <w:uiPriority w:val="99"/>
    <w:rPr>
      <w:rFonts w:cs="Times New Roman"/>
      <w:kern w:val="2"/>
      <w:sz w:val="24"/>
    </w:rPr>
  </w:style>
  <w:style w:type="character" w:customStyle="1" w:styleId="32">
    <w:name w:val="正文文本缩进 Char"/>
    <w:link w:val="7"/>
    <w:qFormat/>
    <w:locked/>
    <w:uiPriority w:val="99"/>
    <w:rPr>
      <w:rFonts w:ascii="等线" w:eastAsia="等线" w:cs="Times New Roman"/>
      <w:kern w:val="2"/>
      <w:sz w:val="22"/>
    </w:rPr>
  </w:style>
  <w:style w:type="character" w:customStyle="1" w:styleId="33">
    <w:name w:val="纯文本 Char"/>
    <w:link w:val="10"/>
    <w:qFormat/>
    <w:locked/>
    <w:uiPriority w:val="0"/>
    <w:rPr>
      <w:rFonts w:ascii="宋体" w:hAnsi="Courier New" w:cs="Times New Roman"/>
      <w:kern w:val="2"/>
      <w:sz w:val="21"/>
    </w:rPr>
  </w:style>
  <w:style w:type="character" w:customStyle="1" w:styleId="34">
    <w:name w:val="日期 Char"/>
    <w:link w:val="11"/>
    <w:qFormat/>
    <w:locked/>
    <w:uiPriority w:val="99"/>
    <w:rPr>
      <w:rFonts w:cs="Times New Roman"/>
      <w:kern w:val="2"/>
      <w:sz w:val="24"/>
    </w:rPr>
  </w:style>
  <w:style w:type="character" w:customStyle="1" w:styleId="35">
    <w:name w:val="批注框文本 Char"/>
    <w:link w:val="12"/>
    <w:semiHidden/>
    <w:qFormat/>
    <w:locked/>
    <w:uiPriority w:val="99"/>
    <w:rPr>
      <w:rFonts w:cs="Times New Roman"/>
      <w:sz w:val="2"/>
    </w:rPr>
  </w:style>
  <w:style w:type="character" w:customStyle="1" w:styleId="36">
    <w:name w:val="页脚 Char"/>
    <w:link w:val="13"/>
    <w:semiHidden/>
    <w:qFormat/>
    <w:locked/>
    <w:uiPriority w:val="99"/>
    <w:rPr>
      <w:rFonts w:cs="Times New Roman"/>
      <w:sz w:val="18"/>
      <w:szCs w:val="18"/>
    </w:rPr>
  </w:style>
  <w:style w:type="character" w:customStyle="1" w:styleId="37">
    <w:name w:val="页眉 Char"/>
    <w:link w:val="14"/>
    <w:qFormat/>
    <w:locked/>
    <w:uiPriority w:val="99"/>
    <w:rPr>
      <w:rFonts w:cs="Times New Roman"/>
      <w:kern w:val="2"/>
      <w:sz w:val="18"/>
    </w:rPr>
  </w:style>
  <w:style w:type="character" w:customStyle="1" w:styleId="38">
    <w:name w:val="批注主题 Char"/>
    <w:link w:val="17"/>
    <w:qFormat/>
    <w:locked/>
    <w:uiPriority w:val="99"/>
    <w:rPr>
      <w:rFonts w:cs="Times New Roman"/>
      <w:b/>
      <w:kern w:val="2"/>
      <w:sz w:val="24"/>
    </w:rPr>
  </w:style>
  <w:style w:type="paragraph" w:customStyle="1" w:styleId="39">
    <w:name w:val="Char"/>
    <w:basedOn w:val="1"/>
    <w:qFormat/>
    <w:uiPriority w:val="99"/>
    <w:pPr>
      <w:tabs>
        <w:tab w:val="left" w:pos="360"/>
      </w:tabs>
    </w:pPr>
    <w:rPr>
      <w:sz w:val="24"/>
    </w:rPr>
  </w:style>
  <w:style w:type="character" w:customStyle="1" w:styleId="40">
    <w:name w:val="列出段落 Char"/>
    <w:link w:val="41"/>
    <w:qFormat/>
    <w:locked/>
    <w:uiPriority w:val="0"/>
  </w:style>
  <w:style w:type="paragraph" w:styleId="41">
    <w:name w:val="List Paragraph"/>
    <w:basedOn w:val="1"/>
    <w:link w:val="40"/>
    <w:qFormat/>
    <w:uiPriority w:val="34"/>
    <w:pPr>
      <w:widowControl/>
      <w:ind w:firstLine="420" w:firstLineChars="200"/>
      <w:jc w:val="left"/>
    </w:pPr>
    <w:rPr>
      <w:kern w:val="0"/>
      <w:sz w:val="20"/>
      <w:szCs w:val="20"/>
    </w:rPr>
  </w:style>
  <w:style w:type="table" w:customStyle="1" w:styleId="4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laceholder Text"/>
    <w:semiHidden/>
    <w:qFormat/>
    <w:uiPriority w:val="99"/>
    <w:rPr>
      <w:rFonts w:cs="Times New Roman"/>
      <w:color w:val="808080"/>
    </w:rPr>
  </w:style>
  <w:style w:type="paragraph" w:customStyle="1" w:styleId="4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
    <w:name w:val="列出段落2"/>
    <w:basedOn w:val="1"/>
    <w:qFormat/>
    <w:uiPriority w:val="99"/>
    <w:pPr>
      <w:ind w:firstLine="420" w:firstLineChars="200"/>
    </w:pPr>
    <w:rPr>
      <w:rFonts w:ascii="Calibri" w:hAnsi="Calibri"/>
      <w:szCs w:val="22"/>
    </w:rPr>
  </w:style>
  <w:style w:type="character" w:customStyle="1" w:styleId="48">
    <w:name w:val="标题 2 Char Char Char"/>
    <w:qFormat/>
    <w:uiPriority w:val="99"/>
    <w:rPr>
      <w:rFonts w:ascii="Arial" w:hAnsi="Arial" w:eastAsia="黑体"/>
      <w:b/>
      <w:kern w:val="2"/>
      <w:sz w:val="32"/>
      <w:lang w:val="en-US" w:eastAsia="zh-CN"/>
    </w:rPr>
  </w:style>
  <w:style w:type="paragraph" w:customStyle="1" w:styleId="4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50">
    <w:name w:val="正文文本 Char"/>
    <w:link w:val="6"/>
    <w:qFormat/>
    <w:uiPriority w:val="99"/>
    <w:rPr>
      <w:kern w:val="2"/>
      <w:sz w:val="21"/>
      <w:szCs w:val="24"/>
    </w:rPr>
  </w:style>
  <w:style w:type="paragraph" w:customStyle="1" w:styleId="5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2">
    <w:name w:val="正文2"/>
    <w:basedOn w:val="1"/>
    <w:qFormat/>
    <w:uiPriority w:val="0"/>
    <w:pPr>
      <w:spacing w:before="156" w:line="360" w:lineRule="auto"/>
      <w:ind w:firstLine="510" w:firstLineChars="200"/>
    </w:pPr>
    <w:rPr>
      <w:sz w:val="24"/>
    </w:rPr>
  </w:style>
  <w:style w:type="paragraph" w:customStyle="1" w:styleId="5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4">
    <w:name w:val="A9"/>
    <w:qFormat/>
    <w:uiPriority w:val="0"/>
    <w:rPr>
      <w:rFonts w:cs="PSFEIH+StoneSans"/>
      <w:color w:val="262424"/>
      <w:sz w:val="20"/>
      <w:szCs w:val="20"/>
    </w:rPr>
  </w:style>
  <w:style w:type="paragraph" w:customStyle="1" w:styleId="5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6">
    <w:name w:val="A14"/>
    <w:qFormat/>
    <w:uiPriority w:val="99"/>
    <w:rPr>
      <w:rFonts w:cs="Open Sans Light"/>
      <w:color w:val="FFFFFF"/>
      <w:sz w:val="13"/>
      <w:szCs w:val="13"/>
    </w:rPr>
  </w:style>
  <w:style w:type="paragraph" w:customStyle="1" w:styleId="57">
    <w:name w:val="表格文字"/>
    <w:basedOn w:val="1"/>
    <w:next w:val="6"/>
    <w:qFormat/>
    <w:uiPriority w:val="0"/>
    <w:rPr>
      <w:sz w:val="24"/>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9">
    <w:name w:val="副标题 Char"/>
    <w:basedOn w:val="20"/>
    <w:link w:val="15"/>
    <w:qFormat/>
    <w:uiPriority w:val="0"/>
    <w:rPr>
      <w:rFonts w:asciiTheme="majorHAnsi" w:hAnsiTheme="majorHAnsi" w:cstheme="majorBidi"/>
      <w:b/>
      <w:bCs/>
      <w:kern w:val="28"/>
      <w:sz w:val="32"/>
      <w:szCs w:val="32"/>
    </w:rPr>
  </w:style>
  <w:style w:type="character" w:customStyle="1" w:styleId="60">
    <w:name w:val="button"/>
    <w:basedOn w:val="20"/>
    <w:qFormat/>
    <w:uiPriority w:val="0"/>
  </w:style>
  <w:style w:type="character" w:customStyle="1" w:styleId="61">
    <w:name w:val="button1"/>
    <w:basedOn w:val="20"/>
    <w:qFormat/>
    <w:uiPriority w:val="0"/>
  </w:style>
  <w:style w:type="character" w:customStyle="1" w:styleId="62">
    <w:name w:val="ant-tree-iconele"/>
    <w:basedOn w:val="20"/>
    <w:qFormat/>
    <w:uiPriority w:val="0"/>
  </w:style>
  <w:style w:type="character" w:customStyle="1" w:styleId="63">
    <w:name w:val="ant-tree-checkbox"/>
    <w:basedOn w:val="20"/>
    <w:qFormat/>
    <w:uiPriority w:val="0"/>
  </w:style>
  <w:style w:type="character" w:customStyle="1" w:styleId="64">
    <w:name w:val="ant-tree-switcher"/>
    <w:basedOn w:val="20"/>
    <w:qFormat/>
    <w:uiPriority w:val="0"/>
  </w:style>
  <w:style w:type="character" w:customStyle="1" w:styleId="65">
    <w:name w:val="cke_colorbox"/>
    <w:basedOn w:val="20"/>
    <w:qFormat/>
    <w:uiPriority w:val="0"/>
  </w:style>
  <w:style w:type="character" w:customStyle="1" w:styleId="66">
    <w:name w:val="cke_colorbox1"/>
    <w:basedOn w:val="20"/>
    <w:qFormat/>
    <w:uiPriority w:val="0"/>
  </w:style>
  <w:style w:type="character" w:customStyle="1" w:styleId="67">
    <w:name w:val="cke_colorbox2"/>
    <w:basedOn w:val="20"/>
    <w:qFormat/>
    <w:uiPriority w:val="0"/>
  </w:style>
  <w:style w:type="character" w:customStyle="1" w:styleId="68">
    <w:name w:val="cke_colorbox3"/>
    <w:basedOn w:val="20"/>
    <w:qFormat/>
    <w:uiPriority w:val="0"/>
    <w:rPr>
      <w:bdr w:val="single" w:color="808080" w:sz="6" w:space="0"/>
    </w:rPr>
  </w:style>
  <w:style w:type="character" w:customStyle="1" w:styleId="69">
    <w:name w:val="isrevision"/>
    <w:basedOn w:val="20"/>
    <w:qFormat/>
    <w:uiPriority w:val="0"/>
    <w:rPr>
      <w:color w:val="000000"/>
      <w:sz w:val="18"/>
      <w:szCs w:val="18"/>
      <w:bdr w:val="single" w:color="E9E9E9" w:sz="6" w:space="0"/>
      <w:shd w:val="clear" w:fill="FFFFFF"/>
    </w:rPr>
  </w:style>
  <w:style w:type="character" w:customStyle="1" w:styleId="70">
    <w:name w:val="ant-table-row-expand-icon"/>
    <w:basedOn w:val="20"/>
    <w:uiPriority w:val="0"/>
    <w:rPr>
      <w:vanish/>
    </w:rPr>
  </w:style>
  <w:style w:type="character" w:customStyle="1" w:styleId="71">
    <w:name w:val="wea-dropdown-triangle2"/>
    <w:basedOn w:val="20"/>
    <w:uiPriority w:val="0"/>
  </w:style>
  <w:style w:type="character" w:customStyle="1" w:styleId="72">
    <w:name w:val="ant-select-tree-checkbox2"/>
    <w:basedOn w:val="20"/>
    <w:uiPriority w:val="0"/>
  </w:style>
  <w:style w:type="character" w:customStyle="1" w:styleId="73">
    <w:name w:val="not-pass-node"/>
    <w:basedOn w:val="20"/>
    <w:uiPriority w:val="0"/>
    <w:rPr>
      <w:bdr w:val="single" w:color="5ABD6B" w:sz="6" w:space="0"/>
      <w:shd w:val="clear" w:fill="BFF3C3"/>
    </w:rPr>
  </w:style>
  <w:style w:type="character" w:customStyle="1" w:styleId="74">
    <w:name w:val="hover37"/>
    <w:basedOn w:val="20"/>
    <w:qFormat/>
    <w:uiPriority w:val="0"/>
    <w:rPr>
      <w:color w:val="009DFF"/>
    </w:rPr>
  </w:style>
  <w:style w:type="character" w:customStyle="1" w:styleId="75">
    <w:name w:val="hover38"/>
    <w:basedOn w:val="20"/>
    <w:uiPriority w:val="0"/>
    <w:rPr>
      <w:color w:val="009DFF"/>
    </w:rPr>
  </w:style>
  <w:style w:type="character" w:customStyle="1" w:styleId="76">
    <w:name w:val="ant-radio+*"/>
    <w:basedOn w:val="20"/>
    <w:uiPriority w:val="0"/>
  </w:style>
  <w:style w:type="character" w:customStyle="1" w:styleId="77">
    <w:name w:val="cke_notification_progress"/>
    <w:basedOn w:val="20"/>
    <w:qFormat/>
    <w:uiPriority w:val="0"/>
    <w:rPr>
      <w:shd w:val="clear" w:fill="0F74A8"/>
    </w:rPr>
  </w:style>
  <w:style w:type="character" w:customStyle="1" w:styleId="78">
    <w:name w:val="disabled"/>
    <w:basedOn w:val="20"/>
    <w:qFormat/>
    <w:uiPriority w:val="0"/>
    <w:rPr>
      <w:color w:val="AAAAAA"/>
      <w:shd w:val="clear" w:fill="F7F7F7"/>
    </w:rPr>
  </w:style>
  <w:style w:type="character" w:customStyle="1" w:styleId="79">
    <w:name w:val="ant-select-tree-switcher"/>
    <w:basedOn w:val="20"/>
    <w:uiPriority w:val="0"/>
  </w:style>
  <w:style w:type="character" w:customStyle="1" w:styleId="80">
    <w:name w:val="ant-select-tree-iconele"/>
    <w:basedOn w:val="20"/>
    <w:qFormat/>
    <w:uiPriority w:val="0"/>
  </w:style>
  <w:style w:type="character" w:customStyle="1" w:styleId="81">
    <w:name w:val="current-node"/>
    <w:basedOn w:val="20"/>
    <w:qFormat/>
    <w:uiPriority w:val="0"/>
    <w:rPr>
      <w:color w:val="DC4446"/>
      <w:bdr w:val="single" w:color="F5B87B" w:sz="6" w:space="0"/>
      <w:shd w:val="clear" w:fill="FFE8CC"/>
    </w:rPr>
  </w:style>
  <w:style w:type="character" w:customStyle="1" w:styleId="82">
    <w:name w:val="auto-pass-node"/>
    <w:basedOn w:val="20"/>
    <w:qFormat/>
    <w:uiPriority w:val="0"/>
    <w:rPr>
      <w:bdr w:val="single" w:color="DC4446" w:sz="6" w:space="0"/>
      <w:shd w:val="clear" w:fill="A9E2FF"/>
    </w:rPr>
  </w:style>
  <w:style w:type="character" w:customStyle="1" w:styleId="83">
    <w:name w:val="cke_path_empty2"/>
    <w:basedOn w:val="20"/>
    <w:qFormat/>
    <w:uiPriority w:val="0"/>
    <w:rPr>
      <w:b/>
      <w:bCs/>
      <w:color w:val="484848"/>
      <w:sz w:val="16"/>
      <w:szCs w:val="16"/>
      <w:u w:val="none"/>
    </w:rPr>
  </w:style>
  <w:style w:type="character" w:customStyle="1" w:styleId="84">
    <w:name w:val="first-of-type"/>
    <w:basedOn w:val="20"/>
    <w:qFormat/>
    <w:uiPriority w:val="0"/>
    <w:rPr>
      <w:color w:val="FF0000"/>
    </w:rPr>
  </w:style>
  <w:style w:type="character" w:customStyle="1" w:styleId="85">
    <w:name w:val="first-of-type1"/>
    <w:basedOn w:val="20"/>
    <w:qFormat/>
    <w:uiPriority w:val="0"/>
    <w:rPr>
      <w:color w:val="FF0000"/>
    </w:rPr>
  </w:style>
  <w:style w:type="character" w:customStyle="1" w:styleId="86">
    <w:name w:val="first-of-type2"/>
    <w:basedOn w:val="20"/>
    <w:qFormat/>
    <w:uiPriority w:val="0"/>
    <w:rPr>
      <w:color w:val="FF0000"/>
    </w:rPr>
  </w:style>
  <w:style w:type="character" w:customStyle="1" w:styleId="87">
    <w:name w:val="wea-thumbnails-doc-content-subtitle"/>
    <w:basedOn w:val="20"/>
    <w:qFormat/>
    <w:uiPriority w:val="0"/>
    <w:rPr>
      <w:color w:val="9A9A9A"/>
    </w:rPr>
  </w:style>
  <w:style w:type="character" w:customStyle="1" w:styleId="88">
    <w:name w:val="passed-node"/>
    <w:basedOn w:val="20"/>
    <w:qFormat/>
    <w:uiPriority w:val="0"/>
    <w:rPr>
      <w:bdr w:val="single" w:color="49A8D4" w:sz="6" w:space="0"/>
      <w:shd w:val="clear" w:fill="A9E3FF"/>
    </w:rPr>
  </w:style>
  <w:style w:type="character" w:customStyle="1" w:styleId="89">
    <w:name w:val="tmpztreemove_arrow"/>
    <w:basedOn w:val="20"/>
    <w:qFormat/>
    <w:uiPriority w:val="0"/>
  </w:style>
  <w:style w:type="character" w:customStyle="1" w:styleId="90">
    <w:name w:val="cke_dialog_ui_button1"/>
    <w:basedOn w:val="20"/>
    <w:qFormat/>
    <w:uiPriority w:val="0"/>
  </w:style>
  <w:style w:type="character" w:customStyle="1" w:styleId="91">
    <w:name w:val="hover"/>
    <w:basedOn w:val="20"/>
    <w:qFormat/>
    <w:uiPriority w:val="0"/>
    <w:rPr>
      <w:color w:val="009DFF"/>
    </w:rPr>
  </w:style>
  <w:style w:type="character" w:customStyle="1" w:styleId="92">
    <w:name w:val="hover1"/>
    <w:basedOn w:val="20"/>
    <w:qFormat/>
    <w:uiPriority w:val="0"/>
    <w:rPr>
      <w:color w:val="009DFF"/>
    </w:rPr>
  </w:style>
  <w:style w:type="character" w:customStyle="1" w:styleId="93">
    <w:name w:val="wea-dropdown-triangle"/>
    <w:basedOn w:val="20"/>
    <w:qFormat/>
    <w:uiPriority w:val="0"/>
  </w:style>
  <w:style w:type="character" w:customStyle="1" w:styleId="94">
    <w:name w:val="cke_path_empty"/>
    <w:basedOn w:val="20"/>
    <w:qFormat/>
    <w:uiPriority w:val="0"/>
    <w:rPr>
      <w:b/>
      <w:bCs/>
      <w:color w:val="484848"/>
      <w:sz w:val="16"/>
      <w:szCs w:val="16"/>
      <w:u w:val="none"/>
    </w:rPr>
  </w:style>
  <w:style w:type="character" w:customStyle="1" w:styleId="95">
    <w:name w:val="disabled4"/>
    <w:basedOn w:val="20"/>
    <w:qFormat/>
    <w:uiPriority w:val="0"/>
    <w:rPr>
      <w:color w:val="AAAAAA"/>
      <w:shd w:val="clear" w:fill="F7F7F7"/>
    </w:rPr>
  </w:style>
  <w:style w:type="character" w:customStyle="1" w:styleId="96">
    <w:name w:val="cke_colorbox4"/>
    <w:basedOn w:val="20"/>
    <w:qFormat/>
    <w:uiPriority w:val="0"/>
    <w:rPr>
      <w:bdr w:val="single" w:color="808080" w:sz="6" w:space="0"/>
    </w:rPr>
  </w:style>
  <w:style w:type="character" w:customStyle="1" w:styleId="97">
    <w:name w:val="cke_dialog_ui_button2"/>
    <w:basedOn w:val="20"/>
    <w:qFormat/>
    <w:uiPriority w:val="0"/>
  </w:style>
  <w:style w:type="character" w:customStyle="1" w:styleId="98">
    <w:name w:val="hover36"/>
    <w:basedOn w:val="20"/>
    <w:qFormat/>
    <w:uiPriority w:val="0"/>
    <w:rPr>
      <w:color w:val="009DFF"/>
    </w:rPr>
  </w:style>
  <w:style w:type="character" w:customStyle="1" w:styleId="99">
    <w:name w:val="cke_dialog_ui_button"/>
    <w:basedOn w:val="20"/>
    <w:qFormat/>
    <w:uiPriority w:val="0"/>
  </w:style>
  <w:style w:type="character" w:customStyle="1" w:styleId="100">
    <w:name w:val="ant-tree-switcher8"/>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92595-6104-41D8-B9A8-1EA1139D4E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2342</Words>
  <Characters>13351</Characters>
  <Lines>111</Lines>
  <Paragraphs>31</Paragraphs>
  <TotalTime>54</TotalTime>
  <ScaleCrop>false</ScaleCrop>
  <LinksUpToDate>false</LinksUpToDate>
  <CharactersWithSpaces>15662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2022-02-21T01:54:54Z</dcterms:modified>
  <dc:title>淮海工学院A8-10号楼学生宿舍家具招标书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D015124F348C4C82B8FE1B5CC30AD1E6</vt:lpwstr>
  </property>
</Properties>
</file>