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33B99" w14:textId="77777777" w:rsidR="00F2213D" w:rsidRDefault="00F2213D" w:rsidP="00F2213D">
      <w:pPr>
        <w:widowControl/>
        <w:jc w:val="center"/>
        <w:rPr>
          <w:rFonts w:ascii="黑体" w:eastAsia="黑体" w:cs="宋体"/>
          <w:b/>
          <w:bCs/>
          <w:color w:val="000000"/>
          <w:kern w:val="0"/>
          <w:sz w:val="44"/>
          <w:szCs w:val="44"/>
        </w:rPr>
      </w:pPr>
    </w:p>
    <w:p w14:paraId="27423D04" w14:textId="77777777" w:rsidR="00F2213D" w:rsidRDefault="00F2213D" w:rsidP="00F2213D">
      <w:pPr>
        <w:widowControl/>
        <w:jc w:val="center"/>
        <w:rPr>
          <w:rFonts w:ascii="黑体" w:eastAsia="黑体" w:cs="宋体" w:hint="eastAsia"/>
          <w:b/>
          <w:bCs/>
          <w:color w:val="000000"/>
          <w:kern w:val="0"/>
          <w:sz w:val="44"/>
          <w:szCs w:val="44"/>
        </w:rPr>
      </w:pPr>
    </w:p>
    <w:p w14:paraId="6A1E092C" w14:textId="77777777" w:rsidR="007D52AF" w:rsidRDefault="007D52AF" w:rsidP="00F2213D">
      <w:pPr>
        <w:widowControl/>
        <w:jc w:val="center"/>
        <w:rPr>
          <w:rFonts w:ascii="黑体" w:eastAsia="黑体" w:cs="宋体"/>
          <w:b/>
          <w:bCs/>
          <w:color w:val="000000"/>
          <w:kern w:val="0"/>
          <w:sz w:val="44"/>
          <w:szCs w:val="44"/>
        </w:rPr>
      </w:pPr>
    </w:p>
    <w:p w14:paraId="332B939A" w14:textId="77FDB141" w:rsidR="00F2213D" w:rsidRDefault="00F2213D" w:rsidP="00F2213D">
      <w:pPr>
        <w:widowControl/>
        <w:jc w:val="center"/>
        <w:rPr>
          <w:rFonts w:ascii="华文中宋" w:eastAsia="华文中宋" w:cs="宋体"/>
          <w:b/>
          <w:bCs/>
          <w:color w:val="000000"/>
          <w:kern w:val="0"/>
          <w:sz w:val="52"/>
          <w:szCs w:val="52"/>
        </w:rPr>
      </w:pPr>
      <w:bookmarkStart w:id="0" w:name="_Hlk106371700"/>
      <w:r>
        <w:rPr>
          <w:rFonts w:ascii="华文中宋" w:eastAsia="华文中宋" w:cs="宋体" w:hint="eastAsia"/>
          <w:b/>
          <w:bCs/>
          <w:color w:val="000000"/>
          <w:kern w:val="0"/>
          <w:sz w:val="52"/>
          <w:szCs w:val="52"/>
        </w:rPr>
        <w:t>茅台战略研究院</w:t>
      </w:r>
    </w:p>
    <w:p w14:paraId="29CA49EC" w14:textId="58168026" w:rsidR="00F2213D" w:rsidRDefault="00F2213D" w:rsidP="00F2213D">
      <w:pPr>
        <w:widowControl/>
        <w:jc w:val="center"/>
        <w:rPr>
          <w:rFonts w:ascii="华文中宋" w:eastAsia="华文中宋" w:cs="宋体"/>
          <w:b/>
          <w:bCs/>
          <w:color w:val="000000"/>
          <w:kern w:val="0"/>
          <w:sz w:val="52"/>
          <w:szCs w:val="52"/>
        </w:rPr>
      </w:pPr>
      <w:r>
        <w:rPr>
          <w:rFonts w:ascii="华文中宋" w:eastAsia="华文中宋" w:cs="宋体" w:hint="eastAsia"/>
          <w:b/>
          <w:bCs/>
          <w:color w:val="000000"/>
          <w:kern w:val="0"/>
          <w:sz w:val="52"/>
          <w:szCs w:val="52"/>
        </w:rPr>
        <w:t>202</w:t>
      </w:r>
      <w:r w:rsidR="009270D1">
        <w:rPr>
          <w:rFonts w:ascii="华文中宋" w:eastAsia="华文中宋" w:cs="宋体" w:hint="eastAsia"/>
          <w:b/>
          <w:bCs/>
          <w:color w:val="000000"/>
          <w:kern w:val="0"/>
          <w:sz w:val="52"/>
          <w:szCs w:val="52"/>
        </w:rPr>
        <w:t>3</w:t>
      </w:r>
      <w:r>
        <w:rPr>
          <w:rFonts w:ascii="华文中宋" w:eastAsia="华文中宋" w:cs="宋体" w:hint="eastAsia"/>
          <w:b/>
          <w:bCs/>
          <w:color w:val="000000"/>
          <w:kern w:val="0"/>
          <w:sz w:val="52"/>
          <w:szCs w:val="52"/>
        </w:rPr>
        <w:t>年度课题指南</w:t>
      </w:r>
    </w:p>
    <w:bookmarkEnd w:id="0"/>
    <w:p w14:paraId="5082A771" w14:textId="77777777" w:rsidR="00F2213D" w:rsidRDefault="00F2213D" w:rsidP="00F2213D">
      <w:pPr>
        <w:widowControl/>
        <w:jc w:val="center"/>
        <w:rPr>
          <w:rFonts w:ascii="华文中宋" w:eastAsia="华文中宋" w:cs="宋体"/>
          <w:b/>
          <w:bCs/>
          <w:color w:val="000000"/>
          <w:kern w:val="0"/>
          <w:sz w:val="36"/>
          <w:szCs w:val="36"/>
        </w:rPr>
      </w:pPr>
    </w:p>
    <w:p w14:paraId="3F5E898B" w14:textId="77777777" w:rsidR="00F2213D" w:rsidRDefault="00F2213D" w:rsidP="00F2213D">
      <w:pPr>
        <w:widowControl/>
        <w:jc w:val="center"/>
        <w:rPr>
          <w:rFonts w:ascii="黑体" w:eastAsia="黑体" w:cs="宋体"/>
          <w:b/>
          <w:bCs/>
          <w:color w:val="000000"/>
          <w:kern w:val="0"/>
          <w:sz w:val="44"/>
          <w:szCs w:val="44"/>
        </w:rPr>
      </w:pPr>
    </w:p>
    <w:p w14:paraId="28CF7E20" w14:textId="77777777" w:rsidR="00F2213D" w:rsidRDefault="00F2213D" w:rsidP="00F2213D">
      <w:pPr>
        <w:widowControl/>
        <w:jc w:val="center"/>
        <w:rPr>
          <w:rFonts w:ascii="黑体" w:eastAsia="黑体" w:cs="宋体"/>
          <w:b/>
          <w:bCs/>
          <w:color w:val="000000"/>
          <w:kern w:val="0"/>
          <w:sz w:val="44"/>
          <w:szCs w:val="44"/>
        </w:rPr>
      </w:pPr>
    </w:p>
    <w:p w14:paraId="3B26694B" w14:textId="77777777" w:rsidR="00F2213D" w:rsidRDefault="00F2213D" w:rsidP="00F2213D">
      <w:pPr>
        <w:widowControl/>
        <w:jc w:val="center"/>
        <w:rPr>
          <w:rFonts w:ascii="黑体" w:eastAsia="黑体" w:cs="宋体"/>
          <w:b/>
          <w:bCs/>
          <w:color w:val="000000"/>
          <w:kern w:val="0"/>
          <w:sz w:val="44"/>
          <w:szCs w:val="44"/>
        </w:rPr>
      </w:pPr>
    </w:p>
    <w:p w14:paraId="4BA229A7" w14:textId="77777777" w:rsidR="00F2213D" w:rsidRDefault="00F2213D" w:rsidP="00F2213D">
      <w:pPr>
        <w:widowControl/>
        <w:jc w:val="center"/>
        <w:rPr>
          <w:rFonts w:ascii="黑体" w:eastAsia="黑体" w:cs="宋体"/>
          <w:b/>
          <w:bCs/>
          <w:color w:val="000000"/>
          <w:kern w:val="0"/>
          <w:sz w:val="44"/>
          <w:szCs w:val="44"/>
        </w:rPr>
      </w:pPr>
    </w:p>
    <w:p w14:paraId="2724C97B" w14:textId="77777777" w:rsidR="00F2213D" w:rsidRDefault="00F2213D" w:rsidP="00F2213D">
      <w:pPr>
        <w:widowControl/>
        <w:jc w:val="center"/>
        <w:rPr>
          <w:rFonts w:ascii="黑体" w:eastAsia="黑体" w:cs="宋体"/>
          <w:b/>
          <w:bCs/>
          <w:color w:val="000000"/>
          <w:kern w:val="0"/>
          <w:sz w:val="44"/>
          <w:szCs w:val="44"/>
        </w:rPr>
      </w:pPr>
    </w:p>
    <w:p w14:paraId="4952370B" w14:textId="77777777" w:rsidR="00F2213D" w:rsidRDefault="00F2213D" w:rsidP="00F2213D">
      <w:pPr>
        <w:widowControl/>
        <w:jc w:val="center"/>
        <w:rPr>
          <w:rFonts w:ascii="黑体" w:eastAsia="黑体" w:cs="宋体"/>
          <w:b/>
          <w:bCs/>
          <w:color w:val="000000"/>
          <w:kern w:val="0"/>
          <w:sz w:val="44"/>
          <w:szCs w:val="44"/>
        </w:rPr>
      </w:pPr>
    </w:p>
    <w:p w14:paraId="72168626" w14:textId="77777777" w:rsidR="00F2213D" w:rsidRDefault="00F2213D" w:rsidP="00F2213D">
      <w:pPr>
        <w:widowControl/>
        <w:jc w:val="center"/>
        <w:rPr>
          <w:rFonts w:ascii="黑体" w:eastAsia="黑体" w:cs="宋体"/>
          <w:b/>
          <w:bCs/>
          <w:color w:val="000000"/>
          <w:kern w:val="0"/>
          <w:sz w:val="44"/>
          <w:szCs w:val="44"/>
        </w:rPr>
      </w:pPr>
    </w:p>
    <w:p w14:paraId="58FD0044" w14:textId="77777777" w:rsidR="00F2213D" w:rsidRDefault="00F2213D" w:rsidP="00F2213D">
      <w:pPr>
        <w:widowControl/>
        <w:jc w:val="center"/>
        <w:rPr>
          <w:rFonts w:ascii="楷体_GB2312" w:eastAsia="楷体_GB2312" w:cs="宋体"/>
          <w:b/>
          <w:bCs/>
          <w:color w:val="000000"/>
          <w:kern w:val="0"/>
          <w:sz w:val="36"/>
          <w:szCs w:val="36"/>
        </w:rPr>
      </w:pPr>
    </w:p>
    <w:p w14:paraId="7D002404" w14:textId="77777777" w:rsidR="00F2213D" w:rsidRDefault="00F2213D" w:rsidP="00F2213D">
      <w:pPr>
        <w:widowControl/>
        <w:jc w:val="center"/>
        <w:rPr>
          <w:rFonts w:ascii="楷体_GB2312" w:eastAsia="楷体_GB2312" w:cs="宋体"/>
          <w:b/>
          <w:bCs/>
          <w:color w:val="000000"/>
          <w:kern w:val="0"/>
          <w:sz w:val="36"/>
          <w:szCs w:val="36"/>
        </w:rPr>
      </w:pPr>
    </w:p>
    <w:p w14:paraId="09729C33" w14:textId="77777777" w:rsidR="00F2213D" w:rsidRDefault="00F2213D" w:rsidP="00F2213D">
      <w:pPr>
        <w:widowControl/>
        <w:jc w:val="center"/>
        <w:rPr>
          <w:rFonts w:ascii="楷体_GB2312" w:eastAsia="楷体_GB2312" w:cs="宋体"/>
          <w:b/>
          <w:bCs/>
          <w:color w:val="000000"/>
          <w:kern w:val="0"/>
          <w:sz w:val="36"/>
          <w:szCs w:val="36"/>
        </w:rPr>
      </w:pPr>
    </w:p>
    <w:p w14:paraId="0CDF15FD" w14:textId="6D151951" w:rsidR="00F2213D" w:rsidRDefault="00F2213D" w:rsidP="00F2213D">
      <w:pPr>
        <w:widowControl/>
        <w:jc w:val="center"/>
        <w:rPr>
          <w:rFonts w:ascii="楷体_GB2312" w:eastAsia="楷体_GB2312" w:cs="宋体"/>
          <w:b/>
          <w:bCs/>
          <w:color w:val="000000"/>
          <w:kern w:val="0"/>
          <w:sz w:val="36"/>
          <w:szCs w:val="36"/>
        </w:rPr>
      </w:pPr>
      <w:r>
        <w:rPr>
          <w:rFonts w:ascii="楷体_GB2312" w:eastAsia="楷体_GB2312" w:cs="宋体" w:hint="eastAsia"/>
          <w:b/>
          <w:bCs/>
          <w:color w:val="000000"/>
          <w:kern w:val="0"/>
          <w:sz w:val="36"/>
          <w:szCs w:val="36"/>
        </w:rPr>
        <w:t>茅台战略研究院</w:t>
      </w:r>
    </w:p>
    <w:p w14:paraId="655B4CFF" w14:textId="4534AC5F" w:rsidR="00F2213D" w:rsidRDefault="00F2213D" w:rsidP="00F2213D">
      <w:pPr>
        <w:widowControl/>
        <w:jc w:val="center"/>
        <w:rPr>
          <w:rFonts w:ascii="楷体_GB2312" w:eastAsia="楷体_GB2312" w:cs="宋体"/>
          <w:b/>
          <w:bCs/>
          <w:color w:val="000000"/>
          <w:kern w:val="0"/>
          <w:sz w:val="36"/>
          <w:szCs w:val="36"/>
        </w:rPr>
      </w:pPr>
      <w:r>
        <w:rPr>
          <w:rFonts w:ascii="楷体_GB2312" w:eastAsia="楷体_GB2312" w:cs="宋体" w:hint="eastAsia"/>
          <w:b/>
          <w:bCs/>
          <w:color w:val="000000"/>
          <w:kern w:val="0"/>
          <w:sz w:val="36"/>
          <w:szCs w:val="36"/>
        </w:rPr>
        <w:t>20</w:t>
      </w:r>
      <w:r>
        <w:rPr>
          <w:rFonts w:ascii="楷体_GB2312" w:eastAsia="楷体_GB2312" w:cs="宋体"/>
          <w:b/>
          <w:bCs/>
          <w:color w:val="000000"/>
          <w:kern w:val="0"/>
          <w:sz w:val="36"/>
          <w:szCs w:val="36"/>
        </w:rPr>
        <w:t>2</w:t>
      </w:r>
      <w:r w:rsidR="009270D1">
        <w:rPr>
          <w:rFonts w:ascii="楷体_GB2312" w:eastAsia="楷体_GB2312" w:cs="宋体" w:hint="eastAsia"/>
          <w:b/>
          <w:bCs/>
          <w:color w:val="000000"/>
          <w:kern w:val="0"/>
          <w:sz w:val="36"/>
          <w:szCs w:val="36"/>
        </w:rPr>
        <w:t>3</w:t>
      </w:r>
      <w:r>
        <w:rPr>
          <w:rFonts w:ascii="楷体_GB2312" w:eastAsia="楷体_GB2312" w:cs="宋体" w:hint="eastAsia"/>
          <w:b/>
          <w:bCs/>
          <w:color w:val="000000"/>
          <w:kern w:val="0"/>
          <w:sz w:val="36"/>
          <w:szCs w:val="36"/>
        </w:rPr>
        <w:t>年</w:t>
      </w:r>
      <w:r w:rsidR="00C81AC3">
        <w:rPr>
          <w:rFonts w:ascii="楷体_GB2312" w:eastAsia="楷体_GB2312" w:cs="宋体" w:hint="eastAsia"/>
          <w:b/>
          <w:bCs/>
          <w:color w:val="000000"/>
          <w:kern w:val="0"/>
          <w:sz w:val="36"/>
          <w:szCs w:val="36"/>
        </w:rPr>
        <w:t>6</w:t>
      </w:r>
      <w:r>
        <w:rPr>
          <w:rFonts w:ascii="楷体_GB2312" w:eastAsia="楷体_GB2312" w:cs="宋体" w:hint="eastAsia"/>
          <w:b/>
          <w:bCs/>
          <w:color w:val="000000"/>
          <w:kern w:val="0"/>
          <w:sz w:val="36"/>
          <w:szCs w:val="36"/>
        </w:rPr>
        <w:t>月</w:t>
      </w:r>
    </w:p>
    <w:p w14:paraId="53F49C53" w14:textId="77777777" w:rsidR="007D52AF" w:rsidRDefault="007D52AF" w:rsidP="00F2213D">
      <w:pPr>
        <w:widowControl/>
        <w:jc w:val="center"/>
        <w:rPr>
          <w:rFonts w:ascii="黑体" w:eastAsia="黑体" w:cs="宋体"/>
          <w:b/>
          <w:bCs/>
          <w:color w:val="000000"/>
          <w:kern w:val="0"/>
          <w:sz w:val="44"/>
          <w:szCs w:val="44"/>
        </w:rPr>
      </w:pPr>
      <w:bookmarkStart w:id="1" w:name="_GoBack"/>
      <w:bookmarkEnd w:id="1"/>
    </w:p>
    <w:p w14:paraId="790CDA27" w14:textId="77777777" w:rsidR="009D3A57" w:rsidRDefault="009D3A57" w:rsidP="009D3A57">
      <w:pPr>
        <w:widowControl/>
        <w:spacing w:afterLines="50" w:after="156"/>
        <w:jc w:val="center"/>
        <w:rPr>
          <w:rFonts w:ascii="黑体" w:eastAsia="黑体" w:cs="宋体"/>
          <w:bCs/>
          <w:color w:val="000000"/>
          <w:kern w:val="0"/>
          <w:sz w:val="44"/>
          <w:szCs w:val="44"/>
        </w:rPr>
      </w:pPr>
      <w:r>
        <w:rPr>
          <w:rFonts w:ascii="黑体" w:eastAsia="黑体" w:cs="宋体" w:hint="eastAsia"/>
          <w:bCs/>
          <w:color w:val="000000"/>
          <w:kern w:val="0"/>
          <w:sz w:val="44"/>
          <w:szCs w:val="44"/>
        </w:rPr>
        <w:lastRenderedPageBreak/>
        <w:t>说  明</w:t>
      </w:r>
    </w:p>
    <w:p w14:paraId="5F9DF4DF" w14:textId="77777777" w:rsidR="00F0670C" w:rsidRDefault="00F0670C" w:rsidP="00F0670C">
      <w:pPr>
        <w:spacing w:line="620" w:lineRule="exact"/>
        <w:ind w:firstLineChars="200" w:firstLine="640"/>
        <w:rPr>
          <w:rFonts w:ascii="仿宋_GB2312" w:eastAsia="仿宋_GB2312" w:hAnsi="华文中宋"/>
          <w:sz w:val="32"/>
          <w:szCs w:val="32"/>
        </w:rPr>
      </w:pPr>
      <w:r>
        <w:rPr>
          <w:rFonts w:ascii="仿宋_GB2312" w:eastAsia="仿宋_GB2312" w:cs="Courier New" w:hint="eastAsia"/>
          <w:bCs/>
          <w:sz w:val="32"/>
          <w:szCs w:val="21"/>
        </w:rPr>
        <w:t>一、2023年度茅台战略研究院课题申报和评审工作，坚持</w:t>
      </w:r>
      <w:r>
        <w:rPr>
          <w:rFonts w:ascii="仿宋_GB2312" w:eastAsia="仿宋_GB2312" w:hAnsi="华文中宋" w:hint="eastAsia"/>
          <w:sz w:val="32"/>
          <w:szCs w:val="32"/>
        </w:rPr>
        <w:t>以</w:t>
      </w:r>
      <w:r w:rsidRPr="00153F2C">
        <w:rPr>
          <w:rFonts w:ascii="仿宋_GB2312" w:eastAsia="仿宋_GB2312" w:hAnsi="华文中宋" w:hint="eastAsia"/>
          <w:sz w:val="32"/>
          <w:szCs w:val="32"/>
        </w:rPr>
        <w:t>习近平新时代中国特色社会主义思想</w:t>
      </w:r>
      <w:r w:rsidRPr="00AB4F50">
        <w:rPr>
          <w:rFonts w:ascii="仿宋_GB2312" w:eastAsia="仿宋_GB2312" w:hAnsi="华文中宋" w:hint="eastAsia"/>
          <w:sz w:val="32"/>
          <w:szCs w:val="32"/>
        </w:rPr>
        <w:t>为指导，</w:t>
      </w:r>
      <w:r w:rsidRPr="003F6569">
        <w:rPr>
          <w:rFonts w:ascii="仿宋_GB2312" w:eastAsia="仿宋_GB2312" w:hAnsi="华文中宋" w:hint="eastAsia"/>
          <w:sz w:val="32"/>
          <w:szCs w:val="32"/>
        </w:rPr>
        <w:t>深入贯彻落实党的</w:t>
      </w:r>
      <w:r>
        <w:rPr>
          <w:rFonts w:ascii="仿宋_GB2312" w:eastAsia="仿宋_GB2312" w:hAnsi="华文中宋" w:hint="eastAsia"/>
          <w:sz w:val="32"/>
          <w:szCs w:val="32"/>
        </w:rPr>
        <w:t>二十大精神以及贵州省第十三次党代会精神，</w:t>
      </w:r>
      <w:r w:rsidRPr="00AB4F50">
        <w:rPr>
          <w:rFonts w:ascii="仿宋_GB2312" w:eastAsia="仿宋_GB2312" w:hAnsi="华文中宋" w:hint="eastAsia"/>
          <w:sz w:val="32"/>
          <w:szCs w:val="32"/>
        </w:rPr>
        <w:t>坚持</w:t>
      </w:r>
      <w:r>
        <w:rPr>
          <w:rFonts w:ascii="仿宋_GB2312" w:eastAsia="仿宋_GB2312" w:hAnsi="华文中宋" w:hint="eastAsia"/>
          <w:sz w:val="32"/>
          <w:szCs w:val="32"/>
        </w:rPr>
        <w:t>正确的政治方向、价值取向和学术导向，坚持以重大理论和茅台发展现实问题为主攻方向，</w:t>
      </w:r>
      <w:r w:rsidRPr="00AB4F50">
        <w:rPr>
          <w:rFonts w:ascii="仿宋_GB2312" w:eastAsia="仿宋_GB2312" w:hAnsi="华文中宋" w:hint="eastAsia"/>
          <w:sz w:val="32"/>
          <w:szCs w:val="32"/>
        </w:rPr>
        <w:t>解放思想、实事求是、与时俱进</w:t>
      </w:r>
      <w:r>
        <w:rPr>
          <w:rFonts w:ascii="仿宋_GB2312" w:eastAsia="仿宋_GB2312" w:hAnsi="华文中宋" w:hint="eastAsia"/>
          <w:sz w:val="32"/>
          <w:szCs w:val="32"/>
        </w:rPr>
        <w:t>、</w:t>
      </w:r>
      <w:r w:rsidRPr="003F6569">
        <w:rPr>
          <w:rFonts w:ascii="仿宋_GB2312" w:eastAsia="仿宋_GB2312" w:hAnsi="华文中宋" w:hint="eastAsia"/>
          <w:sz w:val="32"/>
          <w:szCs w:val="32"/>
        </w:rPr>
        <w:t>求真务实，</w:t>
      </w:r>
      <w:r>
        <w:rPr>
          <w:rFonts w:ascii="仿宋_GB2312" w:eastAsia="仿宋_GB2312" w:hAnsi="华文中宋" w:hint="eastAsia"/>
          <w:sz w:val="32"/>
          <w:szCs w:val="32"/>
        </w:rPr>
        <w:t>为茅台集团</w:t>
      </w:r>
      <w:r w:rsidRPr="00FE1D60">
        <w:rPr>
          <w:rFonts w:ascii="仿宋_GB2312" w:eastAsia="仿宋_GB2312" w:hAnsi="华文中宋" w:hint="eastAsia"/>
          <w:sz w:val="32"/>
          <w:szCs w:val="32"/>
        </w:rPr>
        <w:t>和行业</w:t>
      </w:r>
      <w:r>
        <w:rPr>
          <w:rFonts w:ascii="仿宋_GB2312" w:eastAsia="仿宋_GB2312" w:hAnsi="华文中宋" w:hint="eastAsia"/>
          <w:sz w:val="32"/>
          <w:szCs w:val="32"/>
        </w:rPr>
        <w:t>高质量</w:t>
      </w:r>
      <w:r w:rsidRPr="00FE1D60">
        <w:rPr>
          <w:rFonts w:ascii="仿宋_GB2312" w:eastAsia="仿宋_GB2312" w:hAnsi="华文中宋" w:hint="eastAsia"/>
          <w:sz w:val="32"/>
          <w:szCs w:val="32"/>
        </w:rPr>
        <w:t>发展</w:t>
      </w:r>
      <w:r>
        <w:rPr>
          <w:rFonts w:ascii="仿宋_GB2312" w:eastAsia="仿宋_GB2312" w:hAnsi="华文中宋" w:hint="eastAsia"/>
          <w:sz w:val="32"/>
          <w:szCs w:val="32"/>
        </w:rPr>
        <w:t>服务。</w:t>
      </w:r>
    </w:p>
    <w:p w14:paraId="49C7FC42" w14:textId="77777777" w:rsidR="00F0670C" w:rsidRDefault="00F0670C" w:rsidP="00F0670C">
      <w:pPr>
        <w:spacing w:line="620" w:lineRule="exact"/>
        <w:ind w:firstLineChars="200" w:firstLine="640"/>
        <w:rPr>
          <w:rFonts w:ascii="仿宋_GB2312" w:eastAsia="仿宋_GB2312"/>
          <w:bCs/>
          <w:sz w:val="32"/>
        </w:rPr>
      </w:pPr>
      <w:r>
        <w:rPr>
          <w:rFonts w:ascii="仿宋_GB2312" w:eastAsia="仿宋_GB2312" w:hint="eastAsia"/>
          <w:bCs/>
          <w:sz w:val="32"/>
        </w:rPr>
        <w:t>二、《茅台战略研究院2023年度课题指南》</w:t>
      </w:r>
      <w:bookmarkStart w:id="2" w:name="OLE_LINK4"/>
      <w:bookmarkStart w:id="3" w:name="OLE_LINK5"/>
      <w:bookmarkStart w:id="4" w:name="OLE_LINK6"/>
      <w:r>
        <w:rPr>
          <w:rFonts w:ascii="仿宋_GB2312" w:eastAsia="仿宋_GB2312" w:hint="eastAsia"/>
          <w:bCs/>
          <w:sz w:val="32"/>
        </w:rPr>
        <w:t>（以下简称《课题指南》）</w:t>
      </w:r>
      <w:r w:rsidRPr="0048709E">
        <w:rPr>
          <w:rFonts w:ascii="仿宋_GB2312" w:eastAsia="仿宋_GB2312" w:hint="eastAsia"/>
          <w:bCs/>
          <w:sz w:val="32"/>
        </w:rPr>
        <w:t>围绕</w:t>
      </w:r>
      <w:r>
        <w:rPr>
          <w:rFonts w:ascii="仿宋_GB2312" w:eastAsia="仿宋_GB2312" w:hint="eastAsia"/>
          <w:bCs/>
          <w:sz w:val="32"/>
        </w:rPr>
        <w:t>深入学习贯彻习近平</w:t>
      </w:r>
      <w:r w:rsidRPr="00153F2C">
        <w:rPr>
          <w:rFonts w:ascii="仿宋_GB2312" w:eastAsia="仿宋_GB2312" w:hAnsi="华文中宋" w:hint="eastAsia"/>
          <w:sz w:val="32"/>
          <w:szCs w:val="32"/>
        </w:rPr>
        <w:t>新时代中国特色社会主义思想</w:t>
      </w:r>
      <w:r>
        <w:rPr>
          <w:rFonts w:ascii="仿宋_GB2312" w:eastAsia="仿宋_GB2312" w:hAnsi="华文中宋" w:hint="eastAsia"/>
          <w:sz w:val="32"/>
          <w:szCs w:val="32"/>
        </w:rPr>
        <w:t>，围绕贯彻落实党的二十大精神，</w:t>
      </w:r>
      <w:r w:rsidRPr="00510C52">
        <w:rPr>
          <w:rFonts w:ascii="仿宋_GB2312" w:eastAsia="仿宋_GB2312" w:hint="eastAsia"/>
          <w:bCs/>
          <w:sz w:val="32"/>
        </w:rPr>
        <w:t>聚焦茅台集团“五线发展道路”、茅台“美”时代等</w:t>
      </w:r>
      <w:r>
        <w:rPr>
          <w:rFonts w:ascii="仿宋_GB2312" w:eastAsia="仿宋_GB2312" w:hint="eastAsia"/>
          <w:bCs/>
          <w:sz w:val="32"/>
        </w:rPr>
        <w:t>战略部署</w:t>
      </w:r>
      <w:r w:rsidRPr="003F6569">
        <w:rPr>
          <w:rFonts w:ascii="仿宋_GB2312" w:eastAsia="仿宋_GB2312" w:hint="eastAsia"/>
          <w:bCs/>
          <w:sz w:val="32"/>
        </w:rPr>
        <w:t>，</w:t>
      </w:r>
      <w:bookmarkEnd w:id="2"/>
      <w:bookmarkEnd w:id="3"/>
      <w:bookmarkEnd w:id="4"/>
      <w:r>
        <w:rPr>
          <w:rFonts w:ascii="仿宋_GB2312" w:eastAsia="仿宋_GB2312" w:hint="eastAsia"/>
          <w:bCs/>
          <w:sz w:val="32"/>
        </w:rPr>
        <w:t>聚焦茅台集团发展的现实问题和前沿问题，在相关领域拟定了一批重要选题，申请人</w:t>
      </w:r>
      <w:r w:rsidRPr="00444C49">
        <w:rPr>
          <w:rFonts w:ascii="仿宋_GB2312" w:eastAsia="仿宋_GB2312" w:hint="eastAsia"/>
          <w:bCs/>
          <w:sz w:val="32"/>
        </w:rPr>
        <w:t>可结合自己的学术专长和研究基础选择申报。</w:t>
      </w:r>
    </w:p>
    <w:p w14:paraId="18254360" w14:textId="77777777" w:rsidR="00F0670C" w:rsidRDefault="00F0670C" w:rsidP="00F0670C">
      <w:pPr>
        <w:pStyle w:val="a6"/>
        <w:spacing w:line="620" w:lineRule="exact"/>
        <w:ind w:firstLineChars="200" w:firstLine="640"/>
        <w:rPr>
          <w:rFonts w:ascii="仿宋_GB2312" w:eastAsia="仿宋_GB2312"/>
          <w:bCs/>
          <w:sz w:val="32"/>
        </w:rPr>
      </w:pPr>
      <w:r>
        <w:rPr>
          <w:rFonts w:ascii="仿宋_GB2312" w:eastAsia="仿宋_GB2312" w:hint="eastAsia"/>
          <w:bCs/>
          <w:sz w:val="32"/>
        </w:rPr>
        <w:t>三、申报茅台战略研究院课题，</w:t>
      </w:r>
      <w:r w:rsidRPr="00156CC8">
        <w:rPr>
          <w:rFonts w:ascii="仿宋_GB2312" w:eastAsia="仿宋_GB2312" w:hint="eastAsia"/>
          <w:bCs/>
          <w:sz w:val="32"/>
        </w:rPr>
        <w:t>要体现鲜明的</w:t>
      </w:r>
      <w:r w:rsidRPr="003F6569">
        <w:rPr>
          <w:rFonts w:ascii="仿宋_GB2312" w:eastAsia="仿宋_GB2312" w:hint="eastAsia"/>
          <w:bCs/>
          <w:sz w:val="32"/>
        </w:rPr>
        <w:t>时代特征、</w:t>
      </w:r>
      <w:r w:rsidRPr="00156CC8">
        <w:rPr>
          <w:rFonts w:ascii="仿宋_GB2312" w:eastAsia="仿宋_GB2312" w:hint="eastAsia"/>
          <w:bCs/>
          <w:sz w:val="32"/>
        </w:rPr>
        <w:t>问题导向和创新意识，着力推出</w:t>
      </w:r>
      <w:r>
        <w:rPr>
          <w:rFonts w:ascii="仿宋_GB2312" w:eastAsia="仿宋_GB2312" w:hint="eastAsia"/>
          <w:bCs/>
          <w:sz w:val="32"/>
        </w:rPr>
        <w:t>代表正确方向、</w:t>
      </w:r>
      <w:r w:rsidRPr="00156CC8">
        <w:rPr>
          <w:rFonts w:ascii="仿宋_GB2312" w:eastAsia="仿宋_GB2312" w:hint="eastAsia"/>
          <w:bCs/>
          <w:sz w:val="32"/>
        </w:rPr>
        <w:t>体现</w:t>
      </w:r>
      <w:r>
        <w:rPr>
          <w:rFonts w:ascii="仿宋_GB2312" w:eastAsia="仿宋_GB2312" w:hint="eastAsia"/>
          <w:bCs/>
          <w:sz w:val="32"/>
        </w:rPr>
        <w:t>高水平</w:t>
      </w:r>
      <w:r w:rsidRPr="00156CC8">
        <w:rPr>
          <w:rFonts w:ascii="仿宋_GB2312" w:eastAsia="仿宋_GB2312" w:hint="eastAsia"/>
          <w:bCs/>
          <w:sz w:val="32"/>
        </w:rPr>
        <w:t>的研究成果。</w:t>
      </w:r>
      <w:r>
        <w:rPr>
          <w:rFonts w:ascii="仿宋_GB2312" w:eastAsia="仿宋_GB2312" w:hint="eastAsia"/>
          <w:bCs/>
          <w:sz w:val="32"/>
        </w:rPr>
        <w:t>研究</w:t>
      </w:r>
      <w:r>
        <w:rPr>
          <w:rFonts w:ascii="仿宋_GB2312" w:eastAsia="仿宋_GB2312" w:hint="eastAsia"/>
          <w:sz w:val="32"/>
          <w:szCs w:val="32"/>
        </w:rPr>
        <w:t>要紧密结合茅台集团的发展</w:t>
      </w:r>
      <w:r w:rsidRPr="00156CC8">
        <w:rPr>
          <w:rFonts w:ascii="仿宋_GB2312" w:eastAsia="仿宋_GB2312" w:hint="eastAsia"/>
          <w:sz w:val="32"/>
          <w:szCs w:val="32"/>
        </w:rPr>
        <w:t>动态，</w:t>
      </w:r>
      <w:r w:rsidRPr="003F6569">
        <w:rPr>
          <w:rFonts w:ascii="仿宋_GB2312" w:eastAsia="仿宋_GB2312" w:hint="eastAsia"/>
          <w:bCs/>
          <w:sz w:val="32"/>
        </w:rPr>
        <w:t>立足</w:t>
      </w:r>
      <w:r>
        <w:rPr>
          <w:rFonts w:ascii="仿宋_GB2312" w:eastAsia="仿宋_GB2312" w:hint="eastAsia"/>
          <w:bCs/>
          <w:sz w:val="32"/>
        </w:rPr>
        <w:t>茅台集团</w:t>
      </w:r>
      <w:r w:rsidRPr="003F6569">
        <w:rPr>
          <w:rFonts w:ascii="仿宋_GB2312" w:eastAsia="仿宋_GB2312" w:hint="eastAsia"/>
          <w:bCs/>
          <w:sz w:val="32"/>
        </w:rPr>
        <w:t>发展需要，聚焦</w:t>
      </w:r>
      <w:r>
        <w:rPr>
          <w:rFonts w:ascii="仿宋_GB2312" w:eastAsia="仿宋_GB2312" w:hint="eastAsia"/>
          <w:bCs/>
          <w:sz w:val="32"/>
        </w:rPr>
        <w:t>茅台</w:t>
      </w:r>
      <w:r w:rsidRPr="00156CC8">
        <w:rPr>
          <w:rFonts w:ascii="仿宋_GB2312" w:eastAsia="仿宋_GB2312" w:hint="eastAsia"/>
          <w:sz w:val="32"/>
          <w:szCs w:val="32"/>
        </w:rPr>
        <w:t>发展中的全局性、战略性和前瞻性的重大问题，</w:t>
      </w:r>
      <w:r>
        <w:rPr>
          <w:rFonts w:ascii="仿宋_GB2312" w:eastAsia="仿宋_GB2312" w:hint="eastAsia"/>
          <w:sz w:val="32"/>
          <w:szCs w:val="32"/>
        </w:rPr>
        <w:t>力求具有现实性、针对性和较强的决策参考价值和实践应用价值。</w:t>
      </w:r>
    </w:p>
    <w:p w14:paraId="689673B8" w14:textId="77777777" w:rsidR="00F0670C" w:rsidRPr="00490194" w:rsidRDefault="00F0670C" w:rsidP="00F0670C">
      <w:pPr>
        <w:tabs>
          <w:tab w:val="decimal" w:pos="0"/>
        </w:tabs>
        <w:adjustRightInd w:val="0"/>
        <w:snapToGrid w:val="0"/>
        <w:spacing w:line="576" w:lineRule="exact"/>
        <w:ind w:firstLineChars="200" w:firstLine="640"/>
        <w:rPr>
          <w:rFonts w:ascii="Times New Roman" w:eastAsia="仿宋_GB2312" w:hAnsi="Times New Roman" w:cs="Times New Roman"/>
          <w:sz w:val="32"/>
          <w:szCs w:val="32"/>
        </w:rPr>
      </w:pPr>
      <w:r>
        <w:rPr>
          <w:rFonts w:ascii="仿宋_GB2312" w:eastAsia="仿宋_GB2312" w:hint="eastAsia"/>
          <w:bCs/>
          <w:sz w:val="32"/>
        </w:rPr>
        <w:t>四、申请人须具备下列条件：遵守中华人民共和国宪法和法</w:t>
      </w:r>
      <w:r>
        <w:rPr>
          <w:rFonts w:ascii="仿宋_GB2312" w:eastAsia="仿宋_GB2312" w:hint="eastAsia"/>
          <w:bCs/>
          <w:sz w:val="32"/>
        </w:rPr>
        <w:lastRenderedPageBreak/>
        <w:t>律；</w:t>
      </w:r>
      <w:r w:rsidRPr="00490194">
        <w:rPr>
          <w:rFonts w:ascii="Times New Roman" w:eastAsia="仿宋_GB2312" w:hAnsi="Times New Roman" w:cs="Times New Roman" w:hint="eastAsia"/>
          <w:sz w:val="32"/>
          <w:szCs w:val="32"/>
        </w:rPr>
        <w:t>在相关研究领域和专业方向具备一定的学术地位和优势；具有完成课题的人才条件和相关技术设备；具有与课题相关的研究经历和研究积累；具有完成课题所需的组织管理和协调能力；具有完成课题的良好信誉度。</w:t>
      </w:r>
    </w:p>
    <w:p w14:paraId="6EE23C5F" w14:textId="5A19E701" w:rsidR="00F0670C" w:rsidRDefault="00F0670C" w:rsidP="00F0670C">
      <w:pPr>
        <w:pStyle w:val="a6"/>
        <w:spacing w:line="620" w:lineRule="exact"/>
        <w:ind w:firstLineChars="200" w:firstLine="640"/>
        <w:rPr>
          <w:rFonts w:ascii="仿宋_GB2312" w:eastAsia="仿宋_GB2312"/>
          <w:bCs/>
          <w:sz w:val="32"/>
        </w:rPr>
      </w:pPr>
      <w:r>
        <w:rPr>
          <w:rFonts w:ascii="仿宋_GB2312" w:eastAsia="仿宋_GB2312" w:hint="eastAsia"/>
          <w:bCs/>
          <w:sz w:val="32"/>
        </w:rPr>
        <w:t>五、课题申报须按照《茅台战略研究院课题申报书》（以下简称《申报书》）规范填写。《课题指南》中各课题均为方向性课题，申报可选择不同的研究角度、方法和侧重点，也可对课题</w:t>
      </w:r>
      <w:r w:rsidR="00374DA5">
        <w:rPr>
          <w:rFonts w:ascii="仿宋_GB2312" w:eastAsia="仿宋_GB2312" w:hint="eastAsia"/>
          <w:bCs/>
          <w:sz w:val="32"/>
        </w:rPr>
        <w:t>的文字表述做出适当修改。课题名称的表述要科学严谨、简明规范</w:t>
      </w:r>
      <w:r>
        <w:rPr>
          <w:rFonts w:ascii="仿宋_GB2312" w:eastAsia="仿宋_GB2312" w:hint="eastAsia"/>
          <w:bCs/>
          <w:sz w:val="32"/>
        </w:rPr>
        <w:t>，</w:t>
      </w:r>
      <w:r w:rsidRPr="003F6569">
        <w:rPr>
          <w:rFonts w:ascii="仿宋_GB2312" w:eastAsia="仿宋_GB2312" w:hint="eastAsia"/>
          <w:bCs/>
          <w:sz w:val="32"/>
        </w:rPr>
        <w:t>避免引起歧义或争议。</w:t>
      </w:r>
    </w:p>
    <w:p w14:paraId="7833033E" w14:textId="4C6ACB60" w:rsidR="00F0670C" w:rsidRDefault="00F0670C" w:rsidP="00F0670C">
      <w:pPr>
        <w:pStyle w:val="a6"/>
        <w:spacing w:line="620" w:lineRule="exact"/>
        <w:ind w:firstLineChars="200" w:firstLine="640"/>
        <w:rPr>
          <w:rFonts w:ascii="仿宋_GB2312" w:eastAsia="仿宋_GB2312"/>
          <w:bCs/>
          <w:sz w:val="32"/>
        </w:rPr>
      </w:pPr>
      <w:r>
        <w:rPr>
          <w:rFonts w:ascii="仿宋_GB2312" w:eastAsia="仿宋_GB2312" w:hint="eastAsia"/>
          <w:bCs/>
          <w:sz w:val="32"/>
        </w:rPr>
        <w:t>六、茅台战略研究院课题的经费额度上限为</w:t>
      </w:r>
      <w:r>
        <w:rPr>
          <w:rFonts w:ascii="仿宋_GB2312" w:eastAsia="仿宋_GB2312"/>
          <w:bCs/>
          <w:sz w:val="32"/>
        </w:rPr>
        <w:t>80</w:t>
      </w:r>
      <w:r w:rsidRPr="00BA36AC">
        <w:rPr>
          <w:rFonts w:ascii="仿宋_GB2312" w:eastAsia="仿宋_GB2312" w:hint="eastAsia"/>
          <w:bCs/>
          <w:sz w:val="32"/>
        </w:rPr>
        <w:t>万元</w:t>
      </w:r>
      <w:r>
        <w:rPr>
          <w:rFonts w:ascii="仿宋_GB2312" w:eastAsia="仿宋_GB2312" w:hint="eastAsia"/>
          <w:bCs/>
          <w:sz w:val="32"/>
        </w:rPr>
        <w:t>。申请人根据实际需要编制科学合理的经费预算。</w:t>
      </w:r>
      <w:r w:rsidR="00827240">
        <w:rPr>
          <w:rFonts w:ascii="仿宋_GB2312" w:eastAsia="仿宋_GB2312" w:hint="eastAsia"/>
          <w:bCs/>
          <w:sz w:val="32"/>
        </w:rPr>
        <w:t>课题</w:t>
      </w:r>
      <w:r>
        <w:rPr>
          <w:rFonts w:ascii="仿宋_GB2312" w:eastAsia="仿宋_GB2312" w:hint="eastAsia"/>
          <w:bCs/>
          <w:sz w:val="32"/>
        </w:rPr>
        <w:t>实际经费以申请获批后签订的合同为准。</w:t>
      </w:r>
    </w:p>
    <w:p w14:paraId="58104FBE" w14:textId="037AE329" w:rsidR="00F0670C" w:rsidRDefault="00F0670C" w:rsidP="00F0670C">
      <w:pPr>
        <w:pStyle w:val="a6"/>
        <w:spacing w:line="620" w:lineRule="exact"/>
        <w:ind w:firstLineChars="200" w:firstLine="640"/>
        <w:rPr>
          <w:rFonts w:ascii="仿宋_GB2312" w:eastAsia="仿宋_GB2312"/>
          <w:bCs/>
          <w:sz w:val="32"/>
        </w:rPr>
      </w:pPr>
      <w:r>
        <w:rPr>
          <w:rFonts w:ascii="仿宋_GB2312" w:eastAsia="仿宋_GB2312" w:hint="eastAsia"/>
          <w:bCs/>
          <w:sz w:val="32"/>
        </w:rPr>
        <w:t>七、茅台战略研究院课题的完成时限为</w:t>
      </w:r>
      <w:r w:rsidR="00C55E36">
        <w:rPr>
          <w:rFonts w:ascii="仿宋_GB2312" w:eastAsia="仿宋_GB2312" w:hint="eastAsia"/>
          <w:sz w:val="32"/>
          <w:szCs w:val="32"/>
        </w:rPr>
        <w:t>1年</w:t>
      </w:r>
      <w:r>
        <w:rPr>
          <w:rFonts w:ascii="仿宋_GB2312" w:eastAsia="仿宋_GB2312" w:hint="eastAsia"/>
          <w:bCs/>
          <w:sz w:val="32"/>
        </w:rPr>
        <w:t>。</w:t>
      </w:r>
    </w:p>
    <w:p w14:paraId="04D00D5C" w14:textId="6CB7B276" w:rsidR="00F0670C" w:rsidRPr="001C42C7" w:rsidRDefault="00F0670C" w:rsidP="00F0670C">
      <w:pPr>
        <w:pStyle w:val="a7"/>
        <w:spacing w:line="620" w:lineRule="exact"/>
        <w:ind w:firstLineChars="200" w:firstLine="640"/>
        <w:rPr>
          <w:rFonts w:ascii="仿宋_GB2312" w:eastAsia="仿宋_GB2312"/>
          <w:bCs/>
          <w:i/>
          <w:sz w:val="32"/>
        </w:rPr>
      </w:pPr>
      <w:r>
        <w:rPr>
          <w:rFonts w:ascii="仿宋_GB2312" w:eastAsia="仿宋_GB2312" w:hint="eastAsia"/>
          <w:bCs/>
          <w:sz w:val="32"/>
        </w:rPr>
        <w:t>八</w:t>
      </w:r>
      <w:r>
        <w:rPr>
          <w:rFonts w:ascii="仿宋_GB2312" w:eastAsia="仿宋_GB2312"/>
          <w:bCs/>
          <w:sz w:val="32"/>
        </w:rPr>
        <w:t>、为确保申请人有足够的时间和精力从事课题研究，</w:t>
      </w:r>
      <w:r>
        <w:rPr>
          <w:rFonts w:ascii="仿宋_GB2312" w:eastAsia="仿宋_GB2312" w:hint="eastAsia"/>
          <w:bCs/>
          <w:sz w:val="32"/>
        </w:rPr>
        <w:t>2023年度茅台战略研究院课题</w:t>
      </w:r>
      <w:r>
        <w:rPr>
          <w:rFonts w:ascii="仿宋_GB2312" w:eastAsia="仿宋_GB2312"/>
          <w:bCs/>
          <w:sz w:val="32"/>
        </w:rPr>
        <w:t>申</w:t>
      </w:r>
      <w:r>
        <w:rPr>
          <w:rFonts w:ascii="仿宋_GB2312" w:eastAsia="仿宋_GB2312" w:hint="eastAsia"/>
          <w:bCs/>
          <w:sz w:val="32"/>
        </w:rPr>
        <w:t>报</w:t>
      </w:r>
      <w:r>
        <w:rPr>
          <w:rFonts w:ascii="仿宋_GB2312" w:eastAsia="仿宋_GB2312"/>
          <w:bCs/>
          <w:sz w:val="32"/>
        </w:rPr>
        <w:t>作如下限定：</w:t>
      </w:r>
      <w:r>
        <w:rPr>
          <w:rFonts w:ascii="仿宋_GB2312" w:eastAsia="仿宋_GB2312" w:hint="eastAsia"/>
          <w:bCs/>
          <w:sz w:val="32"/>
        </w:rPr>
        <w:t>申请</w:t>
      </w:r>
      <w:r>
        <w:rPr>
          <w:rFonts w:ascii="仿宋_GB2312" w:eastAsia="仿宋_GB2312"/>
          <w:bCs/>
          <w:sz w:val="32"/>
        </w:rPr>
        <w:t>人同年度只能申报一个</w:t>
      </w:r>
      <w:r w:rsidR="00374DA5">
        <w:rPr>
          <w:rFonts w:ascii="仿宋_GB2312" w:eastAsia="仿宋_GB2312"/>
          <w:bCs/>
          <w:sz w:val="32"/>
        </w:rPr>
        <w:t>茅台</w:t>
      </w:r>
      <w:r>
        <w:rPr>
          <w:rFonts w:ascii="仿宋_GB2312" w:eastAsia="仿宋_GB2312" w:hint="eastAsia"/>
          <w:bCs/>
          <w:sz w:val="32"/>
        </w:rPr>
        <w:t>战略研究院课题</w:t>
      </w:r>
      <w:r>
        <w:rPr>
          <w:rFonts w:ascii="仿宋_GB2312" w:eastAsia="仿宋_GB2312"/>
          <w:bCs/>
          <w:sz w:val="32"/>
        </w:rPr>
        <w:t>，且不能作为课题组成员参与其他</w:t>
      </w:r>
      <w:r w:rsidR="00374DA5">
        <w:rPr>
          <w:rFonts w:ascii="仿宋_GB2312" w:eastAsia="仿宋_GB2312"/>
          <w:bCs/>
          <w:sz w:val="32"/>
        </w:rPr>
        <w:t>茅台</w:t>
      </w:r>
      <w:r>
        <w:rPr>
          <w:rFonts w:ascii="仿宋_GB2312" w:eastAsia="仿宋_GB2312"/>
          <w:bCs/>
          <w:sz w:val="32"/>
        </w:rPr>
        <w:t>战略研究院</w:t>
      </w:r>
      <w:r>
        <w:rPr>
          <w:rFonts w:ascii="仿宋_GB2312" w:eastAsia="仿宋_GB2312" w:hint="eastAsia"/>
          <w:bCs/>
          <w:sz w:val="32"/>
        </w:rPr>
        <w:t>课题</w:t>
      </w:r>
      <w:r>
        <w:rPr>
          <w:rFonts w:ascii="仿宋_GB2312" w:eastAsia="仿宋_GB2312"/>
          <w:bCs/>
          <w:sz w:val="32"/>
        </w:rPr>
        <w:t>的申请；课题组成员同年度最多参与两个</w:t>
      </w:r>
      <w:r w:rsidR="00374DA5">
        <w:rPr>
          <w:rFonts w:ascii="仿宋_GB2312" w:eastAsia="仿宋_GB2312"/>
          <w:bCs/>
          <w:sz w:val="32"/>
        </w:rPr>
        <w:t>茅台</w:t>
      </w:r>
      <w:r>
        <w:rPr>
          <w:rFonts w:ascii="仿宋_GB2312" w:eastAsia="仿宋_GB2312"/>
          <w:bCs/>
          <w:sz w:val="32"/>
        </w:rPr>
        <w:t>战略研究院</w:t>
      </w:r>
      <w:r>
        <w:rPr>
          <w:rFonts w:ascii="仿宋_GB2312" w:eastAsia="仿宋_GB2312" w:hint="eastAsia"/>
          <w:bCs/>
          <w:sz w:val="32"/>
        </w:rPr>
        <w:t>课题</w:t>
      </w:r>
      <w:r>
        <w:rPr>
          <w:rFonts w:ascii="仿宋_GB2312" w:eastAsia="仿宋_GB2312"/>
          <w:bCs/>
          <w:sz w:val="32"/>
        </w:rPr>
        <w:t>申请；</w:t>
      </w:r>
      <w:r>
        <w:rPr>
          <w:rFonts w:ascii="仿宋_GB2312" w:eastAsia="仿宋_GB2312" w:hint="eastAsia"/>
          <w:bCs/>
          <w:sz w:val="32"/>
        </w:rPr>
        <w:t>在</w:t>
      </w:r>
      <w:proofErr w:type="gramStart"/>
      <w:r>
        <w:rPr>
          <w:rFonts w:ascii="仿宋_GB2312" w:eastAsia="仿宋_GB2312" w:hint="eastAsia"/>
          <w:bCs/>
          <w:sz w:val="32"/>
        </w:rPr>
        <w:t>研</w:t>
      </w:r>
      <w:proofErr w:type="gramEnd"/>
      <w:r w:rsidR="00374DA5">
        <w:rPr>
          <w:rFonts w:ascii="仿宋_GB2312" w:eastAsia="仿宋_GB2312" w:hint="eastAsia"/>
          <w:bCs/>
          <w:sz w:val="32"/>
        </w:rPr>
        <w:t>茅台</w:t>
      </w:r>
      <w:r>
        <w:rPr>
          <w:rFonts w:ascii="仿宋_GB2312" w:eastAsia="仿宋_GB2312" w:hint="eastAsia"/>
          <w:bCs/>
          <w:sz w:val="32"/>
        </w:rPr>
        <w:t>战略研究院课题的</w:t>
      </w:r>
      <w:r>
        <w:rPr>
          <w:rFonts w:ascii="仿宋_GB2312" w:eastAsia="仿宋_GB2312"/>
          <w:bCs/>
          <w:sz w:val="32"/>
        </w:rPr>
        <w:t>课题组成员最多参与一个</w:t>
      </w:r>
      <w:r w:rsidR="00374DA5">
        <w:rPr>
          <w:rFonts w:ascii="仿宋_GB2312" w:eastAsia="仿宋_GB2312"/>
          <w:bCs/>
          <w:sz w:val="32"/>
        </w:rPr>
        <w:t>茅台</w:t>
      </w:r>
      <w:r>
        <w:rPr>
          <w:rFonts w:ascii="仿宋_GB2312" w:eastAsia="仿宋_GB2312"/>
          <w:bCs/>
          <w:sz w:val="32"/>
        </w:rPr>
        <w:t>战略研究院</w:t>
      </w:r>
      <w:r>
        <w:rPr>
          <w:rFonts w:ascii="仿宋_GB2312" w:eastAsia="仿宋_GB2312" w:hint="eastAsia"/>
          <w:bCs/>
          <w:sz w:val="32"/>
        </w:rPr>
        <w:t>课题</w:t>
      </w:r>
      <w:r>
        <w:rPr>
          <w:rFonts w:ascii="仿宋_GB2312" w:eastAsia="仿宋_GB2312"/>
          <w:bCs/>
          <w:sz w:val="32"/>
        </w:rPr>
        <w:t>申请。</w:t>
      </w:r>
    </w:p>
    <w:p w14:paraId="3C9D3406" w14:textId="77777777" w:rsidR="00F0670C" w:rsidRDefault="00F0670C" w:rsidP="00F0670C">
      <w:pPr>
        <w:pStyle w:val="a7"/>
        <w:spacing w:line="620" w:lineRule="exact"/>
        <w:rPr>
          <w:rFonts w:ascii="仿宋_GB2312" w:eastAsia="仿宋_GB2312"/>
          <w:bCs/>
          <w:sz w:val="32"/>
        </w:rPr>
      </w:pPr>
      <w:r>
        <w:rPr>
          <w:rFonts w:ascii="仿宋_GB2312" w:eastAsia="仿宋_GB2312" w:hint="eastAsia"/>
          <w:bCs/>
          <w:sz w:val="32"/>
        </w:rPr>
        <w:t>九</w:t>
      </w:r>
      <w:r>
        <w:rPr>
          <w:rFonts w:ascii="仿宋_GB2312" w:eastAsia="仿宋_GB2312"/>
          <w:bCs/>
          <w:sz w:val="32"/>
        </w:rPr>
        <w:t>、</w:t>
      </w:r>
      <w:r>
        <w:rPr>
          <w:rFonts w:ascii="仿宋_GB2312" w:eastAsia="仿宋_GB2312" w:hint="eastAsia"/>
          <w:bCs/>
          <w:sz w:val="32"/>
        </w:rPr>
        <w:t>课题</w:t>
      </w:r>
      <w:r>
        <w:rPr>
          <w:rFonts w:ascii="仿宋_GB2312" w:eastAsia="仿宋_GB2312"/>
          <w:bCs/>
          <w:sz w:val="32"/>
        </w:rPr>
        <w:t>申报须按照《</w:t>
      </w:r>
      <w:r>
        <w:rPr>
          <w:rFonts w:ascii="仿宋_GB2312" w:eastAsia="仿宋_GB2312" w:hint="eastAsia"/>
          <w:bCs/>
          <w:sz w:val="32"/>
        </w:rPr>
        <w:t>申报</w:t>
      </w:r>
      <w:r>
        <w:rPr>
          <w:rFonts w:ascii="仿宋_GB2312" w:eastAsia="仿宋_GB2312"/>
          <w:bCs/>
          <w:sz w:val="32"/>
        </w:rPr>
        <w:t>书》要求，如实填写材料，保证</w:t>
      </w:r>
      <w:r>
        <w:rPr>
          <w:rFonts w:ascii="仿宋_GB2312" w:eastAsia="仿宋_GB2312"/>
          <w:bCs/>
          <w:sz w:val="32"/>
        </w:rPr>
        <w:lastRenderedPageBreak/>
        <w:t>没有知识产权争议</w:t>
      </w:r>
      <w:r>
        <w:rPr>
          <w:rFonts w:ascii="仿宋_GB2312" w:eastAsia="仿宋_GB2312" w:hint="eastAsia"/>
          <w:bCs/>
          <w:sz w:val="32"/>
        </w:rPr>
        <w:t>，没</w:t>
      </w:r>
      <w:r w:rsidRPr="003F6569">
        <w:rPr>
          <w:rFonts w:ascii="仿宋_GB2312" w:eastAsia="仿宋_GB2312" w:hint="eastAsia"/>
          <w:bCs/>
          <w:sz w:val="32"/>
        </w:rPr>
        <w:t>有违背</w:t>
      </w:r>
      <w:r>
        <w:rPr>
          <w:rFonts w:ascii="仿宋_GB2312" w:eastAsia="仿宋_GB2312" w:hint="eastAsia"/>
          <w:bCs/>
          <w:sz w:val="32"/>
        </w:rPr>
        <w:t>科研</w:t>
      </w:r>
      <w:r w:rsidRPr="003F6569">
        <w:rPr>
          <w:rFonts w:ascii="仿宋_GB2312" w:eastAsia="仿宋_GB2312" w:hint="eastAsia"/>
          <w:bCs/>
          <w:sz w:val="32"/>
        </w:rPr>
        <w:t>诚信要求的行为</w:t>
      </w:r>
      <w:r w:rsidRPr="003F6569">
        <w:rPr>
          <w:rFonts w:ascii="仿宋_GB2312" w:eastAsia="仿宋_GB2312"/>
          <w:bCs/>
          <w:sz w:val="32"/>
        </w:rPr>
        <w:t>。</w:t>
      </w:r>
    </w:p>
    <w:p w14:paraId="75E1AD75" w14:textId="77777777" w:rsidR="00F0670C" w:rsidRDefault="00F0670C" w:rsidP="00F0670C">
      <w:pPr>
        <w:pStyle w:val="a7"/>
        <w:spacing w:line="620" w:lineRule="exact"/>
        <w:ind w:firstLine="640"/>
        <w:rPr>
          <w:rFonts w:ascii="仿宋_GB2312" w:eastAsia="仿宋_GB2312"/>
          <w:bCs/>
          <w:sz w:val="32"/>
        </w:rPr>
      </w:pPr>
      <w:r>
        <w:rPr>
          <w:rFonts w:ascii="仿宋_GB2312" w:eastAsia="仿宋_GB2312"/>
          <w:bCs/>
          <w:sz w:val="32"/>
        </w:rPr>
        <w:t>十、申报课题</w:t>
      </w:r>
      <w:r>
        <w:rPr>
          <w:rFonts w:ascii="仿宋_GB2312" w:eastAsia="仿宋_GB2312" w:hint="eastAsia"/>
          <w:bCs/>
          <w:sz w:val="32"/>
        </w:rPr>
        <w:t>由茅台战略研究院组织专家</w:t>
      </w:r>
      <w:r>
        <w:rPr>
          <w:rFonts w:ascii="仿宋_GB2312" w:eastAsia="仿宋_GB2312"/>
          <w:bCs/>
          <w:sz w:val="32"/>
        </w:rPr>
        <w:t>初评，初评采用匿名方式，</w:t>
      </w:r>
      <w:r>
        <w:rPr>
          <w:rFonts w:ascii="仿宋_GB2312" w:eastAsia="仿宋_GB2312" w:hint="eastAsia"/>
          <w:bCs/>
          <w:sz w:val="32"/>
        </w:rPr>
        <w:t>课题</w:t>
      </w:r>
      <w:r>
        <w:rPr>
          <w:rFonts w:ascii="仿宋_GB2312" w:eastAsia="仿宋_GB2312"/>
          <w:bCs/>
          <w:sz w:val="32"/>
        </w:rPr>
        <w:t>论证</w:t>
      </w:r>
      <w:r>
        <w:rPr>
          <w:rFonts w:ascii="仿宋_GB2312" w:eastAsia="仿宋_GB2312" w:hint="eastAsia"/>
          <w:bCs/>
          <w:sz w:val="32"/>
        </w:rPr>
        <w:t>部分</w:t>
      </w:r>
      <w:r>
        <w:rPr>
          <w:rFonts w:ascii="仿宋_GB2312" w:eastAsia="仿宋_GB2312"/>
          <w:bCs/>
          <w:sz w:val="32"/>
        </w:rPr>
        <w:t>字数不超过</w:t>
      </w:r>
      <w:r>
        <w:rPr>
          <w:rFonts w:ascii="仿宋_GB2312" w:eastAsia="仿宋_GB2312" w:hint="eastAsia"/>
          <w:bCs/>
          <w:sz w:val="32"/>
        </w:rPr>
        <w:t>7000</w:t>
      </w:r>
      <w:r>
        <w:rPr>
          <w:rFonts w:ascii="仿宋_GB2312" w:eastAsia="仿宋_GB2312"/>
          <w:bCs/>
          <w:sz w:val="32"/>
        </w:rPr>
        <w:t>字</w:t>
      </w:r>
      <w:r>
        <w:rPr>
          <w:rFonts w:ascii="仿宋_GB2312" w:eastAsia="仿宋_GB2312" w:hint="eastAsia"/>
          <w:bCs/>
          <w:sz w:val="32"/>
        </w:rPr>
        <w:t>。</w:t>
      </w:r>
    </w:p>
    <w:p w14:paraId="6DC85531" w14:textId="77777777" w:rsidR="00F0670C" w:rsidRDefault="00F0670C" w:rsidP="00F0670C">
      <w:pPr>
        <w:pStyle w:val="a6"/>
        <w:spacing w:line="620" w:lineRule="exact"/>
        <w:ind w:firstLineChars="200" w:firstLine="640"/>
        <w:rPr>
          <w:rFonts w:ascii="仿宋_GB2312" w:eastAsia="仿宋_GB2312"/>
          <w:bCs/>
          <w:sz w:val="32"/>
        </w:rPr>
      </w:pPr>
      <w:r>
        <w:rPr>
          <w:rFonts w:ascii="仿宋_GB2312" w:eastAsia="仿宋_GB2312" w:hint="eastAsia"/>
          <w:bCs/>
          <w:sz w:val="32"/>
        </w:rPr>
        <w:t>十一、获准立项后，课题负责人在项目执行期间要遵守相关承诺，履行约定义务，按期完成研究任务，</w:t>
      </w:r>
      <w:proofErr w:type="gramStart"/>
      <w:r w:rsidRPr="003F6569">
        <w:rPr>
          <w:rFonts w:ascii="仿宋_GB2312" w:eastAsia="仿宋_GB2312" w:hint="eastAsia"/>
          <w:bCs/>
          <w:sz w:val="32"/>
        </w:rPr>
        <w:t>结项成果</w:t>
      </w:r>
      <w:proofErr w:type="gramEnd"/>
      <w:r w:rsidRPr="003F6569">
        <w:rPr>
          <w:rFonts w:ascii="仿宋_GB2312" w:eastAsia="仿宋_GB2312" w:hint="eastAsia"/>
          <w:bCs/>
          <w:sz w:val="32"/>
        </w:rPr>
        <w:t>形式原则上须与预期成果一致；</w:t>
      </w:r>
      <w:r>
        <w:rPr>
          <w:rFonts w:ascii="仿宋_GB2312" w:eastAsia="仿宋_GB2312" w:hint="eastAsia"/>
          <w:bCs/>
          <w:sz w:val="32"/>
        </w:rPr>
        <w:t>获准立项的《申报书》视为具有约束力的合作合同文本。最终成果实行匿名通讯鉴定。除特殊情况外，最终研究成果须由茅台战略研究院鉴定、发布，擅自发布者视为自行终止合作协议。</w:t>
      </w:r>
    </w:p>
    <w:p w14:paraId="39792406" w14:textId="77777777" w:rsidR="00F0670C" w:rsidRDefault="00F0670C" w:rsidP="00F0670C">
      <w:pPr>
        <w:pStyle w:val="a7"/>
        <w:spacing w:line="620" w:lineRule="exact"/>
        <w:rPr>
          <w:rFonts w:ascii="仿宋_GB2312" w:eastAsia="仿宋_GB2312"/>
          <w:bCs/>
          <w:sz w:val="32"/>
          <w:szCs w:val="20"/>
        </w:rPr>
      </w:pPr>
      <w:r>
        <w:rPr>
          <w:rFonts w:ascii="仿宋_GB2312" w:eastAsia="仿宋_GB2312" w:cs="Courier New"/>
          <w:bCs/>
          <w:sz w:val="32"/>
          <w:szCs w:val="21"/>
        </w:rPr>
        <w:t>十</w:t>
      </w:r>
      <w:r>
        <w:rPr>
          <w:rFonts w:ascii="仿宋_GB2312" w:eastAsia="仿宋_GB2312" w:cs="Courier New" w:hint="eastAsia"/>
          <w:bCs/>
          <w:sz w:val="32"/>
          <w:szCs w:val="21"/>
        </w:rPr>
        <w:t>二</w:t>
      </w:r>
      <w:r>
        <w:rPr>
          <w:rFonts w:ascii="仿宋_GB2312" w:eastAsia="仿宋_GB2312" w:cs="Courier New"/>
          <w:bCs/>
          <w:sz w:val="32"/>
          <w:szCs w:val="21"/>
        </w:rPr>
        <w:t>、</w:t>
      </w:r>
      <w:r>
        <w:rPr>
          <w:rFonts w:ascii="仿宋_GB2312" w:eastAsia="仿宋_GB2312" w:cs="Courier New" w:hint="eastAsia"/>
          <w:bCs/>
          <w:sz w:val="32"/>
          <w:szCs w:val="21"/>
        </w:rPr>
        <w:t>课题</w:t>
      </w:r>
      <w:r>
        <w:rPr>
          <w:rFonts w:ascii="仿宋_GB2312" w:eastAsia="仿宋_GB2312" w:cs="Courier New"/>
          <w:bCs/>
          <w:sz w:val="32"/>
          <w:szCs w:val="21"/>
        </w:rPr>
        <w:t>申报材料从</w:t>
      </w:r>
      <w:r>
        <w:rPr>
          <w:rFonts w:ascii="仿宋_GB2312" w:eastAsia="仿宋_GB2312" w:cs="Courier New" w:hint="eastAsia"/>
          <w:bCs/>
          <w:sz w:val="32"/>
          <w:szCs w:val="21"/>
        </w:rPr>
        <w:t>茅台</w:t>
      </w:r>
      <w:proofErr w:type="gramStart"/>
      <w:r>
        <w:rPr>
          <w:rFonts w:ascii="仿宋_GB2312" w:eastAsia="仿宋_GB2312" w:cs="Courier New" w:hint="eastAsia"/>
          <w:bCs/>
          <w:sz w:val="32"/>
          <w:szCs w:val="21"/>
        </w:rPr>
        <w:t>集团官网</w:t>
      </w:r>
      <w:r>
        <w:rPr>
          <w:rFonts w:ascii="仿宋_GB2312" w:eastAsia="仿宋_GB2312" w:cs="Courier New"/>
          <w:bCs/>
          <w:sz w:val="32"/>
          <w:szCs w:val="21"/>
        </w:rPr>
        <w:t>下载</w:t>
      </w:r>
      <w:proofErr w:type="gramEnd"/>
      <w:r>
        <w:rPr>
          <w:rFonts w:ascii="仿宋_GB2312" w:eastAsia="仿宋_GB2312" w:cs="Courier New" w:hint="eastAsia"/>
          <w:bCs/>
          <w:sz w:val="32"/>
          <w:szCs w:val="21"/>
        </w:rPr>
        <w:t>。</w:t>
      </w:r>
    </w:p>
    <w:p w14:paraId="7767D151" w14:textId="6175022E" w:rsidR="00F0670C" w:rsidRDefault="00F0670C" w:rsidP="00F0670C">
      <w:pPr>
        <w:pStyle w:val="a7"/>
        <w:spacing w:line="620" w:lineRule="exact"/>
        <w:rPr>
          <w:rFonts w:ascii="仿宋_GB2312" w:eastAsia="仿宋_GB2312"/>
          <w:bCs/>
          <w:sz w:val="32"/>
          <w:szCs w:val="20"/>
        </w:rPr>
      </w:pPr>
      <w:r>
        <w:rPr>
          <w:rFonts w:ascii="仿宋_GB2312" w:eastAsia="仿宋_GB2312"/>
          <w:bCs/>
          <w:sz w:val="32"/>
          <w:szCs w:val="20"/>
        </w:rPr>
        <w:t>十</w:t>
      </w:r>
      <w:r>
        <w:rPr>
          <w:rFonts w:ascii="仿宋_GB2312" w:eastAsia="仿宋_GB2312" w:hint="eastAsia"/>
          <w:bCs/>
          <w:sz w:val="32"/>
          <w:szCs w:val="20"/>
        </w:rPr>
        <w:t>三</w:t>
      </w:r>
      <w:r>
        <w:rPr>
          <w:rFonts w:ascii="仿宋_GB2312" w:eastAsia="仿宋_GB2312"/>
          <w:bCs/>
          <w:sz w:val="32"/>
          <w:szCs w:val="20"/>
        </w:rPr>
        <w:t>、</w:t>
      </w:r>
      <w:r>
        <w:rPr>
          <w:rFonts w:ascii="仿宋_GB2312" w:eastAsia="仿宋_GB2312" w:hint="eastAsia"/>
          <w:bCs/>
          <w:sz w:val="32"/>
          <w:szCs w:val="20"/>
        </w:rPr>
        <w:t>课题</w:t>
      </w:r>
      <w:r>
        <w:rPr>
          <w:rFonts w:ascii="仿宋_GB2312" w:eastAsia="仿宋_GB2312"/>
          <w:bCs/>
          <w:sz w:val="32"/>
          <w:szCs w:val="20"/>
        </w:rPr>
        <w:t>申报时间为</w:t>
      </w:r>
      <w:r w:rsidRPr="007C7BA2">
        <w:rPr>
          <w:rFonts w:ascii="黑体" w:eastAsia="黑体" w:hAnsi="黑体"/>
          <w:bCs/>
          <w:sz w:val="32"/>
          <w:szCs w:val="20"/>
        </w:rPr>
        <w:t>20</w:t>
      </w:r>
      <w:r>
        <w:rPr>
          <w:rFonts w:ascii="黑体" w:eastAsia="黑体" w:hAnsi="黑体"/>
          <w:bCs/>
          <w:sz w:val="32"/>
          <w:szCs w:val="20"/>
        </w:rPr>
        <w:t>2</w:t>
      </w:r>
      <w:r>
        <w:rPr>
          <w:rFonts w:ascii="黑体" w:eastAsia="黑体" w:hAnsi="黑体" w:hint="eastAsia"/>
          <w:bCs/>
          <w:sz w:val="32"/>
          <w:szCs w:val="20"/>
        </w:rPr>
        <w:t>3</w:t>
      </w:r>
      <w:r w:rsidRPr="007C7BA2">
        <w:rPr>
          <w:rFonts w:ascii="黑体" w:eastAsia="黑体" w:hAnsi="黑体"/>
          <w:bCs/>
          <w:sz w:val="32"/>
          <w:szCs w:val="20"/>
        </w:rPr>
        <w:t>年</w:t>
      </w:r>
      <w:r>
        <w:rPr>
          <w:rFonts w:ascii="黑体" w:eastAsia="黑体" w:hAnsi="黑体" w:hint="eastAsia"/>
          <w:bCs/>
          <w:sz w:val="32"/>
          <w:szCs w:val="20"/>
        </w:rPr>
        <w:t>6</w:t>
      </w:r>
      <w:r w:rsidRPr="007C7BA2">
        <w:rPr>
          <w:rFonts w:ascii="黑体" w:eastAsia="黑体" w:hAnsi="黑体"/>
          <w:bCs/>
          <w:sz w:val="32"/>
          <w:szCs w:val="20"/>
        </w:rPr>
        <w:t>月</w:t>
      </w:r>
      <w:r w:rsidR="00374DA5">
        <w:rPr>
          <w:rFonts w:ascii="黑体" w:eastAsia="黑体" w:hAnsi="黑体" w:hint="eastAsia"/>
          <w:bCs/>
          <w:sz w:val="32"/>
          <w:szCs w:val="20"/>
        </w:rPr>
        <w:t>8</w:t>
      </w:r>
      <w:r w:rsidRPr="007C7BA2">
        <w:rPr>
          <w:rFonts w:ascii="黑体" w:eastAsia="黑体" w:hAnsi="黑体"/>
          <w:bCs/>
          <w:sz w:val="32"/>
          <w:szCs w:val="20"/>
        </w:rPr>
        <w:t>日至20</w:t>
      </w:r>
      <w:r>
        <w:rPr>
          <w:rFonts w:ascii="黑体" w:eastAsia="黑体" w:hAnsi="黑体" w:hint="eastAsia"/>
          <w:bCs/>
          <w:sz w:val="32"/>
          <w:szCs w:val="20"/>
        </w:rPr>
        <w:t>23</w:t>
      </w:r>
      <w:r w:rsidRPr="007C7BA2">
        <w:rPr>
          <w:rFonts w:ascii="黑体" w:eastAsia="黑体" w:hAnsi="黑体"/>
          <w:bCs/>
          <w:sz w:val="32"/>
          <w:szCs w:val="20"/>
        </w:rPr>
        <w:t>年</w:t>
      </w:r>
      <w:r>
        <w:rPr>
          <w:rFonts w:ascii="黑体" w:eastAsia="黑体" w:hAnsi="黑体" w:hint="eastAsia"/>
          <w:bCs/>
          <w:sz w:val="32"/>
          <w:szCs w:val="20"/>
        </w:rPr>
        <w:t>7</w:t>
      </w:r>
      <w:r w:rsidRPr="007C7BA2">
        <w:rPr>
          <w:rFonts w:ascii="黑体" w:eastAsia="黑体" w:hAnsi="黑体"/>
          <w:bCs/>
          <w:sz w:val="32"/>
          <w:szCs w:val="20"/>
        </w:rPr>
        <w:t>月</w:t>
      </w:r>
      <w:r w:rsidR="00374DA5">
        <w:rPr>
          <w:rFonts w:ascii="黑体" w:eastAsia="黑体" w:hAnsi="黑体" w:hint="eastAsia"/>
          <w:bCs/>
          <w:sz w:val="32"/>
          <w:szCs w:val="20"/>
        </w:rPr>
        <w:t>20</w:t>
      </w:r>
      <w:r w:rsidRPr="007C7BA2">
        <w:rPr>
          <w:rFonts w:ascii="黑体" w:eastAsia="黑体" w:hAnsi="黑体"/>
          <w:bCs/>
          <w:sz w:val="32"/>
          <w:szCs w:val="20"/>
        </w:rPr>
        <w:t>日。</w:t>
      </w:r>
      <w:r>
        <w:rPr>
          <w:rFonts w:ascii="黑体" w:eastAsia="黑体" w:hAnsi="黑体" w:hint="eastAsia"/>
          <w:bCs/>
          <w:sz w:val="32"/>
          <w:szCs w:val="20"/>
        </w:rPr>
        <w:t>7</w:t>
      </w:r>
      <w:r w:rsidRPr="00A97735">
        <w:rPr>
          <w:rFonts w:ascii="黑体" w:eastAsia="黑体" w:hAnsi="黑体"/>
          <w:bCs/>
          <w:sz w:val="32"/>
          <w:szCs w:val="20"/>
        </w:rPr>
        <w:t>月</w:t>
      </w:r>
      <w:r w:rsidR="00374DA5">
        <w:rPr>
          <w:rFonts w:ascii="黑体" w:eastAsia="黑体" w:hAnsi="黑体" w:hint="eastAsia"/>
          <w:bCs/>
          <w:sz w:val="32"/>
          <w:szCs w:val="20"/>
        </w:rPr>
        <w:t>20</w:t>
      </w:r>
      <w:r w:rsidRPr="00A97735">
        <w:rPr>
          <w:rFonts w:ascii="黑体" w:eastAsia="黑体" w:hAnsi="黑体"/>
          <w:bCs/>
          <w:sz w:val="32"/>
          <w:szCs w:val="20"/>
        </w:rPr>
        <w:t>日前</w:t>
      </w:r>
      <w:r>
        <w:rPr>
          <w:rFonts w:ascii="仿宋_GB2312" w:eastAsia="仿宋_GB2312"/>
          <w:bCs/>
          <w:sz w:val="32"/>
          <w:szCs w:val="20"/>
        </w:rPr>
        <w:t>将纸质版《</w:t>
      </w:r>
      <w:r>
        <w:rPr>
          <w:rFonts w:ascii="仿宋_GB2312" w:eastAsia="仿宋_GB2312" w:hint="eastAsia"/>
          <w:bCs/>
          <w:sz w:val="32"/>
          <w:szCs w:val="20"/>
        </w:rPr>
        <w:t>申报</w:t>
      </w:r>
      <w:r>
        <w:rPr>
          <w:rFonts w:ascii="仿宋_GB2312" w:eastAsia="仿宋_GB2312"/>
          <w:bCs/>
          <w:sz w:val="32"/>
          <w:szCs w:val="20"/>
        </w:rPr>
        <w:t>书》</w:t>
      </w:r>
      <w:r>
        <w:rPr>
          <w:rFonts w:ascii="仿宋_GB2312" w:eastAsia="仿宋_GB2312" w:hint="eastAsia"/>
          <w:bCs/>
          <w:sz w:val="32"/>
          <w:szCs w:val="20"/>
        </w:rPr>
        <w:t>（单位审查盖章版本，一式3份）</w:t>
      </w:r>
      <w:r>
        <w:rPr>
          <w:rFonts w:ascii="仿宋_GB2312" w:eastAsia="仿宋_GB2312"/>
          <w:bCs/>
          <w:sz w:val="32"/>
          <w:szCs w:val="20"/>
        </w:rPr>
        <w:t>、电子版</w:t>
      </w:r>
      <w:r>
        <w:rPr>
          <w:rFonts w:ascii="仿宋_GB2312" w:eastAsia="仿宋_GB2312"/>
          <w:bCs/>
          <w:sz w:val="32"/>
        </w:rPr>
        <w:t>《</w:t>
      </w:r>
      <w:r>
        <w:rPr>
          <w:rFonts w:ascii="仿宋_GB2312" w:eastAsia="仿宋_GB2312" w:hint="eastAsia"/>
          <w:bCs/>
          <w:sz w:val="32"/>
        </w:rPr>
        <w:t>申报</w:t>
      </w:r>
      <w:r>
        <w:rPr>
          <w:rFonts w:ascii="仿宋_GB2312" w:eastAsia="仿宋_GB2312"/>
          <w:bCs/>
          <w:sz w:val="32"/>
        </w:rPr>
        <w:t>书》</w:t>
      </w:r>
      <w:r>
        <w:rPr>
          <w:rFonts w:ascii="仿宋_GB2312" w:eastAsia="仿宋_GB2312"/>
          <w:bCs/>
          <w:sz w:val="32"/>
          <w:szCs w:val="20"/>
        </w:rPr>
        <w:t>报送至</w:t>
      </w:r>
      <w:r>
        <w:rPr>
          <w:rFonts w:ascii="仿宋_GB2312" w:eastAsia="仿宋_GB2312" w:hint="eastAsia"/>
          <w:bCs/>
          <w:sz w:val="32"/>
          <w:szCs w:val="20"/>
        </w:rPr>
        <w:t>茅台战略研究院秘书处（邮寄地址：</w:t>
      </w:r>
      <w:r w:rsidRPr="00EF7B76">
        <w:rPr>
          <w:rFonts w:ascii="黑体" w:eastAsia="黑体" w:hAnsi="黑体" w:hint="eastAsia"/>
          <w:bCs/>
          <w:sz w:val="32"/>
          <w:szCs w:val="20"/>
        </w:rPr>
        <w:t>贵州省仁怀市鲁班大道茅台学院茅台战略研究院秘书处</w:t>
      </w:r>
      <w:r>
        <w:rPr>
          <w:rFonts w:ascii="黑体" w:eastAsia="黑体" w:hAnsi="黑体" w:hint="eastAsia"/>
          <w:bCs/>
          <w:sz w:val="32"/>
          <w:szCs w:val="20"/>
        </w:rPr>
        <w:t>饶小红</w:t>
      </w:r>
      <w:r w:rsidRPr="00EF7B76">
        <w:rPr>
          <w:rFonts w:ascii="黑体" w:eastAsia="黑体" w:hAnsi="黑体" w:hint="eastAsia"/>
          <w:bCs/>
          <w:sz w:val="32"/>
          <w:szCs w:val="20"/>
        </w:rPr>
        <w:t>收，联系电话：</w:t>
      </w:r>
      <w:r>
        <w:rPr>
          <w:rFonts w:ascii="黑体" w:eastAsia="黑体" w:hAnsi="黑体" w:hint="eastAsia"/>
          <w:bCs/>
          <w:sz w:val="32"/>
          <w:szCs w:val="20"/>
        </w:rPr>
        <w:t>15208642008</w:t>
      </w:r>
      <w:r w:rsidRPr="00EF7B76">
        <w:rPr>
          <w:rFonts w:ascii="黑体" w:eastAsia="黑体" w:hAnsi="黑体" w:hint="eastAsia"/>
          <w:bCs/>
          <w:sz w:val="32"/>
          <w:szCs w:val="20"/>
        </w:rPr>
        <w:t>，电子邮箱：</w:t>
      </w:r>
      <w:r>
        <w:rPr>
          <w:rFonts w:ascii="仿宋_GB2312" w:eastAsia="仿宋_GB2312" w:hint="eastAsia"/>
          <w:bCs/>
          <w:sz w:val="32"/>
          <w:szCs w:val="20"/>
        </w:rPr>
        <w:t>raoxiaohong</w:t>
      </w:r>
      <w:r>
        <w:rPr>
          <w:rFonts w:ascii="仿宋_GB2312" w:eastAsia="仿宋_GB2312"/>
          <w:bCs/>
          <w:sz w:val="32"/>
          <w:szCs w:val="20"/>
        </w:rPr>
        <w:t>@mtxy.edu.cn</w:t>
      </w:r>
      <w:r>
        <w:rPr>
          <w:rFonts w:ascii="仿宋_GB2312" w:eastAsia="仿宋_GB2312" w:hint="eastAsia"/>
          <w:bCs/>
          <w:sz w:val="32"/>
          <w:szCs w:val="20"/>
        </w:rPr>
        <w:t>）</w:t>
      </w:r>
      <w:r>
        <w:rPr>
          <w:rFonts w:ascii="仿宋_GB2312" w:eastAsia="仿宋_GB2312"/>
          <w:bCs/>
          <w:sz w:val="32"/>
          <w:szCs w:val="20"/>
        </w:rPr>
        <w:t>，逾期</w:t>
      </w:r>
      <w:r>
        <w:rPr>
          <w:rFonts w:ascii="仿宋_GB2312" w:eastAsia="仿宋_GB2312" w:hint="eastAsia"/>
          <w:bCs/>
          <w:sz w:val="32"/>
          <w:szCs w:val="20"/>
        </w:rPr>
        <w:t>不再</w:t>
      </w:r>
      <w:r>
        <w:rPr>
          <w:rFonts w:ascii="仿宋_GB2312" w:eastAsia="仿宋_GB2312"/>
          <w:bCs/>
          <w:sz w:val="32"/>
          <w:szCs w:val="20"/>
        </w:rPr>
        <w:t>受理申报。</w:t>
      </w:r>
    </w:p>
    <w:p w14:paraId="4CA340B0" w14:textId="2DF5762E" w:rsidR="004C3A32" w:rsidRPr="00F0670C" w:rsidRDefault="004C3A32" w:rsidP="007B0CDD">
      <w:pPr>
        <w:pStyle w:val="a7"/>
        <w:spacing w:line="620" w:lineRule="exact"/>
        <w:rPr>
          <w:rFonts w:ascii="仿宋_GB2312" w:eastAsia="仿宋_GB2312"/>
          <w:bCs/>
          <w:sz w:val="32"/>
          <w:szCs w:val="20"/>
        </w:rPr>
      </w:pPr>
    </w:p>
    <w:p w14:paraId="3CC39F2C" w14:textId="37BE3A5E" w:rsidR="004C3A32" w:rsidRPr="00AF31DE" w:rsidRDefault="004C3A32" w:rsidP="009D3A57">
      <w:pPr>
        <w:pStyle w:val="a7"/>
        <w:rPr>
          <w:rFonts w:ascii="仿宋_GB2312" w:eastAsia="仿宋_GB2312"/>
          <w:bCs/>
          <w:sz w:val="32"/>
          <w:szCs w:val="20"/>
        </w:rPr>
      </w:pPr>
    </w:p>
    <w:p w14:paraId="17D20AC2" w14:textId="77777777" w:rsidR="004C3A32" w:rsidRPr="00667C6B" w:rsidRDefault="004C3A32" w:rsidP="009D3A57">
      <w:pPr>
        <w:pStyle w:val="a7"/>
        <w:rPr>
          <w:rFonts w:ascii="仿宋_GB2312" w:eastAsia="仿宋_GB2312"/>
          <w:bCs/>
          <w:sz w:val="32"/>
          <w:szCs w:val="20"/>
        </w:rPr>
      </w:pPr>
    </w:p>
    <w:p w14:paraId="68AE147C" w14:textId="77777777" w:rsidR="000E51AF" w:rsidRDefault="000E51AF" w:rsidP="009D3A57">
      <w:pPr>
        <w:pStyle w:val="a7"/>
        <w:rPr>
          <w:rFonts w:ascii="仿宋_GB2312" w:eastAsia="仿宋_GB2312"/>
          <w:bCs/>
          <w:sz w:val="32"/>
          <w:szCs w:val="20"/>
        </w:rPr>
      </w:pPr>
    </w:p>
    <w:p w14:paraId="706EC2A7" w14:textId="77777777" w:rsidR="00DD5699" w:rsidRPr="00DD5699" w:rsidRDefault="00DD5699" w:rsidP="00DD5699">
      <w:pPr>
        <w:spacing w:line="620" w:lineRule="exact"/>
        <w:outlineLvl w:val="0"/>
        <w:rPr>
          <w:rFonts w:ascii="黑体" w:eastAsia="黑体" w:hAnsi="黑体" w:cs="Times New Roman"/>
          <w:sz w:val="32"/>
          <w:szCs w:val="32"/>
        </w:rPr>
      </w:pPr>
      <w:r w:rsidRPr="00DD5699">
        <w:rPr>
          <w:rFonts w:ascii="黑体" w:eastAsia="黑体" w:hAnsi="黑体" w:cs="Times New Roman" w:hint="eastAsia"/>
          <w:sz w:val="32"/>
          <w:szCs w:val="32"/>
        </w:rPr>
        <w:lastRenderedPageBreak/>
        <w:t>一、</w:t>
      </w:r>
      <w:proofErr w:type="gramStart"/>
      <w:r w:rsidRPr="00DD5699">
        <w:rPr>
          <w:rFonts w:ascii="黑体" w:eastAsia="黑体" w:hAnsi="黑体" w:cs="Times New Roman" w:hint="eastAsia"/>
          <w:sz w:val="32"/>
          <w:szCs w:val="32"/>
        </w:rPr>
        <w:t>茅台种</w:t>
      </w:r>
      <w:proofErr w:type="gramEnd"/>
      <w:r w:rsidRPr="00DD5699">
        <w:rPr>
          <w:rFonts w:ascii="黑体" w:eastAsia="黑体" w:hAnsi="黑体" w:cs="Times New Roman" w:hint="eastAsia"/>
          <w:sz w:val="32"/>
          <w:szCs w:val="32"/>
        </w:rPr>
        <w:t>业发展战略及实施路径研究</w:t>
      </w:r>
    </w:p>
    <w:p w14:paraId="642E7734" w14:textId="77777777" w:rsidR="00DD5699" w:rsidRPr="00DD5699" w:rsidRDefault="00DD5699" w:rsidP="00DD5699">
      <w:pPr>
        <w:overflowPunct w:val="0"/>
        <w:spacing w:line="620" w:lineRule="exact"/>
        <w:ind w:firstLine="640"/>
        <w:rPr>
          <w:rFonts w:ascii="仿宋_GB2312" w:eastAsia="仿宋_GB2312" w:hAnsi="仿宋_GB2312" w:cs="仿宋_GB2312"/>
          <w:sz w:val="32"/>
          <w:szCs w:val="32"/>
        </w:rPr>
      </w:pPr>
      <w:r w:rsidRPr="00DD5699">
        <w:rPr>
          <w:rFonts w:ascii="仿宋_GB2312" w:eastAsia="仿宋_GB2312" w:hAnsi="仿宋_GB2312" w:cs="仿宋_GB2312" w:hint="eastAsia"/>
          <w:sz w:val="32"/>
          <w:szCs w:val="32"/>
        </w:rPr>
        <w:t>良种才能出好粮，好</w:t>
      </w:r>
      <w:proofErr w:type="gramStart"/>
      <w:r w:rsidRPr="00DD5699">
        <w:rPr>
          <w:rFonts w:ascii="仿宋_GB2312" w:eastAsia="仿宋_GB2312" w:hAnsi="仿宋_GB2312" w:cs="仿宋_GB2312" w:hint="eastAsia"/>
          <w:sz w:val="32"/>
          <w:szCs w:val="32"/>
        </w:rPr>
        <w:t>粮才能酿</w:t>
      </w:r>
      <w:proofErr w:type="gramEnd"/>
      <w:r w:rsidRPr="00DD5699">
        <w:rPr>
          <w:rFonts w:ascii="仿宋_GB2312" w:eastAsia="仿宋_GB2312" w:hAnsi="仿宋_GB2312" w:cs="仿宋_GB2312" w:hint="eastAsia"/>
          <w:sz w:val="32"/>
          <w:szCs w:val="32"/>
        </w:rPr>
        <w:t>美酒。发展以高粱、小麦种业为主的农业科技产业，是茅台高质量发展的基础和储备战略资源、保障茅台酒品质源头的内在需要。茅台集团如何聚焦高粱和小麦开展种质创新、新品种选育、种业服务等工作，确保茅台酒永不变味？</w:t>
      </w:r>
    </w:p>
    <w:p w14:paraId="659FED84" w14:textId="77777777" w:rsidR="00DD5699" w:rsidRPr="00DD5699" w:rsidRDefault="00DD5699" w:rsidP="00DD5699">
      <w:pPr>
        <w:spacing w:after="120" w:line="620" w:lineRule="exact"/>
        <w:ind w:leftChars="200" w:left="420" w:firstLineChars="200" w:firstLine="420"/>
        <w:rPr>
          <w:rFonts w:ascii="Calibri" w:eastAsia="宋体" w:hAnsi="Calibri" w:cs="Times New Roman"/>
          <w:szCs w:val="22"/>
        </w:rPr>
      </w:pPr>
    </w:p>
    <w:p w14:paraId="4367C2CF" w14:textId="77777777" w:rsidR="00DD5699" w:rsidRPr="00DD5699" w:rsidRDefault="00DD5699" w:rsidP="00DD5699">
      <w:pPr>
        <w:spacing w:line="620" w:lineRule="exact"/>
        <w:outlineLvl w:val="0"/>
        <w:rPr>
          <w:rFonts w:ascii="黑体" w:eastAsia="黑体" w:hAnsi="黑体" w:cs="Times New Roman"/>
          <w:sz w:val="32"/>
          <w:szCs w:val="32"/>
        </w:rPr>
      </w:pPr>
      <w:r w:rsidRPr="00DD5699">
        <w:rPr>
          <w:rFonts w:ascii="黑体" w:eastAsia="黑体" w:hAnsi="黑体" w:cs="Times New Roman" w:hint="eastAsia"/>
          <w:sz w:val="32"/>
          <w:szCs w:val="32"/>
        </w:rPr>
        <w:t>二、茅台集团生物经济发展战略及实施路径研究</w:t>
      </w:r>
    </w:p>
    <w:p w14:paraId="7EA96194" w14:textId="77777777" w:rsidR="00DD5699" w:rsidRPr="00DD5699" w:rsidRDefault="00DD5699" w:rsidP="00DD5699">
      <w:pPr>
        <w:overflowPunct w:val="0"/>
        <w:spacing w:line="620" w:lineRule="exact"/>
        <w:ind w:firstLineChars="200" w:firstLine="640"/>
        <w:rPr>
          <w:rFonts w:ascii="仿宋_GB2312" w:eastAsia="仿宋_GB2312" w:hAnsi="仿宋_GB2312" w:cs="仿宋_GB2312"/>
          <w:sz w:val="32"/>
          <w:szCs w:val="32"/>
        </w:rPr>
      </w:pPr>
      <w:r w:rsidRPr="00DD5699">
        <w:rPr>
          <w:rFonts w:ascii="仿宋_GB2312" w:eastAsia="仿宋_GB2312" w:hAnsi="仿宋_GB2312" w:cs="仿宋_GB2312" w:hint="eastAsia"/>
          <w:sz w:val="32"/>
          <w:szCs w:val="32"/>
        </w:rPr>
        <w:t>国家发展改革委《“十四五”生物经济发展规划》指出，发展生物经济是顺应全球生物技术加速演进趋势、实现高水平科技自立自强的重要方向，满足生命健康需求快速增长、满足人民对美好生活向往的重要内容。茅台集团作为对科技创新不懈追求的白酒行业龙头，如何利用茅台微生物研究取得的成果和当前世界前沿生物科技开展价值创造，打造高质量发展新动能？</w:t>
      </w:r>
    </w:p>
    <w:p w14:paraId="43115790" w14:textId="77777777" w:rsidR="00DD5699" w:rsidRPr="00DD5699" w:rsidRDefault="00DD5699" w:rsidP="00DD5699">
      <w:pPr>
        <w:spacing w:after="120" w:line="620" w:lineRule="exact"/>
        <w:ind w:leftChars="200" w:left="420" w:firstLineChars="200" w:firstLine="420"/>
        <w:rPr>
          <w:rFonts w:ascii="Calibri" w:eastAsia="宋体" w:hAnsi="Calibri" w:cs="Times New Roman"/>
          <w:szCs w:val="22"/>
        </w:rPr>
      </w:pPr>
    </w:p>
    <w:p w14:paraId="0B58FF44" w14:textId="77777777" w:rsidR="00DD5699" w:rsidRPr="00DD5699" w:rsidRDefault="00DD5699" w:rsidP="00DD5699">
      <w:pPr>
        <w:spacing w:line="620" w:lineRule="exact"/>
        <w:outlineLvl w:val="0"/>
        <w:rPr>
          <w:rFonts w:ascii="黑体" w:eastAsia="黑体" w:hAnsi="黑体" w:cs="Times New Roman"/>
          <w:sz w:val="32"/>
          <w:szCs w:val="32"/>
        </w:rPr>
      </w:pPr>
      <w:r w:rsidRPr="00DD5699">
        <w:rPr>
          <w:rFonts w:ascii="黑体" w:eastAsia="黑体" w:hAnsi="黑体" w:cs="Times New Roman" w:hint="eastAsia"/>
          <w:sz w:val="32"/>
          <w:szCs w:val="32"/>
        </w:rPr>
        <w:t>三、茅台集团国际化战略及实施路径研究</w:t>
      </w:r>
    </w:p>
    <w:p w14:paraId="70457FE8" w14:textId="77777777" w:rsidR="00DD5699" w:rsidRPr="00DD5699" w:rsidRDefault="00DD5699" w:rsidP="00DD5699">
      <w:pPr>
        <w:spacing w:line="620" w:lineRule="exact"/>
        <w:ind w:firstLineChars="200" w:firstLine="640"/>
        <w:rPr>
          <w:rFonts w:ascii="仿宋_GB2312" w:eastAsia="仿宋_GB2312" w:hAnsi="仿宋_GB2312" w:cs="仿宋_GB2312"/>
          <w:sz w:val="32"/>
          <w:szCs w:val="32"/>
        </w:rPr>
      </w:pPr>
      <w:r w:rsidRPr="00DD5699">
        <w:rPr>
          <w:rFonts w:ascii="仿宋_GB2312" w:eastAsia="仿宋_GB2312" w:hAnsi="仿宋_GB2312" w:cs="仿宋_GB2312" w:hint="eastAsia"/>
          <w:sz w:val="32"/>
          <w:szCs w:val="32"/>
        </w:rPr>
        <w:t>随着经济全球化的发展，茅台集团坚持“市场化、法治化、全球化”的发展方向，如何坚定不移走“立足国内、拓展国际”的国际化战略，如何设置总部，如何打造价值型总部？战略资源如何去匹配？如何确定产品、价格、渠道策略？如何做好品牌文</w:t>
      </w:r>
      <w:r w:rsidRPr="00DD5699">
        <w:rPr>
          <w:rFonts w:ascii="仿宋_GB2312" w:eastAsia="仿宋_GB2312" w:hAnsi="仿宋_GB2312" w:cs="仿宋_GB2312" w:hint="eastAsia"/>
          <w:sz w:val="32"/>
          <w:szCs w:val="32"/>
        </w:rPr>
        <w:lastRenderedPageBreak/>
        <w:t>化传播？如何更好地</w:t>
      </w:r>
      <w:r w:rsidRPr="00DD5699">
        <w:rPr>
          <w:rFonts w:ascii="仿宋_GB2312" w:eastAsia="仿宋_GB2312" w:hAnsi="仿宋_GB2312" w:cs="仿宋_GB2312"/>
          <w:sz w:val="32"/>
          <w:szCs w:val="32"/>
        </w:rPr>
        <w:t>引领中国白酒走向世界</w:t>
      </w:r>
      <w:r w:rsidRPr="00DD5699">
        <w:rPr>
          <w:rFonts w:ascii="仿宋_GB2312" w:eastAsia="仿宋_GB2312" w:hAnsi="仿宋_GB2312" w:cs="仿宋_GB2312" w:hint="eastAsia"/>
          <w:sz w:val="32"/>
          <w:szCs w:val="32"/>
        </w:rPr>
        <w:t>？</w:t>
      </w:r>
    </w:p>
    <w:p w14:paraId="3548EDEE" w14:textId="77777777" w:rsidR="00DD5699" w:rsidRPr="00DD5699" w:rsidRDefault="00DD5699" w:rsidP="00DD5699">
      <w:pPr>
        <w:spacing w:after="120" w:line="620" w:lineRule="exact"/>
        <w:ind w:leftChars="200" w:left="420" w:firstLineChars="200" w:firstLine="420"/>
        <w:rPr>
          <w:rFonts w:ascii="Calibri" w:eastAsia="宋体" w:hAnsi="Calibri" w:cs="Times New Roman"/>
          <w:szCs w:val="22"/>
        </w:rPr>
      </w:pPr>
    </w:p>
    <w:p w14:paraId="49DC86AC" w14:textId="77777777" w:rsidR="00DD5699" w:rsidRPr="00DD5699" w:rsidRDefault="00DD5699" w:rsidP="00DD5699">
      <w:pPr>
        <w:spacing w:line="620" w:lineRule="exact"/>
        <w:outlineLvl w:val="0"/>
        <w:rPr>
          <w:rFonts w:ascii="Cambria" w:eastAsia="黑体" w:hAnsi="Cambria" w:cs="宋体"/>
          <w:bCs/>
          <w:sz w:val="24"/>
          <w:szCs w:val="32"/>
        </w:rPr>
      </w:pPr>
      <w:r w:rsidRPr="00DD5699">
        <w:rPr>
          <w:rFonts w:ascii="黑体" w:eastAsia="黑体" w:hAnsi="黑体" w:cs="Times New Roman" w:hint="eastAsia"/>
          <w:sz w:val="32"/>
          <w:szCs w:val="32"/>
        </w:rPr>
        <w:t>四、茅台集团三大主业战略协同力提升及实施路径研究</w:t>
      </w:r>
    </w:p>
    <w:p w14:paraId="2C274BB4" w14:textId="77777777" w:rsidR="00DD5699" w:rsidRPr="00DD5699" w:rsidRDefault="00DD5699" w:rsidP="00DD5699">
      <w:pPr>
        <w:overflowPunct w:val="0"/>
        <w:spacing w:line="620" w:lineRule="exact"/>
        <w:ind w:firstLineChars="200" w:firstLine="640"/>
        <w:rPr>
          <w:rFonts w:ascii="仿宋_GB2312" w:eastAsia="仿宋_GB2312" w:hAnsi="仿宋_GB2312" w:cs="仿宋_GB2312"/>
          <w:sz w:val="32"/>
          <w:szCs w:val="32"/>
        </w:rPr>
      </w:pPr>
      <w:r w:rsidRPr="00DD5699">
        <w:rPr>
          <w:rFonts w:ascii="仿宋_GB2312" w:eastAsia="仿宋_GB2312" w:hAnsi="仿宋_GB2312" w:cs="仿宋_GB2312" w:hint="eastAsia"/>
          <w:sz w:val="32"/>
          <w:szCs w:val="32"/>
        </w:rPr>
        <w:t>茅台集团“酒、酒文旅、综合金融”三大主业协同发展，战略协同力提升至关重要。聚焦三大主业，茅台集团如何加强战略统筹，促进产业协同，推动企业高质量发展、现代化建设？</w:t>
      </w:r>
    </w:p>
    <w:p w14:paraId="7A8FFC59" w14:textId="77777777" w:rsidR="00DD5699" w:rsidRPr="00DD5699" w:rsidRDefault="00DD5699" w:rsidP="00DD5699">
      <w:pPr>
        <w:spacing w:after="120" w:line="620" w:lineRule="exact"/>
        <w:ind w:leftChars="200" w:left="420" w:firstLineChars="200" w:firstLine="420"/>
        <w:rPr>
          <w:rFonts w:ascii="Calibri" w:eastAsia="宋体" w:hAnsi="Calibri" w:cs="Times New Roman"/>
          <w:szCs w:val="22"/>
        </w:rPr>
      </w:pPr>
    </w:p>
    <w:p w14:paraId="00D0D8DF" w14:textId="77777777" w:rsidR="00DD5699" w:rsidRPr="00DD5699" w:rsidRDefault="00DD5699" w:rsidP="00DD5699">
      <w:pPr>
        <w:spacing w:line="620" w:lineRule="exact"/>
        <w:outlineLvl w:val="0"/>
        <w:rPr>
          <w:rFonts w:ascii="黑体" w:eastAsia="黑体" w:hAnsi="黑体" w:cs="Times New Roman"/>
          <w:sz w:val="32"/>
          <w:szCs w:val="32"/>
        </w:rPr>
      </w:pPr>
      <w:r w:rsidRPr="00DD5699">
        <w:rPr>
          <w:rFonts w:ascii="黑体" w:eastAsia="黑体" w:hAnsi="黑体" w:cs="Times New Roman" w:hint="eastAsia"/>
          <w:sz w:val="32"/>
          <w:szCs w:val="32"/>
        </w:rPr>
        <w:t xml:space="preserve">五、茅台美学战略分解及实施路径研究 </w:t>
      </w:r>
    </w:p>
    <w:p w14:paraId="671CA446" w14:textId="77777777" w:rsidR="00DD5699" w:rsidRPr="00DD5699" w:rsidRDefault="00DD5699" w:rsidP="00DD5699">
      <w:pPr>
        <w:widowControl/>
        <w:spacing w:line="620" w:lineRule="exact"/>
        <w:ind w:firstLineChars="200" w:firstLine="640"/>
        <w:rPr>
          <w:rFonts w:ascii="仿宋_GB2312" w:eastAsia="仿宋_GB2312" w:hAnsi="宋体" w:cs="仿宋_GB2312"/>
          <w:kern w:val="0"/>
          <w:sz w:val="31"/>
          <w:szCs w:val="31"/>
        </w:rPr>
      </w:pPr>
      <w:r w:rsidRPr="00DD5699">
        <w:rPr>
          <w:rFonts w:ascii="仿宋_GB2312" w:eastAsia="仿宋_GB2312" w:hAnsi="仿宋_GB2312" w:cs="仿宋_GB2312" w:hint="eastAsia"/>
          <w:sz w:val="32"/>
          <w:szCs w:val="32"/>
        </w:rPr>
        <w:t>2022年，茅台集团在行业率先提出“美”时代命题，经过发展，茅台“美学”的内涵和意义得到不断深化和丰富，形成了茅台美学理论。</w:t>
      </w:r>
      <w:r w:rsidRPr="00DD5699">
        <w:rPr>
          <w:rFonts w:ascii="仿宋_GB2312" w:eastAsia="仿宋_GB2312" w:hAnsi="宋体" w:cs="仿宋_GB2312" w:hint="eastAsia"/>
          <w:kern w:val="0"/>
          <w:sz w:val="31"/>
          <w:szCs w:val="31"/>
        </w:rPr>
        <w:t>茅台美学如何从战略到应用层面转化，从理论到实践，更好展现营销之美、生活之美、产品之美、服务之美？并与其他白酒企业“各美其美”，引领行业形成“美美与共”竞合生态，共同打造白酒“美时代”？</w:t>
      </w:r>
    </w:p>
    <w:p w14:paraId="50D6F349" w14:textId="77777777" w:rsidR="00DD5699" w:rsidRPr="00DD5699" w:rsidRDefault="00DD5699" w:rsidP="00DD5699">
      <w:pPr>
        <w:spacing w:after="120" w:line="620" w:lineRule="exact"/>
        <w:ind w:leftChars="200" w:left="420" w:firstLineChars="200" w:firstLine="420"/>
        <w:rPr>
          <w:rFonts w:ascii="Calibri" w:eastAsia="宋体" w:hAnsi="Calibri" w:cs="Times New Roman"/>
          <w:szCs w:val="22"/>
        </w:rPr>
      </w:pPr>
    </w:p>
    <w:p w14:paraId="6140255D" w14:textId="77777777" w:rsidR="00DD5699" w:rsidRPr="00DD5699" w:rsidRDefault="00DD5699" w:rsidP="00DD5699">
      <w:pPr>
        <w:spacing w:line="620" w:lineRule="exact"/>
        <w:outlineLvl w:val="0"/>
        <w:rPr>
          <w:rFonts w:ascii="Cambria" w:eastAsia="黑体" w:hAnsi="Cambria" w:cs="宋体"/>
          <w:bCs/>
          <w:sz w:val="24"/>
          <w:szCs w:val="32"/>
        </w:rPr>
      </w:pPr>
      <w:r w:rsidRPr="00DD5699">
        <w:rPr>
          <w:rFonts w:ascii="黑体" w:eastAsia="黑体" w:hAnsi="黑体" w:cs="Times New Roman" w:hint="eastAsia"/>
          <w:sz w:val="32"/>
          <w:szCs w:val="32"/>
        </w:rPr>
        <w:t>六、茅台集团品牌管理战略及实施路径研究</w:t>
      </w:r>
    </w:p>
    <w:p w14:paraId="74E64590" w14:textId="77777777" w:rsidR="00DD5699" w:rsidRPr="00DD5699" w:rsidRDefault="00DD5699" w:rsidP="00DD5699">
      <w:pPr>
        <w:spacing w:line="620" w:lineRule="exact"/>
        <w:ind w:firstLineChars="200" w:firstLine="640"/>
        <w:rPr>
          <w:rFonts w:ascii="仿宋_GB2312" w:eastAsia="仿宋_GB2312" w:hAnsi="仿宋_GB2312" w:cs="仿宋_GB2312"/>
          <w:sz w:val="32"/>
          <w:szCs w:val="32"/>
        </w:rPr>
      </w:pPr>
      <w:r w:rsidRPr="00DD5699">
        <w:rPr>
          <w:rFonts w:ascii="仿宋_GB2312" w:eastAsia="仿宋_GB2312" w:hAnsi="仿宋_GB2312" w:cs="仿宋_GB2312" w:hint="eastAsia"/>
          <w:sz w:val="32"/>
          <w:szCs w:val="32"/>
        </w:rPr>
        <w:t>茅台作为中国民族工业品牌的代表之一，如何坚定不移走品牌兴业、品牌强国的道路？如何聚焦主品牌？如何做好品牌延伸？深入研究“茅台”品牌什么时候可以用，什么时候不能用？</w:t>
      </w:r>
      <w:r w:rsidRPr="00DD5699">
        <w:rPr>
          <w:rFonts w:ascii="仿宋_GB2312" w:eastAsia="仿宋_GB2312" w:hAnsi="仿宋_GB2312" w:cs="仿宋_GB2312" w:hint="eastAsia"/>
          <w:sz w:val="32"/>
          <w:szCs w:val="32"/>
        </w:rPr>
        <w:lastRenderedPageBreak/>
        <w:t>文旅、康养、金融等相关产业，品牌如何规划？</w:t>
      </w:r>
    </w:p>
    <w:p w14:paraId="41078AEA" w14:textId="77777777" w:rsidR="00DD5699" w:rsidRPr="00DD5699" w:rsidRDefault="00DD5699" w:rsidP="00DD5699">
      <w:pPr>
        <w:spacing w:after="120" w:line="620" w:lineRule="exact"/>
        <w:ind w:leftChars="200" w:left="420" w:firstLineChars="200" w:firstLine="420"/>
        <w:rPr>
          <w:rFonts w:ascii="Calibri" w:eastAsia="宋体" w:hAnsi="Calibri" w:cs="Times New Roman"/>
          <w:szCs w:val="22"/>
        </w:rPr>
      </w:pPr>
    </w:p>
    <w:p w14:paraId="59691889" w14:textId="77777777" w:rsidR="00DD5699" w:rsidRPr="00DD5699" w:rsidRDefault="00DD5699" w:rsidP="00DD5699">
      <w:pPr>
        <w:spacing w:line="620" w:lineRule="exact"/>
        <w:rPr>
          <w:rFonts w:ascii="黑体" w:eastAsia="黑体" w:hAnsi="黑体" w:cs="Times New Roman"/>
          <w:sz w:val="32"/>
          <w:szCs w:val="32"/>
        </w:rPr>
      </w:pPr>
      <w:r w:rsidRPr="00DD5699">
        <w:rPr>
          <w:rFonts w:ascii="黑体" w:eastAsia="黑体" w:hAnsi="黑体" w:cs="Times New Roman" w:hint="eastAsia"/>
          <w:sz w:val="32"/>
          <w:szCs w:val="32"/>
        </w:rPr>
        <w:t>七、白酒产业互联网发展战略及实施路径研究</w:t>
      </w:r>
    </w:p>
    <w:p w14:paraId="2FDF1E55" w14:textId="77777777" w:rsidR="00DD5699" w:rsidRPr="00DD5699" w:rsidRDefault="00DD5699" w:rsidP="00DD5699">
      <w:pPr>
        <w:spacing w:line="620" w:lineRule="exact"/>
        <w:ind w:firstLineChars="200" w:firstLine="640"/>
        <w:rPr>
          <w:rFonts w:ascii="仿宋_GB2312" w:eastAsia="仿宋_GB2312" w:hAnsi="仿宋_GB2312" w:cs="仿宋_GB2312"/>
          <w:sz w:val="32"/>
          <w:szCs w:val="32"/>
        </w:rPr>
      </w:pPr>
      <w:r w:rsidRPr="00DD5699">
        <w:rPr>
          <w:rFonts w:ascii="仿宋_GB2312" w:eastAsia="仿宋_GB2312" w:hAnsi="仿宋_GB2312" w:cs="仿宋_GB2312" w:hint="eastAsia"/>
          <w:sz w:val="32"/>
          <w:szCs w:val="32"/>
        </w:rPr>
        <w:t>在数字转型的新时代，变则通、通则久。数字文明时代，茅台集团如何利用数字技术为企业赋能，捕捉或创造更多的增长机会？如何帮助集团获得更多的基于效率或敏捷性的竞争优势？如何更精准地满足市场需求，提升顾客在获得产品和使用产品过程中的价值感？如何联动其他白酒企业和产业</w:t>
      </w:r>
      <w:proofErr w:type="gramStart"/>
      <w:r w:rsidRPr="00DD5699">
        <w:rPr>
          <w:rFonts w:ascii="仿宋_GB2312" w:eastAsia="仿宋_GB2312" w:hAnsi="仿宋_GB2312" w:cs="仿宋_GB2312" w:hint="eastAsia"/>
          <w:sz w:val="32"/>
          <w:szCs w:val="32"/>
        </w:rPr>
        <w:t>链其他</w:t>
      </w:r>
      <w:proofErr w:type="gramEnd"/>
      <w:r w:rsidRPr="00DD5699">
        <w:rPr>
          <w:rFonts w:ascii="仿宋_GB2312" w:eastAsia="仿宋_GB2312" w:hAnsi="仿宋_GB2312" w:cs="仿宋_GB2312" w:hint="eastAsia"/>
          <w:sz w:val="32"/>
          <w:szCs w:val="32"/>
        </w:rPr>
        <w:t>企业共同打造工业互联网？</w:t>
      </w:r>
    </w:p>
    <w:p w14:paraId="1D9B5F33" w14:textId="77777777" w:rsidR="00DD5699" w:rsidRPr="00DD5699" w:rsidRDefault="00DD5699" w:rsidP="00DD5699">
      <w:pPr>
        <w:spacing w:line="620" w:lineRule="exact"/>
        <w:outlineLvl w:val="0"/>
        <w:rPr>
          <w:rFonts w:ascii="黑体" w:eastAsia="黑体" w:hAnsi="黑体" w:cs="Times New Roman"/>
          <w:sz w:val="32"/>
          <w:szCs w:val="32"/>
        </w:rPr>
      </w:pPr>
    </w:p>
    <w:p w14:paraId="6C9FE378" w14:textId="77777777" w:rsidR="00DD5699" w:rsidRPr="00DD5699" w:rsidRDefault="00DD5699" w:rsidP="00DD5699">
      <w:pPr>
        <w:spacing w:line="620" w:lineRule="exact"/>
        <w:outlineLvl w:val="0"/>
        <w:rPr>
          <w:rFonts w:ascii="黑体" w:eastAsia="黑体" w:hAnsi="黑体" w:cs="Times New Roman"/>
          <w:sz w:val="32"/>
          <w:szCs w:val="32"/>
        </w:rPr>
      </w:pPr>
      <w:r w:rsidRPr="00DD5699">
        <w:rPr>
          <w:rFonts w:ascii="黑体" w:eastAsia="黑体" w:hAnsi="黑体" w:cs="Times New Roman" w:hint="eastAsia"/>
          <w:sz w:val="32"/>
          <w:szCs w:val="32"/>
        </w:rPr>
        <w:t xml:space="preserve">八、人口结构变化下茅台集团可持续发展战略及实施路径研究              </w:t>
      </w:r>
    </w:p>
    <w:p w14:paraId="4CE6586C" w14:textId="77777777" w:rsidR="00DD5699" w:rsidRPr="00DD5699" w:rsidRDefault="00DD5699" w:rsidP="00DD5699">
      <w:pPr>
        <w:spacing w:after="120" w:line="620" w:lineRule="exact"/>
        <w:ind w:firstLineChars="200" w:firstLine="640"/>
        <w:rPr>
          <w:rFonts w:ascii="仿宋_GB2312" w:eastAsia="仿宋_GB2312" w:hAnsi="仿宋_GB2312" w:cs="仿宋_GB2312"/>
          <w:sz w:val="32"/>
          <w:szCs w:val="32"/>
        </w:rPr>
      </w:pPr>
      <w:r w:rsidRPr="00DD5699">
        <w:rPr>
          <w:rFonts w:ascii="仿宋_GB2312" w:eastAsia="仿宋_GB2312" w:hAnsi="仿宋_GB2312" w:cs="仿宋_GB2312" w:hint="eastAsia"/>
          <w:sz w:val="32"/>
          <w:szCs w:val="32"/>
        </w:rPr>
        <w:t>2022年中国人口首次出现负增长，老龄化、少子化、不婚化三大趋势加速到来，对消费市场形成巨大冲击。面对人口结构变化，茅台集团如何结合三大主业提前布局？除了现有的消费者外，产品和服务如何满足未来消费主力人群的需求，促进三大主业可持续健康发展？</w:t>
      </w:r>
    </w:p>
    <w:p w14:paraId="3BDAFB61" w14:textId="77777777" w:rsidR="00DD5699" w:rsidRPr="00DD5699" w:rsidRDefault="00DD5699" w:rsidP="00DD5699">
      <w:pPr>
        <w:spacing w:after="120" w:line="620" w:lineRule="exact"/>
        <w:ind w:leftChars="200" w:left="420" w:firstLineChars="200" w:firstLine="420"/>
        <w:rPr>
          <w:rFonts w:ascii="Calibri" w:eastAsia="宋体" w:hAnsi="Calibri" w:cs="Times New Roman"/>
          <w:szCs w:val="22"/>
        </w:rPr>
      </w:pPr>
    </w:p>
    <w:p w14:paraId="5AEA9167" w14:textId="77777777" w:rsidR="00DD5699" w:rsidRPr="00DD5699" w:rsidRDefault="00DD5699" w:rsidP="00DD5699">
      <w:pPr>
        <w:spacing w:line="620" w:lineRule="exact"/>
        <w:outlineLvl w:val="0"/>
        <w:rPr>
          <w:rFonts w:ascii="仿宋_GB2312" w:eastAsia="仿宋_GB2312" w:hAnsi="仿宋_GB2312" w:cs="仿宋_GB2312"/>
          <w:bCs/>
          <w:sz w:val="32"/>
          <w:szCs w:val="32"/>
        </w:rPr>
      </w:pPr>
      <w:r w:rsidRPr="00DD5699">
        <w:rPr>
          <w:rFonts w:ascii="黑体" w:eastAsia="黑体" w:hAnsi="黑体" w:cs="Times New Roman" w:hint="eastAsia"/>
          <w:sz w:val="32"/>
          <w:szCs w:val="32"/>
        </w:rPr>
        <w:t>九、新消费趋势下茅台集团发展战略</w:t>
      </w:r>
      <w:r w:rsidRPr="00DD5699">
        <w:rPr>
          <w:rFonts w:ascii="黑体" w:eastAsia="黑体" w:hAnsi="黑体" w:cs="Times New Roman" w:hint="eastAsia"/>
          <w:bCs/>
          <w:sz w:val="32"/>
          <w:szCs w:val="32"/>
        </w:rPr>
        <w:t>及实施路径</w:t>
      </w:r>
      <w:r w:rsidRPr="00DD5699">
        <w:rPr>
          <w:rFonts w:ascii="黑体" w:eastAsia="黑体" w:hAnsi="黑体" w:cs="Times New Roman" w:hint="eastAsia"/>
          <w:sz w:val="32"/>
          <w:szCs w:val="32"/>
        </w:rPr>
        <w:t>研究</w:t>
      </w:r>
    </w:p>
    <w:p w14:paraId="73D8FC19" w14:textId="77777777" w:rsidR="00DD5699" w:rsidRPr="00DD5699" w:rsidRDefault="00DD5699" w:rsidP="00DD5699">
      <w:pPr>
        <w:widowControl/>
        <w:spacing w:line="620" w:lineRule="exact"/>
        <w:ind w:firstLineChars="200" w:firstLine="640"/>
        <w:jc w:val="left"/>
        <w:rPr>
          <w:rFonts w:ascii="仿宋_GB2312" w:eastAsia="仿宋_GB2312" w:hAnsi="仿宋_GB2312" w:cs="仿宋_GB2312"/>
          <w:kern w:val="0"/>
          <w:sz w:val="32"/>
          <w:szCs w:val="32"/>
        </w:rPr>
      </w:pPr>
      <w:r w:rsidRPr="00DD5699">
        <w:rPr>
          <w:rFonts w:ascii="仿宋_GB2312" w:eastAsia="仿宋_GB2312" w:hAnsi="仿宋_GB2312" w:cs="仿宋_GB2312" w:hint="eastAsia"/>
          <w:kern w:val="0"/>
          <w:sz w:val="32"/>
          <w:szCs w:val="32"/>
        </w:rPr>
        <w:lastRenderedPageBreak/>
        <w:t>新消费升级期，年轻群体的个性需求，消费场景的拓展丰富，品质文化的更高追求，都将</w:t>
      </w:r>
      <w:proofErr w:type="gramStart"/>
      <w:r w:rsidRPr="00DD5699">
        <w:rPr>
          <w:rFonts w:ascii="仿宋_GB2312" w:eastAsia="仿宋_GB2312" w:hAnsi="仿宋_GB2312" w:cs="仿宋_GB2312" w:hint="eastAsia"/>
          <w:kern w:val="0"/>
          <w:sz w:val="32"/>
          <w:szCs w:val="32"/>
        </w:rPr>
        <w:t>驱动酒企加速</w:t>
      </w:r>
      <w:proofErr w:type="gramEnd"/>
      <w:r w:rsidRPr="00DD5699">
        <w:rPr>
          <w:rFonts w:ascii="仿宋_GB2312" w:eastAsia="仿宋_GB2312" w:hAnsi="仿宋_GB2312" w:cs="仿宋_GB2312" w:hint="eastAsia"/>
          <w:kern w:val="0"/>
          <w:sz w:val="32"/>
          <w:szCs w:val="32"/>
        </w:rPr>
        <w:t>转型升级。面对消费环境的改变，茅台集团如何把握高档商品发展规律？在坚守品质的同时，如何更好地丰富消费体验，满足群众的美好生活赋能，让消费者喝上优质、优价的酒，让消费者享受</w:t>
      </w:r>
      <w:proofErr w:type="gramStart"/>
      <w:r w:rsidRPr="00DD5699">
        <w:rPr>
          <w:rFonts w:ascii="仿宋_GB2312" w:eastAsia="仿宋_GB2312" w:hAnsi="仿宋_GB2312" w:cs="仿宋_GB2312" w:hint="eastAsia"/>
          <w:kern w:val="0"/>
          <w:sz w:val="32"/>
          <w:szCs w:val="32"/>
        </w:rPr>
        <w:t>茅台文旅</w:t>
      </w:r>
      <w:proofErr w:type="gramEnd"/>
      <w:r w:rsidRPr="00DD5699">
        <w:rPr>
          <w:rFonts w:ascii="仿宋_GB2312" w:eastAsia="仿宋_GB2312" w:hAnsi="仿宋_GB2312" w:cs="仿宋_GB2312" w:hint="eastAsia"/>
          <w:kern w:val="0"/>
          <w:sz w:val="32"/>
          <w:szCs w:val="32"/>
        </w:rPr>
        <w:t>和综合金融服务？</w:t>
      </w:r>
    </w:p>
    <w:p w14:paraId="664C498F" w14:textId="77777777" w:rsidR="00DD5699" w:rsidRPr="00DD5699" w:rsidRDefault="00DD5699" w:rsidP="00DD5699">
      <w:pPr>
        <w:widowControl/>
        <w:spacing w:line="620" w:lineRule="exact"/>
        <w:ind w:firstLineChars="200" w:firstLine="640"/>
        <w:jc w:val="left"/>
        <w:rPr>
          <w:rFonts w:ascii="仿宋_GB2312" w:eastAsia="仿宋_GB2312" w:hAnsi="仿宋_GB2312" w:cs="仿宋_GB2312"/>
          <w:kern w:val="0"/>
          <w:sz w:val="32"/>
          <w:szCs w:val="32"/>
        </w:rPr>
      </w:pPr>
    </w:p>
    <w:p w14:paraId="17AEE42B" w14:textId="77777777" w:rsidR="00DD5699" w:rsidRPr="00DD5699" w:rsidRDefault="00DD5699" w:rsidP="00DD5699">
      <w:pPr>
        <w:spacing w:line="620" w:lineRule="exact"/>
        <w:outlineLvl w:val="0"/>
        <w:rPr>
          <w:rFonts w:ascii="Cambria" w:eastAsia="黑体" w:hAnsi="Cambria" w:cs="宋体"/>
          <w:bCs/>
          <w:sz w:val="24"/>
          <w:szCs w:val="32"/>
        </w:rPr>
      </w:pPr>
      <w:r w:rsidRPr="00DD5699">
        <w:rPr>
          <w:rFonts w:ascii="黑体" w:eastAsia="黑体" w:hAnsi="黑体" w:cs="Times New Roman" w:hint="eastAsia"/>
          <w:sz w:val="32"/>
          <w:szCs w:val="32"/>
        </w:rPr>
        <w:t>十、茅台</w:t>
      </w:r>
      <w:proofErr w:type="gramStart"/>
      <w:r w:rsidRPr="00DD5699">
        <w:rPr>
          <w:rFonts w:ascii="黑体" w:eastAsia="黑体" w:hAnsi="黑体" w:cs="Times New Roman" w:hint="eastAsia"/>
          <w:sz w:val="32"/>
          <w:szCs w:val="32"/>
        </w:rPr>
        <w:t>集团公益</w:t>
      </w:r>
      <w:proofErr w:type="gramEnd"/>
      <w:r w:rsidRPr="00DD5699">
        <w:rPr>
          <w:rFonts w:ascii="黑体" w:eastAsia="黑体" w:hAnsi="黑体" w:cs="Times New Roman" w:hint="eastAsia"/>
          <w:sz w:val="32"/>
          <w:szCs w:val="32"/>
        </w:rPr>
        <w:t>发展战略及实施路径研究</w:t>
      </w:r>
    </w:p>
    <w:p w14:paraId="2B740AB5" w14:textId="77777777" w:rsidR="00DD5699" w:rsidRPr="00DD5699" w:rsidRDefault="00DD5699" w:rsidP="00DD5699">
      <w:pPr>
        <w:spacing w:line="620" w:lineRule="exact"/>
        <w:ind w:firstLineChars="200" w:firstLine="640"/>
        <w:outlineLvl w:val="0"/>
        <w:rPr>
          <w:rFonts w:ascii="仿宋_GB2312" w:eastAsia="仿宋_GB2312" w:hAnsi="仿宋_GB2312" w:cs="仿宋_GB2312"/>
          <w:sz w:val="32"/>
          <w:szCs w:val="32"/>
        </w:rPr>
      </w:pPr>
      <w:r w:rsidRPr="00DD5699">
        <w:rPr>
          <w:rFonts w:ascii="仿宋_GB2312" w:eastAsia="仿宋_GB2312" w:hAnsi="仿宋_GB2312" w:cs="仿宋_GB2312" w:hint="eastAsia"/>
          <w:bCs/>
          <w:sz w:val="32"/>
          <w:szCs w:val="32"/>
        </w:rPr>
        <w:t>茅台集团作为国有控股上市企业，始终把履行社会责任作为不变的初心和使命，把创造美好生活、推进共同富裕作为最大的社会责任，为中国公益事业和经济社会发展贡献力量。茅台集团</w:t>
      </w:r>
      <w:r w:rsidRPr="00DD5699">
        <w:rPr>
          <w:rFonts w:ascii="仿宋_GB2312" w:eastAsia="仿宋_GB2312" w:hAnsi="仿宋_GB2312" w:cs="仿宋_GB2312" w:hint="eastAsia"/>
          <w:sz w:val="32"/>
          <w:szCs w:val="32"/>
        </w:rPr>
        <w:t>如何</w:t>
      </w:r>
      <w:proofErr w:type="gramStart"/>
      <w:r w:rsidRPr="00DD5699">
        <w:rPr>
          <w:rFonts w:ascii="仿宋_GB2312" w:eastAsia="仿宋_GB2312" w:hAnsi="仿宋_GB2312" w:cs="仿宋_GB2312" w:hint="eastAsia"/>
          <w:bCs/>
          <w:sz w:val="32"/>
          <w:szCs w:val="32"/>
        </w:rPr>
        <w:t>践行</w:t>
      </w:r>
      <w:proofErr w:type="gramEnd"/>
      <w:r w:rsidRPr="00DD5699">
        <w:rPr>
          <w:rFonts w:ascii="仿宋_GB2312" w:eastAsia="仿宋_GB2312" w:hAnsi="仿宋_GB2312" w:cs="仿宋_GB2312" w:hint="eastAsia"/>
          <w:bCs/>
          <w:sz w:val="32"/>
          <w:szCs w:val="32"/>
        </w:rPr>
        <w:t>“大品牌大担当”责任文化？如何</w:t>
      </w:r>
      <w:r w:rsidRPr="00DD5699">
        <w:rPr>
          <w:rFonts w:ascii="仿宋_GB2312" w:eastAsia="仿宋_GB2312" w:hAnsi="仿宋_GB2312" w:cs="仿宋_GB2312" w:hint="eastAsia"/>
          <w:sz w:val="32"/>
          <w:szCs w:val="32"/>
        </w:rPr>
        <w:t>打造茅台公益品牌，提升传播力影响力？</w:t>
      </w:r>
    </w:p>
    <w:p w14:paraId="1DCB875D" w14:textId="77777777" w:rsidR="00DD5699" w:rsidRPr="00DD5699" w:rsidRDefault="00DD5699" w:rsidP="00DD5699">
      <w:pPr>
        <w:spacing w:line="620" w:lineRule="exact"/>
        <w:rPr>
          <w:rFonts w:ascii="Calibri" w:eastAsia="宋体" w:hAnsi="Calibri" w:cs="Times New Roman"/>
          <w:szCs w:val="22"/>
        </w:rPr>
      </w:pPr>
    </w:p>
    <w:p w14:paraId="2414CAD0" w14:textId="77777777" w:rsidR="00DD5699" w:rsidRPr="00DD5699" w:rsidRDefault="00DD5699" w:rsidP="00DD5699">
      <w:pPr>
        <w:spacing w:line="620" w:lineRule="exact"/>
        <w:outlineLvl w:val="0"/>
        <w:rPr>
          <w:rFonts w:ascii="仿宋_GB2312" w:eastAsia="仿宋_GB2312" w:hAnsi="仿宋_GB2312" w:cs="仿宋_GB2312"/>
          <w:bCs/>
          <w:sz w:val="32"/>
          <w:szCs w:val="32"/>
        </w:rPr>
      </w:pPr>
      <w:r w:rsidRPr="00DD5699">
        <w:rPr>
          <w:rFonts w:ascii="黑体" w:eastAsia="黑体" w:hAnsi="黑体" w:cs="Times New Roman" w:hint="eastAsia"/>
          <w:sz w:val="32"/>
          <w:szCs w:val="32"/>
        </w:rPr>
        <w:t>十一、茅台集团低碳发展战略及实施路径研究</w:t>
      </w:r>
    </w:p>
    <w:p w14:paraId="4CB540BD" w14:textId="77777777" w:rsidR="00DD5699" w:rsidRPr="00DD5699" w:rsidRDefault="00DD5699" w:rsidP="00DD5699">
      <w:pPr>
        <w:spacing w:line="620" w:lineRule="exact"/>
        <w:ind w:firstLineChars="200" w:firstLine="640"/>
        <w:rPr>
          <w:rFonts w:ascii="仿宋_GB2312" w:eastAsia="仿宋_GB2312" w:hAnsi="仿宋_GB2312" w:cs="仿宋_GB2312"/>
          <w:sz w:val="32"/>
          <w:szCs w:val="32"/>
        </w:rPr>
      </w:pPr>
      <w:r w:rsidRPr="00DD5699">
        <w:rPr>
          <w:rFonts w:ascii="仿宋_GB2312" w:eastAsia="仿宋_GB2312" w:hAnsi="仿宋_GB2312" w:cs="仿宋_GB2312" w:hint="eastAsia"/>
          <w:sz w:val="32"/>
          <w:szCs w:val="32"/>
        </w:rPr>
        <w:t>党的二十大报告明确指出，“推动战略性新兴产业融合集群发展，构建新一代信息技术、人工智能、生物技术、新能源、新材料、高端装备、绿色环保等一批新的增长引擎”。</w:t>
      </w:r>
      <w:r w:rsidRPr="00DD5699">
        <w:rPr>
          <w:rFonts w:ascii="仿宋_GB2312" w:eastAsia="仿宋_GB2312" w:hAnsi="Calibri" w:cs="Times New Roman" w:hint="eastAsia"/>
          <w:sz w:val="32"/>
          <w:szCs w:val="32"/>
        </w:rPr>
        <w:t>作为中国民族工业品牌的代表之一</w:t>
      </w:r>
      <w:r w:rsidRPr="00DD5699">
        <w:rPr>
          <w:rFonts w:ascii="仿宋_GB2312" w:eastAsia="仿宋_GB2312" w:hAnsi="仿宋_GB2312" w:cs="仿宋_GB2312" w:hint="eastAsia"/>
          <w:sz w:val="32"/>
          <w:szCs w:val="32"/>
        </w:rPr>
        <w:t>，茅台集团如何把握</w:t>
      </w:r>
      <w:r w:rsidRPr="00DD5699">
        <w:rPr>
          <w:rFonts w:ascii="仿宋_GB2312" w:eastAsia="仿宋_GB2312" w:hAnsi="Calibri" w:cs="Times New Roman" w:hint="eastAsia"/>
          <w:sz w:val="32"/>
          <w:szCs w:val="32"/>
        </w:rPr>
        <w:t>时代使命，深度融入国家战略，结合国家</w:t>
      </w:r>
      <w:proofErr w:type="gramStart"/>
      <w:r w:rsidRPr="00DD5699">
        <w:rPr>
          <w:rFonts w:ascii="仿宋_GB2312" w:eastAsia="仿宋_GB2312" w:hAnsi="Calibri" w:cs="Times New Roman" w:hint="eastAsia"/>
          <w:sz w:val="32"/>
          <w:szCs w:val="32"/>
        </w:rPr>
        <w:t>碳达峰碳</w:t>
      </w:r>
      <w:proofErr w:type="gramEnd"/>
      <w:r w:rsidRPr="00DD5699">
        <w:rPr>
          <w:rFonts w:ascii="仿宋_GB2312" w:eastAsia="仿宋_GB2312" w:hAnsi="Calibri" w:cs="Times New Roman" w:hint="eastAsia"/>
          <w:sz w:val="32"/>
          <w:szCs w:val="32"/>
        </w:rPr>
        <w:t>中和方案，开展茅台低碳发展战略</w:t>
      </w:r>
      <w:r w:rsidRPr="00DD5699">
        <w:rPr>
          <w:rFonts w:ascii="仿宋_GB2312" w:eastAsia="仿宋_GB2312" w:hAnsi="Calibri" w:cs="Times New Roman" w:hint="eastAsia"/>
          <w:sz w:val="32"/>
          <w:szCs w:val="32"/>
        </w:rPr>
        <w:lastRenderedPageBreak/>
        <w:t>及实施</w:t>
      </w:r>
      <w:r w:rsidRPr="00DD5699">
        <w:rPr>
          <w:rFonts w:ascii="仿宋_GB2312" w:eastAsia="仿宋_GB2312" w:hAnsi="仿宋_GB2312" w:cs="仿宋_GB2312" w:hint="eastAsia"/>
          <w:sz w:val="32"/>
          <w:szCs w:val="32"/>
        </w:rPr>
        <w:t>路径研究，促进茅台高质量发展？</w:t>
      </w:r>
    </w:p>
    <w:p w14:paraId="12296223" w14:textId="77777777" w:rsidR="009D3A57" w:rsidRPr="00DD5699" w:rsidRDefault="009D3A57">
      <w:pPr>
        <w:widowControl/>
        <w:spacing w:line="620" w:lineRule="exact"/>
        <w:ind w:firstLineChars="200" w:firstLine="640"/>
        <w:jc w:val="left"/>
        <w:rPr>
          <w:rFonts w:ascii="仿宋_GB2312" w:eastAsia="仿宋_GB2312" w:hAnsi="仿宋_GB2312" w:cs="仿宋_GB2312"/>
          <w:sz w:val="32"/>
          <w:szCs w:val="32"/>
        </w:rPr>
      </w:pPr>
    </w:p>
    <w:p w14:paraId="7BB320E6" w14:textId="77777777" w:rsidR="004C3A32" w:rsidRPr="00146405" w:rsidRDefault="004C3A32" w:rsidP="004C3A32">
      <w:pPr>
        <w:tabs>
          <w:tab w:val="decimal" w:pos="0"/>
        </w:tabs>
        <w:snapToGrid w:val="0"/>
        <w:spacing w:line="620" w:lineRule="exact"/>
        <w:jc w:val="center"/>
        <w:rPr>
          <w:rFonts w:ascii="黑体" w:eastAsia="黑体" w:hAnsi="黑体" w:cs="黑体"/>
          <w:sz w:val="32"/>
          <w:szCs w:val="32"/>
        </w:rPr>
      </w:pPr>
    </w:p>
    <w:p w14:paraId="4314794B" w14:textId="77777777" w:rsidR="004C3A32" w:rsidRDefault="004C3A32" w:rsidP="004C3A32">
      <w:pPr>
        <w:tabs>
          <w:tab w:val="decimal" w:pos="0"/>
        </w:tabs>
        <w:snapToGrid w:val="0"/>
        <w:spacing w:line="620" w:lineRule="exact"/>
        <w:jc w:val="center"/>
        <w:rPr>
          <w:rFonts w:ascii="黑体" w:eastAsia="黑体" w:hAnsi="黑体" w:cs="黑体"/>
          <w:sz w:val="32"/>
          <w:szCs w:val="32"/>
        </w:rPr>
      </w:pPr>
    </w:p>
    <w:p w14:paraId="154F1D6B" w14:textId="7EB6A651" w:rsidR="004C3A32" w:rsidRDefault="004C3A32" w:rsidP="004C3A32">
      <w:pPr>
        <w:tabs>
          <w:tab w:val="decimal" w:pos="0"/>
        </w:tabs>
        <w:snapToGrid w:val="0"/>
        <w:spacing w:line="620" w:lineRule="exact"/>
        <w:jc w:val="center"/>
        <w:rPr>
          <w:rFonts w:ascii="黑体" w:eastAsia="黑体" w:hAnsi="黑体" w:cs="黑体"/>
          <w:sz w:val="32"/>
          <w:szCs w:val="32"/>
        </w:rPr>
      </w:pPr>
    </w:p>
    <w:p w14:paraId="253CE95F" w14:textId="77777777" w:rsidR="008C5045" w:rsidRDefault="008C5045" w:rsidP="004C3A32">
      <w:pPr>
        <w:tabs>
          <w:tab w:val="decimal" w:pos="0"/>
        </w:tabs>
        <w:snapToGrid w:val="0"/>
        <w:spacing w:line="620" w:lineRule="exact"/>
        <w:jc w:val="center"/>
        <w:rPr>
          <w:rFonts w:ascii="黑体" w:eastAsia="黑体" w:hAnsi="黑体" w:cs="黑体"/>
          <w:sz w:val="32"/>
          <w:szCs w:val="32"/>
        </w:rPr>
      </w:pPr>
    </w:p>
    <w:p w14:paraId="02294E15" w14:textId="2D9E94CB" w:rsidR="000D4B7A" w:rsidRDefault="000D4B7A" w:rsidP="002E4A3A">
      <w:pPr>
        <w:widowControl/>
        <w:spacing w:line="576" w:lineRule="exact"/>
        <w:ind w:firstLineChars="200" w:firstLine="620"/>
        <w:jc w:val="left"/>
        <w:rPr>
          <w:rFonts w:ascii="仿宋_GB2312" w:eastAsia="仿宋_GB2312" w:hAnsi="宋体" w:cs="仿宋_GB2312"/>
          <w:color w:val="000000"/>
          <w:kern w:val="0"/>
          <w:sz w:val="31"/>
          <w:szCs w:val="31"/>
          <w:lang w:bidi="ar"/>
        </w:rPr>
      </w:pPr>
    </w:p>
    <w:sectPr w:rsidR="000D4B7A" w:rsidSect="009E2968">
      <w:footerReference w:type="even" r:id="rId9"/>
      <w:footerReference w:type="default" r:id="rId10"/>
      <w:pgSz w:w="11906" w:h="16838"/>
      <w:pgMar w:top="2098" w:right="1474" w:bottom="1985"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03334" w14:textId="77777777" w:rsidR="00A52A54" w:rsidRDefault="00A52A54">
      <w:r>
        <w:separator/>
      </w:r>
    </w:p>
  </w:endnote>
  <w:endnote w:type="continuationSeparator" w:id="0">
    <w:p w14:paraId="7F3540BF" w14:textId="77777777" w:rsidR="00A52A54" w:rsidRDefault="00A5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059806"/>
    </w:sdtPr>
    <w:sdtEndPr>
      <w:rPr>
        <w:rFonts w:ascii="宋体" w:eastAsia="宋体" w:hAnsi="宋体"/>
        <w:sz w:val="28"/>
        <w:szCs w:val="28"/>
      </w:rPr>
    </w:sdtEndPr>
    <w:sdtContent>
      <w:p w14:paraId="0EEEDD40" w14:textId="77777777" w:rsidR="000D4B7A" w:rsidRDefault="00F436F1">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D52AF" w:rsidRPr="007D52AF">
          <w:rPr>
            <w:rFonts w:ascii="宋体" w:eastAsia="宋体" w:hAnsi="宋体"/>
            <w:noProof/>
            <w:sz w:val="28"/>
            <w:szCs w:val="28"/>
            <w:lang w:val="zh-CN"/>
          </w:rPr>
          <w:t>-</w:t>
        </w:r>
        <w:r w:rsidR="007D52AF">
          <w:rPr>
            <w:rFonts w:ascii="宋体" w:eastAsia="宋体" w:hAnsi="宋体"/>
            <w:noProof/>
            <w:sz w:val="28"/>
            <w:szCs w:val="28"/>
          </w:rPr>
          <w:t xml:space="preserve"> 2 -</w:t>
        </w:r>
        <w:r>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869029"/>
    </w:sdtPr>
    <w:sdtEndPr>
      <w:rPr>
        <w:rFonts w:ascii="宋体" w:eastAsia="宋体" w:hAnsi="宋体"/>
        <w:sz w:val="28"/>
        <w:szCs w:val="28"/>
      </w:rPr>
    </w:sdtEndPr>
    <w:sdtContent>
      <w:p w14:paraId="362EA10A" w14:textId="77777777" w:rsidR="000D4B7A" w:rsidRDefault="00F436F1">
        <w:pPr>
          <w:pStyle w:val="a3"/>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D52AF" w:rsidRPr="007D52AF">
          <w:rPr>
            <w:rFonts w:ascii="宋体" w:eastAsia="宋体" w:hAnsi="宋体"/>
            <w:noProof/>
            <w:sz w:val="28"/>
            <w:szCs w:val="28"/>
            <w:lang w:val="zh-CN"/>
          </w:rPr>
          <w:t>-</w:t>
        </w:r>
        <w:r w:rsidR="007D52AF">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BB7F2" w14:textId="77777777" w:rsidR="00A52A54" w:rsidRDefault="00A52A54">
      <w:r>
        <w:separator/>
      </w:r>
    </w:p>
  </w:footnote>
  <w:footnote w:type="continuationSeparator" w:id="0">
    <w:p w14:paraId="77D42669" w14:textId="77777777" w:rsidR="00A52A54" w:rsidRDefault="00A52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83058"/>
    <w:multiLevelType w:val="singleLevel"/>
    <w:tmpl w:val="BC383058"/>
    <w:lvl w:ilvl="0">
      <w:start w:val="1"/>
      <w:numFmt w:val="decimal"/>
      <w:lvlText w:val="%1."/>
      <w:lvlJc w:val="left"/>
      <w:pPr>
        <w:ind w:left="1276" w:hanging="425"/>
      </w:pPr>
      <w:rPr>
        <w:rFonts w:hint="default"/>
      </w:rPr>
    </w:lvl>
  </w:abstractNum>
  <w:abstractNum w:abstractNumId="1">
    <w:nsid w:val="4DB43C6A"/>
    <w:multiLevelType w:val="hybridMultilevel"/>
    <w:tmpl w:val="93D83B4A"/>
    <w:lvl w:ilvl="0" w:tplc="4B2AF004">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77C3436F"/>
    <w:multiLevelType w:val="hybridMultilevel"/>
    <w:tmpl w:val="45C06CD2"/>
    <w:lvl w:ilvl="0" w:tplc="DFCAF734">
      <w:start w:val="1"/>
      <w:numFmt w:val="decimal"/>
      <w:lvlText w:val="%1."/>
      <w:lvlJc w:val="left"/>
      <w:pPr>
        <w:ind w:left="1211"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DQ0NzFlNDg4NTQ4NWRhMDU5ODA1MDY4N2ZhYTIifQ=="/>
  </w:docVars>
  <w:rsids>
    <w:rsidRoot w:val="065A6D24"/>
    <w:rsid w:val="00001259"/>
    <w:rsid w:val="000273C9"/>
    <w:rsid w:val="00056F96"/>
    <w:rsid w:val="00065C13"/>
    <w:rsid w:val="00067960"/>
    <w:rsid w:val="00080C9F"/>
    <w:rsid w:val="0009462D"/>
    <w:rsid w:val="00095D1A"/>
    <w:rsid w:val="000B450B"/>
    <w:rsid w:val="000D4B7A"/>
    <w:rsid w:val="000E51AF"/>
    <w:rsid w:val="000E5301"/>
    <w:rsid w:val="000F0C2B"/>
    <w:rsid w:val="00120149"/>
    <w:rsid w:val="00140B82"/>
    <w:rsid w:val="00146405"/>
    <w:rsid w:val="0016260A"/>
    <w:rsid w:val="00166E71"/>
    <w:rsid w:val="001D4719"/>
    <w:rsid w:val="00206F63"/>
    <w:rsid w:val="00215909"/>
    <w:rsid w:val="00220E55"/>
    <w:rsid w:val="00282F3F"/>
    <w:rsid w:val="00290566"/>
    <w:rsid w:val="00292884"/>
    <w:rsid w:val="00295EE9"/>
    <w:rsid w:val="002C1E42"/>
    <w:rsid w:val="002D2496"/>
    <w:rsid w:val="002D68E2"/>
    <w:rsid w:val="002E4A3A"/>
    <w:rsid w:val="00340844"/>
    <w:rsid w:val="00374DA5"/>
    <w:rsid w:val="0038416A"/>
    <w:rsid w:val="00392A1B"/>
    <w:rsid w:val="003963AB"/>
    <w:rsid w:val="003A467D"/>
    <w:rsid w:val="003D5E65"/>
    <w:rsid w:val="003D7A4B"/>
    <w:rsid w:val="003E0DC1"/>
    <w:rsid w:val="003E38A3"/>
    <w:rsid w:val="003E4EC5"/>
    <w:rsid w:val="003E6EA2"/>
    <w:rsid w:val="003E7E02"/>
    <w:rsid w:val="003F4E2E"/>
    <w:rsid w:val="00400CBA"/>
    <w:rsid w:val="00416143"/>
    <w:rsid w:val="004212E4"/>
    <w:rsid w:val="00422189"/>
    <w:rsid w:val="00423C4F"/>
    <w:rsid w:val="00426F1B"/>
    <w:rsid w:val="004348C7"/>
    <w:rsid w:val="004638FD"/>
    <w:rsid w:val="00473EB8"/>
    <w:rsid w:val="00476DE6"/>
    <w:rsid w:val="00490194"/>
    <w:rsid w:val="004B0B55"/>
    <w:rsid w:val="004B3EED"/>
    <w:rsid w:val="004C3A32"/>
    <w:rsid w:val="00510C52"/>
    <w:rsid w:val="0051584B"/>
    <w:rsid w:val="00550D1C"/>
    <w:rsid w:val="00552690"/>
    <w:rsid w:val="00553713"/>
    <w:rsid w:val="00563326"/>
    <w:rsid w:val="00567A02"/>
    <w:rsid w:val="00580FD0"/>
    <w:rsid w:val="005A7FB1"/>
    <w:rsid w:val="005B4F87"/>
    <w:rsid w:val="005B7877"/>
    <w:rsid w:val="005C0E6E"/>
    <w:rsid w:val="005C1E0F"/>
    <w:rsid w:val="005E2A79"/>
    <w:rsid w:val="005F3CC8"/>
    <w:rsid w:val="0062576D"/>
    <w:rsid w:val="006309D8"/>
    <w:rsid w:val="00657C03"/>
    <w:rsid w:val="00667C03"/>
    <w:rsid w:val="00667C6B"/>
    <w:rsid w:val="00671887"/>
    <w:rsid w:val="006845ED"/>
    <w:rsid w:val="006C0C6A"/>
    <w:rsid w:val="006C41CF"/>
    <w:rsid w:val="006F53E5"/>
    <w:rsid w:val="00710394"/>
    <w:rsid w:val="00711798"/>
    <w:rsid w:val="007213D6"/>
    <w:rsid w:val="00724D33"/>
    <w:rsid w:val="007601C0"/>
    <w:rsid w:val="00761F64"/>
    <w:rsid w:val="007646FA"/>
    <w:rsid w:val="00783B64"/>
    <w:rsid w:val="007B0CDD"/>
    <w:rsid w:val="007B53ED"/>
    <w:rsid w:val="007C17E0"/>
    <w:rsid w:val="007D52AF"/>
    <w:rsid w:val="007D7067"/>
    <w:rsid w:val="008002EE"/>
    <w:rsid w:val="00811488"/>
    <w:rsid w:val="008120E2"/>
    <w:rsid w:val="00827240"/>
    <w:rsid w:val="00851D72"/>
    <w:rsid w:val="00854CBA"/>
    <w:rsid w:val="0085784D"/>
    <w:rsid w:val="00862B6C"/>
    <w:rsid w:val="008724F7"/>
    <w:rsid w:val="00876A3D"/>
    <w:rsid w:val="008947BC"/>
    <w:rsid w:val="008B4843"/>
    <w:rsid w:val="008C5045"/>
    <w:rsid w:val="008D59F4"/>
    <w:rsid w:val="008F50BB"/>
    <w:rsid w:val="00900C40"/>
    <w:rsid w:val="00900CCB"/>
    <w:rsid w:val="009110C3"/>
    <w:rsid w:val="009270D1"/>
    <w:rsid w:val="009315DC"/>
    <w:rsid w:val="00967B1D"/>
    <w:rsid w:val="00975CE9"/>
    <w:rsid w:val="0099399B"/>
    <w:rsid w:val="009A1290"/>
    <w:rsid w:val="009D3A57"/>
    <w:rsid w:val="009E2968"/>
    <w:rsid w:val="00A15C93"/>
    <w:rsid w:val="00A52A54"/>
    <w:rsid w:val="00A70DFB"/>
    <w:rsid w:val="00A85F62"/>
    <w:rsid w:val="00AB78A1"/>
    <w:rsid w:val="00AC37B1"/>
    <w:rsid w:val="00AC535B"/>
    <w:rsid w:val="00AD6000"/>
    <w:rsid w:val="00AE2314"/>
    <w:rsid w:val="00AF258E"/>
    <w:rsid w:val="00AF31DE"/>
    <w:rsid w:val="00AF3D6E"/>
    <w:rsid w:val="00B4197B"/>
    <w:rsid w:val="00B43107"/>
    <w:rsid w:val="00B53D64"/>
    <w:rsid w:val="00B57843"/>
    <w:rsid w:val="00BA24D1"/>
    <w:rsid w:val="00BA31D1"/>
    <w:rsid w:val="00BF041D"/>
    <w:rsid w:val="00C26489"/>
    <w:rsid w:val="00C31AD8"/>
    <w:rsid w:val="00C479FC"/>
    <w:rsid w:val="00C47AA0"/>
    <w:rsid w:val="00C5421D"/>
    <w:rsid w:val="00C55E36"/>
    <w:rsid w:val="00C737F8"/>
    <w:rsid w:val="00C803E1"/>
    <w:rsid w:val="00C81AC3"/>
    <w:rsid w:val="00C85AF2"/>
    <w:rsid w:val="00C9029B"/>
    <w:rsid w:val="00CA2ACC"/>
    <w:rsid w:val="00CB122A"/>
    <w:rsid w:val="00CB635B"/>
    <w:rsid w:val="00CC5488"/>
    <w:rsid w:val="00CC6D96"/>
    <w:rsid w:val="00CD77DB"/>
    <w:rsid w:val="00CF603B"/>
    <w:rsid w:val="00D0151F"/>
    <w:rsid w:val="00D224CC"/>
    <w:rsid w:val="00D3037C"/>
    <w:rsid w:val="00D4383B"/>
    <w:rsid w:val="00D642E6"/>
    <w:rsid w:val="00D65C52"/>
    <w:rsid w:val="00D9554C"/>
    <w:rsid w:val="00DB5D80"/>
    <w:rsid w:val="00DD5699"/>
    <w:rsid w:val="00E141D2"/>
    <w:rsid w:val="00E21E16"/>
    <w:rsid w:val="00E23E9E"/>
    <w:rsid w:val="00E25153"/>
    <w:rsid w:val="00E31D84"/>
    <w:rsid w:val="00E37EF7"/>
    <w:rsid w:val="00E40D2F"/>
    <w:rsid w:val="00E65012"/>
    <w:rsid w:val="00E6528F"/>
    <w:rsid w:val="00EB20A2"/>
    <w:rsid w:val="00EC55C1"/>
    <w:rsid w:val="00EF7B76"/>
    <w:rsid w:val="00F0670C"/>
    <w:rsid w:val="00F2213D"/>
    <w:rsid w:val="00F25BEC"/>
    <w:rsid w:val="00F43050"/>
    <w:rsid w:val="00F436F1"/>
    <w:rsid w:val="00F4452D"/>
    <w:rsid w:val="00F57F5B"/>
    <w:rsid w:val="00F65720"/>
    <w:rsid w:val="00F71749"/>
    <w:rsid w:val="00F87A5B"/>
    <w:rsid w:val="00FB2025"/>
    <w:rsid w:val="00FB61EF"/>
    <w:rsid w:val="00FE1D60"/>
    <w:rsid w:val="00FF4C40"/>
    <w:rsid w:val="065A6D24"/>
    <w:rsid w:val="0CB4003A"/>
    <w:rsid w:val="1EEB2372"/>
    <w:rsid w:val="253A0140"/>
    <w:rsid w:val="255E6D90"/>
    <w:rsid w:val="31724251"/>
    <w:rsid w:val="3C895775"/>
    <w:rsid w:val="43782264"/>
    <w:rsid w:val="44A46222"/>
    <w:rsid w:val="467D18A1"/>
    <w:rsid w:val="4F220E21"/>
    <w:rsid w:val="512C719C"/>
    <w:rsid w:val="67085008"/>
    <w:rsid w:val="6BA8657E"/>
    <w:rsid w:val="6DCF74D9"/>
    <w:rsid w:val="7CDC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E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D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C3A32"/>
    <w:pPr>
      <w:keepNext/>
      <w:keepLines/>
      <w:snapToGrid w:val="0"/>
      <w:spacing w:after="240"/>
      <w:jc w:val="center"/>
      <w:outlineLvl w:val="0"/>
    </w:pPr>
    <w:rPr>
      <w:rFonts w:ascii="Calibri" w:eastAsia="华文中宋" w:hAnsi="Calibri" w:cs="宋体"/>
      <w:b/>
      <w:bCs/>
      <w:kern w:val="44"/>
      <w:sz w:val="44"/>
      <w:szCs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6">
    <w:name w:val="Plain Text"/>
    <w:basedOn w:val="a"/>
    <w:link w:val="Char1"/>
    <w:qFormat/>
    <w:rsid w:val="009D3A57"/>
    <w:rPr>
      <w:rFonts w:ascii="宋体" w:eastAsia="宋体" w:hAnsi="Times New Roman" w:cs="Courier New"/>
      <w:szCs w:val="21"/>
    </w:rPr>
  </w:style>
  <w:style w:type="character" w:customStyle="1" w:styleId="Char1">
    <w:name w:val="纯文本 Char"/>
    <w:basedOn w:val="a0"/>
    <w:link w:val="a6"/>
    <w:qFormat/>
    <w:rsid w:val="009D3A57"/>
    <w:rPr>
      <w:rFonts w:ascii="宋体" w:cs="Courier New"/>
      <w:kern w:val="2"/>
      <w:sz w:val="21"/>
      <w:szCs w:val="21"/>
    </w:rPr>
  </w:style>
  <w:style w:type="paragraph" w:styleId="a7">
    <w:name w:val="Body Text Indent"/>
    <w:basedOn w:val="a"/>
    <w:link w:val="Char2"/>
    <w:qFormat/>
    <w:rsid w:val="009D3A57"/>
    <w:pPr>
      <w:ind w:firstLine="555"/>
    </w:pPr>
    <w:rPr>
      <w:rFonts w:ascii="楷体_GB2312" w:eastAsia="楷体_GB2312" w:hAnsi="Times New Roman" w:cs="Times New Roman"/>
      <w:sz w:val="28"/>
    </w:rPr>
  </w:style>
  <w:style w:type="character" w:customStyle="1" w:styleId="Char2">
    <w:name w:val="正文文本缩进 Char"/>
    <w:basedOn w:val="a0"/>
    <w:link w:val="a7"/>
    <w:qFormat/>
    <w:rsid w:val="009D3A57"/>
    <w:rPr>
      <w:rFonts w:ascii="楷体_GB2312" w:eastAsia="楷体_GB2312"/>
      <w:kern w:val="2"/>
      <w:sz w:val="28"/>
      <w:szCs w:val="24"/>
    </w:rPr>
  </w:style>
  <w:style w:type="character" w:customStyle="1" w:styleId="1Char">
    <w:name w:val="标题 1 Char"/>
    <w:basedOn w:val="a0"/>
    <w:link w:val="1"/>
    <w:rsid w:val="004C3A32"/>
    <w:rPr>
      <w:rFonts w:ascii="Calibri" w:eastAsia="华文中宋" w:hAnsi="Calibri" w:cs="宋体"/>
      <w:b/>
      <w:bCs/>
      <w:kern w:val="44"/>
      <w:sz w:val="44"/>
      <w:szCs w:val="44"/>
    </w:rPr>
  </w:style>
  <w:style w:type="paragraph" w:styleId="a8">
    <w:name w:val="List Paragraph"/>
    <w:basedOn w:val="a"/>
    <w:uiPriority w:val="99"/>
    <w:rsid w:val="00724D33"/>
    <w:pPr>
      <w:ind w:firstLineChars="200" w:firstLine="420"/>
    </w:pPr>
  </w:style>
  <w:style w:type="paragraph" w:styleId="a9">
    <w:name w:val="Balloon Text"/>
    <w:basedOn w:val="a"/>
    <w:link w:val="Char3"/>
    <w:rsid w:val="005A7FB1"/>
    <w:rPr>
      <w:sz w:val="18"/>
      <w:szCs w:val="18"/>
    </w:rPr>
  </w:style>
  <w:style w:type="character" w:customStyle="1" w:styleId="Char3">
    <w:name w:val="批注框文本 Char"/>
    <w:basedOn w:val="a0"/>
    <w:link w:val="a9"/>
    <w:rsid w:val="005A7FB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D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C3A32"/>
    <w:pPr>
      <w:keepNext/>
      <w:keepLines/>
      <w:snapToGrid w:val="0"/>
      <w:spacing w:after="240"/>
      <w:jc w:val="center"/>
      <w:outlineLvl w:val="0"/>
    </w:pPr>
    <w:rPr>
      <w:rFonts w:ascii="Calibri" w:eastAsia="华文中宋" w:hAnsi="Calibri" w:cs="宋体"/>
      <w:b/>
      <w:bCs/>
      <w:kern w:val="44"/>
      <w:sz w:val="44"/>
      <w:szCs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6">
    <w:name w:val="Plain Text"/>
    <w:basedOn w:val="a"/>
    <w:link w:val="Char1"/>
    <w:qFormat/>
    <w:rsid w:val="009D3A57"/>
    <w:rPr>
      <w:rFonts w:ascii="宋体" w:eastAsia="宋体" w:hAnsi="Times New Roman" w:cs="Courier New"/>
      <w:szCs w:val="21"/>
    </w:rPr>
  </w:style>
  <w:style w:type="character" w:customStyle="1" w:styleId="Char1">
    <w:name w:val="纯文本 Char"/>
    <w:basedOn w:val="a0"/>
    <w:link w:val="a6"/>
    <w:qFormat/>
    <w:rsid w:val="009D3A57"/>
    <w:rPr>
      <w:rFonts w:ascii="宋体" w:cs="Courier New"/>
      <w:kern w:val="2"/>
      <w:sz w:val="21"/>
      <w:szCs w:val="21"/>
    </w:rPr>
  </w:style>
  <w:style w:type="paragraph" w:styleId="a7">
    <w:name w:val="Body Text Indent"/>
    <w:basedOn w:val="a"/>
    <w:link w:val="Char2"/>
    <w:qFormat/>
    <w:rsid w:val="009D3A57"/>
    <w:pPr>
      <w:ind w:firstLine="555"/>
    </w:pPr>
    <w:rPr>
      <w:rFonts w:ascii="楷体_GB2312" w:eastAsia="楷体_GB2312" w:hAnsi="Times New Roman" w:cs="Times New Roman"/>
      <w:sz w:val="28"/>
    </w:rPr>
  </w:style>
  <w:style w:type="character" w:customStyle="1" w:styleId="Char2">
    <w:name w:val="正文文本缩进 Char"/>
    <w:basedOn w:val="a0"/>
    <w:link w:val="a7"/>
    <w:qFormat/>
    <w:rsid w:val="009D3A57"/>
    <w:rPr>
      <w:rFonts w:ascii="楷体_GB2312" w:eastAsia="楷体_GB2312"/>
      <w:kern w:val="2"/>
      <w:sz w:val="28"/>
      <w:szCs w:val="24"/>
    </w:rPr>
  </w:style>
  <w:style w:type="character" w:customStyle="1" w:styleId="1Char">
    <w:name w:val="标题 1 Char"/>
    <w:basedOn w:val="a0"/>
    <w:link w:val="1"/>
    <w:rsid w:val="004C3A32"/>
    <w:rPr>
      <w:rFonts w:ascii="Calibri" w:eastAsia="华文中宋" w:hAnsi="Calibri" w:cs="宋体"/>
      <w:b/>
      <w:bCs/>
      <w:kern w:val="44"/>
      <w:sz w:val="44"/>
      <w:szCs w:val="44"/>
    </w:rPr>
  </w:style>
  <w:style w:type="paragraph" w:styleId="a8">
    <w:name w:val="List Paragraph"/>
    <w:basedOn w:val="a"/>
    <w:uiPriority w:val="99"/>
    <w:rsid w:val="00724D33"/>
    <w:pPr>
      <w:ind w:firstLineChars="200" w:firstLine="420"/>
    </w:pPr>
  </w:style>
  <w:style w:type="paragraph" w:styleId="a9">
    <w:name w:val="Balloon Text"/>
    <w:basedOn w:val="a"/>
    <w:link w:val="Char3"/>
    <w:rsid w:val="005A7FB1"/>
    <w:rPr>
      <w:sz w:val="18"/>
      <w:szCs w:val="18"/>
    </w:rPr>
  </w:style>
  <w:style w:type="character" w:customStyle="1" w:styleId="Char3">
    <w:name w:val="批注框文本 Char"/>
    <w:basedOn w:val="a0"/>
    <w:link w:val="a9"/>
    <w:rsid w:val="005A7FB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7319-1F96-4064-9158-77782742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9</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161</cp:revision>
  <cp:lastPrinted>2022-06-16T00:47:00Z</cp:lastPrinted>
  <dcterms:created xsi:type="dcterms:W3CDTF">2022-06-13T12:10:00Z</dcterms:created>
  <dcterms:modified xsi:type="dcterms:W3CDTF">2023-06-05T01:40:00Z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9A040BD3963B4C7FAF5B68DD1758A30F</vt:lpwstr>
  </property>
</Properties>
</file>