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80" w:afterAutospacing="0" w:line="28" w:lineRule="atLeast"/>
        <w:ind w:left="0" w:right="0" w:firstLine="0"/>
        <w:jc w:val="center"/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bdr w:val="none" w:color="auto" w:sz="0" w:space="0"/>
          <w:shd w:val="clear" w:fill="FFFFFF"/>
        </w:rPr>
      </w:pPr>
      <w:r>
        <w:rPr>
          <w:rFonts w:hint="default" w:ascii="system-ui" w:hAnsi="system-ui" w:eastAsia="system-ui" w:cs="system-ui"/>
          <w:i w:val="0"/>
          <w:caps w:val="0"/>
          <w:spacing w:val="11"/>
          <w:sz w:val="44"/>
          <w:szCs w:val="44"/>
          <w:bdr w:val="none" w:color="auto" w:sz="0" w:space="0"/>
          <w:shd w:val="clear" w:fill="FFFFFF"/>
        </w:rPr>
        <w:t>省财政厅正式启用省级政府公物仓网络平台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ascii="微软雅黑" w:hAnsi="微软雅黑" w:eastAsia="微软雅黑" w:cs="微软雅黑"/>
          <w:i w:val="0"/>
          <w:caps w:val="0"/>
          <w:spacing w:val="11"/>
          <w:sz w:val="36"/>
          <w:szCs w:val="36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bdr w:val="none" w:color="auto" w:sz="0" w:space="0"/>
          <w:shd w:val="clear" w:fill="FFFFFF"/>
        </w:rPr>
        <w:t>省级政府公物仓仓内资产实行清单制管理，省财政厅梳理并征求省级行政事业单位意见，发布第一批纳入清单管理的资产目录，具体包括通用办公设备类、视频会议类、会展演出类、信息基础设施类（存储类非涉密）、档案设备类、应急防灾类、运动康复类等。并建立资产清单动态调整机制，将不定期对纳入清单管理资产目录调整完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default" w:ascii="微软雅黑" w:hAnsi="微软雅黑" w:eastAsia="微软雅黑" w:cs="微软雅黑"/>
          <w:i w:val="0"/>
          <w:caps w:val="0"/>
          <w:spacing w:val="11"/>
          <w:sz w:val="36"/>
          <w:szCs w:val="36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8" w:lineRule="atLeast"/>
        <w:ind w:left="0" w:right="0" w:firstLine="420"/>
        <w:jc w:val="both"/>
        <w:rPr>
          <w:rFonts w:hint="default" w:ascii="微软雅黑" w:hAnsi="微软雅黑" w:eastAsia="微软雅黑" w:cs="微软雅黑"/>
          <w:i w:val="0"/>
          <w:caps w:val="0"/>
          <w:spacing w:val="11"/>
          <w:sz w:val="36"/>
          <w:szCs w:val="36"/>
        </w:rPr>
      </w:pP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bdr w:val="none" w:color="auto" w:sz="0" w:space="0"/>
          <w:shd w:val="clear" w:fill="FFFFFF"/>
        </w:rPr>
        <w:t>为方便省级行政事业单位使用省级政府公物仓网络平台，省财政厅明确了资产入仓、调剂共享、资产退仓等操作程序，并编制《资产云平台虚拟公物仓操作指南》，加以说明和指导。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highlight w:val="yellow"/>
          <w:bdr w:val="none" w:color="auto" w:sz="0" w:space="0"/>
          <w:shd w:val="clear" w:fill="FFFFFF"/>
        </w:rPr>
        <w:t>在2024年度新增资产配置预算审核过程中，省财政厅将按照“资产配置优先通过调剂解决”的原则</w:t>
      </w:r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bdr w:val="none" w:color="auto" w:sz="0" w:space="0"/>
          <w:shd w:val="clear" w:fill="FFFFFF"/>
        </w:rPr>
        <w:t>，首先将申请配置资产和省级政府公物仓清单资产进行比对，能够通过省级政府公物仓资产调剂或</w:t>
      </w:r>
      <w:bookmarkStart w:id="0" w:name="_GoBack"/>
      <w:bookmarkEnd w:id="0"/>
      <w:r>
        <w:rPr>
          <w:rFonts w:hint="default" w:ascii="微软雅黑" w:hAnsi="微软雅黑" w:eastAsia="微软雅黑" w:cs="微软雅黑"/>
          <w:i w:val="0"/>
          <w:caps w:val="0"/>
          <w:color w:val="000000"/>
          <w:spacing w:val="11"/>
          <w:sz w:val="36"/>
          <w:szCs w:val="36"/>
          <w:bdr w:val="none" w:color="auto" w:sz="0" w:space="0"/>
          <w:shd w:val="clear" w:fill="FFFFFF"/>
        </w:rPr>
        <w:t>共享共用解决的，原则上不予批复新购，由部门单位向省级政府公物仓申请调剂或共享。对闲置浪费严重的部门单位，将视情况停止批复新增资产配置预算。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system-u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D75978D"/>
    <w:rsid w:val="DD759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Office_3.8.0.6081_F1E327BC-269C-435d-A152-05C5408002CA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2023-07-20T15:53:00Z</dcterms:created>
  <dc:creator>linn</dc:creator>
  <cp:lastModifiedBy>linn</cp:lastModifiedBy>
  <dcterms:modified xsi:type="dcterms:W3CDTF">2023-07-20T15:57:14Z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2052-3.8.0.6081</vt:lpwstr>
  </property>
</Properties>
</file>