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highlight w:val="none"/>
        </w:rPr>
      </w:pPr>
      <w:bookmarkStart w:id="0" w:name="OLE_LINK2"/>
      <w:bookmarkStart w:id="1" w:name="OLE_LINK1"/>
      <w:r>
        <w:rPr>
          <w:b/>
          <w:sz w:val="40"/>
          <w:szCs w:val="40"/>
          <w:highlight w:val="none"/>
        </w:rPr>
        <w:t>南京信息工程大学</w:t>
      </w:r>
      <w:bookmarkEnd w:id="0"/>
      <w:bookmarkEnd w:id="1"/>
      <w:r>
        <w:rPr>
          <w:rFonts w:hint="eastAsia"/>
          <w:b/>
          <w:sz w:val="40"/>
          <w:szCs w:val="40"/>
          <w:highlight w:val="none"/>
        </w:rPr>
        <w:t>2022年秋季国际课程视频制作服</w:t>
      </w:r>
      <w:r>
        <w:rPr>
          <w:rFonts w:hint="eastAsia"/>
          <w:b/>
          <w:sz w:val="44"/>
          <w:szCs w:val="44"/>
          <w:highlight w:val="none"/>
        </w:rPr>
        <w:t>务</w:t>
      </w:r>
      <w:r>
        <w:rPr>
          <w:rFonts w:hint="eastAsia" w:ascii="宋体" w:hAnsi="宋体"/>
          <w:b/>
          <w:sz w:val="44"/>
          <w:szCs w:val="44"/>
          <w:highlight w:val="none"/>
        </w:rPr>
        <w:t>采购</w:t>
      </w:r>
      <w:r>
        <w:rPr>
          <w:rFonts w:hint="eastAsia"/>
          <w:b/>
          <w:sz w:val="44"/>
          <w:szCs w:val="44"/>
          <w:highlight w:val="none"/>
        </w:rPr>
        <w:t>项目</w:t>
      </w:r>
      <w:r>
        <w:rPr>
          <w:b/>
          <w:sz w:val="44"/>
          <w:szCs w:val="44"/>
          <w:highlight w:val="none"/>
        </w:rPr>
        <w:t>招标文件</w:t>
      </w:r>
    </w:p>
    <w:p>
      <w:pPr>
        <w:pStyle w:val="8"/>
        <w:ind w:left="1470" w:right="1470"/>
        <w:rPr>
          <w:highlight w:val="none"/>
        </w:rPr>
      </w:pPr>
    </w:p>
    <w:p>
      <w:pPr>
        <w:adjustRightInd w:val="0"/>
        <w:snapToGrid w:val="0"/>
        <w:spacing w:line="360" w:lineRule="auto"/>
        <w:jc w:val="center"/>
        <w:rPr>
          <w:rFonts w:ascii="宋体" w:hAnsi="宋体" w:cs="仿宋"/>
          <w:sz w:val="28"/>
          <w:szCs w:val="28"/>
          <w:highlight w:val="none"/>
        </w:rPr>
      </w:pPr>
      <w:r>
        <w:rPr>
          <w:rFonts w:hint="eastAsia" w:ascii="宋体" w:hAnsi="宋体" w:cs="仿宋"/>
          <w:sz w:val="28"/>
          <w:szCs w:val="28"/>
          <w:highlight w:val="none"/>
        </w:rPr>
        <w:t>（招标编号：</w:t>
      </w:r>
      <w:r>
        <w:rPr>
          <w:rFonts w:hint="eastAsia" w:ascii="宋体" w:hAnsi="宋体" w:cs="仿宋"/>
          <w:sz w:val="28"/>
          <w:szCs w:val="28"/>
          <w:highlight w:val="none"/>
          <w:u w:val="single"/>
        </w:rPr>
        <w:t xml:space="preserve"> JZCG-2022-00063 </w:t>
      </w:r>
      <w:r>
        <w:rPr>
          <w:rFonts w:hint="eastAsia" w:ascii="宋体" w:hAnsi="宋体" w:cs="仿宋"/>
          <w:sz w:val="28"/>
          <w:szCs w:val="28"/>
          <w:highlight w:val="none"/>
        </w:rPr>
        <w:t xml:space="preserve"> ）</w:t>
      </w:r>
    </w:p>
    <w:p>
      <w:pPr>
        <w:adjustRightInd w:val="0"/>
        <w:snapToGrid w:val="0"/>
        <w:spacing w:line="360" w:lineRule="auto"/>
        <w:jc w:val="center"/>
        <w:rPr>
          <w:rFonts w:ascii="宋体" w:cs="仿宋"/>
          <w:sz w:val="28"/>
          <w:szCs w:val="28"/>
          <w:highlight w:val="none"/>
        </w:rPr>
      </w:pP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w:t>
      </w:r>
      <w:r>
        <w:rPr>
          <w:rFonts w:hint="eastAsia" w:ascii="宋体" w:hAnsi="宋体" w:cs="仿宋"/>
          <w:sz w:val="28"/>
          <w:szCs w:val="28"/>
          <w:highlight w:val="none"/>
          <w:u w:val="single"/>
          <w:lang w:val="en-US" w:eastAsia="zh-CN"/>
        </w:rPr>
        <w:t>2</w:t>
      </w:r>
      <w:r>
        <w:rPr>
          <w:rFonts w:hint="eastAsia" w:ascii="宋体" w:hAnsi="宋体" w:cs="仿宋"/>
          <w:sz w:val="28"/>
          <w:szCs w:val="28"/>
          <w:highlight w:val="none"/>
          <w:u w:val="single"/>
        </w:rPr>
        <w:t>年0</w:t>
      </w:r>
      <w:r>
        <w:rPr>
          <w:rFonts w:hint="eastAsia" w:ascii="宋体" w:hAnsi="宋体" w:cs="仿宋"/>
          <w:sz w:val="28"/>
          <w:szCs w:val="28"/>
          <w:highlight w:val="none"/>
          <w:u w:val="single"/>
          <w:lang w:val="en-US" w:eastAsia="zh-CN"/>
        </w:rPr>
        <w:t>6</w:t>
      </w:r>
      <w:r>
        <w:rPr>
          <w:rFonts w:hint="eastAsia" w:ascii="宋体" w:hAnsi="宋体" w:cs="仿宋"/>
          <w:sz w:val="28"/>
          <w:szCs w:val="28"/>
          <w:highlight w:val="none"/>
          <w:u w:val="single"/>
        </w:rPr>
        <w:t>月</w:t>
      </w:r>
      <w:r>
        <w:rPr>
          <w:rFonts w:hint="eastAsia" w:ascii="宋体" w:hAnsi="宋体" w:cs="仿宋"/>
          <w:sz w:val="28"/>
          <w:szCs w:val="28"/>
          <w:highlight w:val="none"/>
          <w:u w:val="single"/>
          <w:lang w:val="en-US" w:eastAsia="zh-CN"/>
        </w:rPr>
        <w:t>10</w:t>
      </w:r>
      <w:r>
        <w:rPr>
          <w:rFonts w:hint="eastAsia" w:ascii="宋体" w:hAnsi="宋体" w:cs="仿宋"/>
          <w:sz w:val="28"/>
          <w:szCs w:val="28"/>
          <w:highlight w:val="none"/>
          <w:u w:val="single"/>
        </w:rPr>
        <w:t>日1</w:t>
      </w:r>
      <w:r>
        <w:rPr>
          <w:rFonts w:hint="eastAsia" w:ascii="宋体" w:hAnsi="宋体" w:cs="仿宋"/>
          <w:sz w:val="28"/>
          <w:szCs w:val="28"/>
          <w:highlight w:val="none"/>
          <w:u w:val="single"/>
          <w:lang w:val="en-US" w:eastAsia="zh-CN"/>
        </w:rPr>
        <w:t>5</w:t>
      </w:r>
      <w:r>
        <w:rPr>
          <w:rFonts w:hint="eastAsia" w:ascii="宋体" w:hAnsi="宋体" w:cs="仿宋"/>
          <w:sz w:val="28"/>
          <w:szCs w:val="28"/>
          <w:highlight w:val="none"/>
          <w:u w:val="single"/>
        </w:rPr>
        <w:t>：</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center"/>
        <w:rPr>
          <w:b/>
          <w:sz w:val="28"/>
          <w:szCs w:val="28"/>
          <w:highlight w:val="none"/>
        </w:rPr>
      </w:pPr>
    </w:p>
    <w:p>
      <w:pPr>
        <w:spacing w:line="360" w:lineRule="auto"/>
        <w:ind w:firstLine="560" w:firstLineChars="200"/>
        <w:rPr>
          <w:rFonts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科研工作需要，受校</w:t>
      </w:r>
      <w:r>
        <w:rPr>
          <w:rFonts w:hint="eastAsia" w:ascii="宋体" w:hAnsi="宋体"/>
          <w:sz w:val="28"/>
          <w:szCs w:val="28"/>
          <w:highlight w:val="none"/>
        </w:rPr>
        <w:t>国际合作与交流处</w:t>
      </w:r>
      <w:r>
        <w:rPr>
          <w:rFonts w:ascii="宋体" w:hAnsi="宋体"/>
          <w:sz w:val="28"/>
          <w:szCs w:val="28"/>
          <w:highlight w:val="none"/>
        </w:rPr>
        <w:t>委托，就</w:t>
      </w:r>
      <w:r>
        <w:rPr>
          <w:rFonts w:hint="eastAsia" w:ascii="宋体" w:hAnsi="宋体"/>
          <w:sz w:val="28"/>
          <w:szCs w:val="28"/>
          <w:highlight w:val="none"/>
        </w:rPr>
        <w:t>南京信息工程大学2022年秋季国际课程视频制作服务</w:t>
      </w:r>
      <w:r>
        <w:rPr>
          <w:rFonts w:hint="eastAsia" w:ascii="宋体" w:hAnsi="宋体"/>
          <w:sz w:val="28"/>
          <w:szCs w:val="28"/>
          <w:highlight w:val="none"/>
        </w:rPr>
        <w:t>项目</w:t>
      </w:r>
      <w:r>
        <w:rPr>
          <w:rFonts w:ascii="宋体" w:hAnsi="宋体"/>
          <w:sz w:val="28"/>
          <w:szCs w:val="28"/>
          <w:highlight w:val="none"/>
        </w:rPr>
        <w:t>进行公开招标，欢迎符合条件的供应商报名投标，现将有关情况说明如下：</w:t>
      </w:r>
    </w:p>
    <w:p>
      <w:pPr>
        <w:spacing w:line="360" w:lineRule="auto"/>
        <w:ind w:firstLine="480" w:firstLineChars="200"/>
        <w:rPr>
          <w:sz w:val="24"/>
          <w:highlight w:val="none"/>
        </w:rPr>
      </w:pPr>
    </w:p>
    <w:p>
      <w:pPr>
        <w:pStyle w:val="34"/>
        <w:spacing w:line="360" w:lineRule="auto"/>
        <w:ind w:firstLine="0" w:firstLineChars="0"/>
        <w:jc w:val="center"/>
        <w:rPr>
          <w:rFonts w:ascii="宋体" w:hAnsi="宋体" w:cs="仿宋"/>
          <w:b/>
          <w:bCs/>
          <w:kern w:val="2"/>
          <w:sz w:val="28"/>
          <w:szCs w:val="28"/>
          <w:highlight w:val="none"/>
        </w:rPr>
      </w:pPr>
      <w:r>
        <w:rPr>
          <w:rFonts w:hint="eastAsia" w:ascii="宋体" w:hAnsi="宋体" w:cs="仿宋"/>
          <w:b/>
          <w:bCs/>
          <w:kern w:val="2"/>
          <w:sz w:val="28"/>
          <w:szCs w:val="28"/>
          <w:highlight w:val="none"/>
        </w:rPr>
        <w:t>一、招标项目名称及简要说明</w:t>
      </w:r>
    </w:p>
    <w:p>
      <w:pPr>
        <w:pStyle w:val="34"/>
        <w:spacing w:line="360" w:lineRule="auto"/>
        <w:ind w:firstLine="560"/>
        <w:rPr>
          <w:rFonts w:ascii="宋体" w:hAnsi="宋体"/>
          <w:kern w:val="2"/>
          <w:sz w:val="28"/>
          <w:szCs w:val="28"/>
          <w:highlight w:val="none"/>
        </w:rPr>
      </w:pPr>
      <w:r>
        <w:rPr>
          <w:rFonts w:ascii="宋体" w:hAnsi="宋体"/>
          <w:kern w:val="2"/>
          <w:sz w:val="28"/>
          <w:szCs w:val="28"/>
          <w:highlight w:val="none"/>
        </w:rPr>
        <w:t>1. 项目名称：南京信息工程大学</w:t>
      </w:r>
      <w:r>
        <w:rPr>
          <w:rFonts w:hint="eastAsia" w:ascii="宋体" w:hAnsi="宋体"/>
          <w:kern w:val="2"/>
          <w:sz w:val="28"/>
          <w:szCs w:val="28"/>
          <w:highlight w:val="none"/>
        </w:rPr>
        <w:t>2022年秋季国际课程视频制作服务</w:t>
      </w:r>
      <w:r>
        <w:rPr>
          <w:rFonts w:hint="eastAsia" w:ascii="宋体" w:hAnsi="宋体"/>
          <w:sz w:val="28"/>
          <w:szCs w:val="28"/>
          <w:highlight w:val="none"/>
        </w:rPr>
        <w:t>采购项目</w:t>
      </w:r>
      <w:r>
        <w:rPr>
          <w:rFonts w:ascii="宋体" w:hAnsi="宋体"/>
          <w:kern w:val="2"/>
          <w:sz w:val="28"/>
          <w:szCs w:val="28"/>
          <w:highlight w:val="none"/>
        </w:rPr>
        <w:t>。</w:t>
      </w:r>
    </w:p>
    <w:p>
      <w:pPr>
        <w:spacing w:line="300" w:lineRule="auto"/>
        <w:ind w:firstLine="560" w:firstLineChars="200"/>
        <w:rPr>
          <w:rFonts w:ascii="宋体" w:hAnsi="宋体"/>
          <w:sz w:val="28"/>
          <w:szCs w:val="28"/>
          <w:highlight w:val="none"/>
        </w:rPr>
      </w:pPr>
      <w:r>
        <w:rPr>
          <w:rFonts w:ascii="宋体" w:hAnsi="宋体"/>
          <w:sz w:val="28"/>
          <w:szCs w:val="28"/>
          <w:highlight w:val="none"/>
        </w:rPr>
        <w:t xml:space="preserve">2. </w:t>
      </w:r>
      <w:r>
        <w:rPr>
          <w:rFonts w:hint="eastAsia" w:ascii="宋体" w:hAnsi="宋体" w:cs="仿宋"/>
          <w:sz w:val="28"/>
          <w:szCs w:val="28"/>
          <w:highlight w:val="none"/>
        </w:rPr>
        <w:t>项目说明：</w:t>
      </w:r>
      <w:r>
        <w:rPr>
          <w:rFonts w:hint="eastAsia" w:ascii="宋体" w:hAnsi="宋体"/>
          <w:sz w:val="28"/>
          <w:szCs w:val="28"/>
          <w:highlight w:val="none"/>
        </w:rPr>
        <w:t>南京信息工程大学校内，本次招标</w:t>
      </w:r>
      <w:r>
        <w:rPr>
          <w:rFonts w:hint="eastAsia" w:ascii="宋体" w:hAnsi="宋体" w:cs="仿宋"/>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highlight w:val="none"/>
        </w:rPr>
      </w:pPr>
      <w:r>
        <w:rPr>
          <w:rFonts w:ascii="宋体" w:hAnsi="宋体"/>
          <w:sz w:val="28"/>
          <w:szCs w:val="28"/>
          <w:highlight w:val="none"/>
        </w:rPr>
        <w:t>3</w:t>
      </w:r>
      <w:bookmarkStart w:id="2"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21"/>
          <w:b/>
          <w:color w:val="auto"/>
          <w:sz w:val="24"/>
          <w:highlight w:val="none"/>
        </w:rPr>
        <w:t>https://bulletin.nuist.edu.cn/779/lis</w:t>
      </w:r>
      <w:r>
        <w:rPr>
          <w:rStyle w:val="21"/>
          <w:color w:val="auto"/>
          <w:sz w:val="24"/>
          <w:highlight w:val="none"/>
        </w:rPr>
        <w:t>t.htm</w:t>
      </w:r>
      <w:r>
        <w:rPr>
          <w:rStyle w:val="21"/>
          <w:color w:val="auto"/>
          <w:sz w:val="24"/>
          <w:highlight w:val="none"/>
        </w:rPr>
        <w:fldChar w:fldCharType="end"/>
      </w:r>
      <w:r>
        <w:rPr>
          <w:rFonts w:hint="eastAsia" w:ascii="宋体" w:hAnsi="宋体"/>
          <w:sz w:val="28"/>
          <w:szCs w:val="28"/>
          <w:highlight w:val="none"/>
        </w:rPr>
        <w:t>和</w:t>
      </w:r>
      <w:r>
        <w:rPr>
          <w:highlight w:val="none"/>
          <w:u w:val="single"/>
        </w:rPr>
        <w:fldChar w:fldCharType="begin"/>
      </w:r>
      <w:r>
        <w:rPr>
          <w:highlight w:val="none"/>
          <w:u w:val="single"/>
        </w:rPr>
        <w:instrText xml:space="preserve"> HYPERLINK "http://zbc.nuist.edu.cn" </w:instrText>
      </w:r>
      <w:r>
        <w:rPr>
          <w:highlight w:val="none"/>
          <w:u w:val="single"/>
        </w:rPr>
        <w:fldChar w:fldCharType="separate"/>
      </w:r>
      <w:r>
        <w:rPr>
          <w:rFonts w:ascii="宋体" w:hAnsi="宋体"/>
          <w:b/>
          <w:sz w:val="24"/>
          <w:szCs w:val="28"/>
          <w:highlight w:val="none"/>
          <w:u w:val="single"/>
        </w:rPr>
        <w:t>zbc.nuist.edu.cn</w:t>
      </w:r>
      <w:r>
        <w:rPr>
          <w:rFonts w:ascii="宋体" w:hAnsi="宋体"/>
          <w:b/>
          <w:sz w:val="24"/>
          <w:szCs w:val="28"/>
          <w:highlight w:val="none"/>
          <w:u w:val="singl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hAnsi="宋体" w:cs="宋体"/>
          <w:sz w:val="28"/>
          <w:szCs w:val="28"/>
          <w:highlight w:val="none"/>
        </w:rPr>
      </w:pPr>
      <w:r>
        <w:rPr>
          <w:rFonts w:ascii="宋体" w:hAnsi="宋体"/>
          <w:sz w:val="28"/>
          <w:szCs w:val="28"/>
          <w:highlight w:val="none"/>
        </w:rPr>
        <w:t>4</w:t>
      </w:r>
      <w:bookmarkStart w:id="3" w:name="_Hlk9866054"/>
      <w:r>
        <w:rPr>
          <w:rFonts w:hint="eastAsia" w:ascii="宋体" w:hAnsi="宋体"/>
          <w:sz w:val="28"/>
          <w:szCs w:val="28"/>
          <w:highlight w:val="none"/>
        </w:rPr>
        <w:t>.招标文件由我校采购人、项目归口管理部门和招标办联合起草；经学校相关职能部门会审通过形成正式招标文件。同时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份纸质的正式招标文件，由招标办负责人和招标办工作人员同时签字并加盖财务处骑缝章后，分别交招标办、项目归口管理部门（或采购人）、审计处各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5.正式的答疑回复文件也按上述方式处理留存。</w:t>
      </w:r>
    </w:p>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6.投标有效期：自开标之日起90天内投标有效。</w:t>
      </w:r>
    </w:p>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7.招标过程接受学校纪检监察部门监督检查。</w:t>
      </w:r>
    </w:p>
    <w:p>
      <w:pPr>
        <w:adjustRightInd w:val="0"/>
        <w:snapToGrid w:val="0"/>
        <w:spacing w:before="312" w:beforeLines="100" w:after="312"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highlight w:val="none"/>
          <w:u w:val="single"/>
        </w:rPr>
      </w:pPr>
      <w:r>
        <w:rPr>
          <w:rFonts w:hint="eastAsia" w:ascii="宋体" w:hAnsi="宋体" w:cs="Arial"/>
          <w:i/>
          <w:iCs/>
          <w:sz w:val="28"/>
          <w:szCs w:val="28"/>
          <w:highlight w:val="none"/>
          <w:u w:val="single"/>
        </w:rPr>
        <w:t>（一）参加政府采购的供应商应当具备政府采购法</w:t>
      </w:r>
      <w:r>
        <w:rPr>
          <w:rFonts w:ascii="宋体" w:hAnsi="宋体" w:cs="Arial"/>
          <w:i/>
          <w:iCs/>
          <w:sz w:val="28"/>
          <w:szCs w:val="28"/>
          <w:highlight w:val="none"/>
          <w:u w:val="single"/>
        </w:rPr>
        <w:t>第二十二条</w:t>
      </w:r>
      <w:r>
        <w:rPr>
          <w:rFonts w:hint="eastAsia" w:ascii="宋体" w:hAnsi="宋体" w:cs="Arial"/>
          <w:i/>
          <w:iCs/>
          <w:sz w:val="28"/>
          <w:szCs w:val="28"/>
          <w:highlight w:val="none"/>
          <w:u w:val="single"/>
        </w:rPr>
        <w:t>第一款</w:t>
      </w:r>
      <w:r>
        <w:rPr>
          <w:rFonts w:ascii="宋体" w:hAnsi="宋体" w:cs="Arial"/>
          <w:i/>
          <w:iCs/>
          <w:sz w:val="28"/>
          <w:szCs w:val="28"/>
          <w:highlight w:val="none"/>
          <w:u w:val="single"/>
        </w:rPr>
        <w:t>规定</w:t>
      </w:r>
      <w:r>
        <w:rPr>
          <w:rFonts w:hint="eastAsia" w:ascii="宋体" w:hAnsi="宋体" w:cs="Arial"/>
          <w:i/>
          <w:iCs/>
          <w:sz w:val="28"/>
          <w:szCs w:val="28"/>
          <w:highlight w:val="none"/>
          <w:u w:val="single"/>
        </w:rPr>
        <w:t>的条件，并依照政府采购法实施条例第十七条规定提供下列材料：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1.具有独立承担民事责任的能力，提供法人或其他组织的营业执照等证明文件，复印件加盖公章；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2.法人代表授权书（原件）及法定代表人、授权代表身份证复印件（如果是法定代表人直接参与投标的可以不提供授权书）；</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6.有依法缴纳税收的良好记录，提供距开标时间六个月内任意一月份的纳税凭据复印件加盖公章（依法免税的应提供相应文件说明）；</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7.有依法缴纳社会保障资金的良好记录，提供距开标时间六个月内任意一月份的依法缴纳社会保障资金的凭据复印件加盖公章；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8.本项目拒绝下述供应商参加本次采购活动的情形：</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（1）供应商单位负责人为同一人或者存在直接控股、管理关系的不同供应商，不得参加同一合同项下的政府采购活动。</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（2）凡为采购项目提供整体设计、规范编制或者项目管理、监理、检测等服务的供应商，不得再参加本项目的采购活动。</w:t>
      </w:r>
    </w:p>
    <w:p>
      <w:pPr>
        <w:spacing w:line="360" w:lineRule="auto"/>
        <w:ind w:firstLine="548" w:firstLineChars="196"/>
        <w:rPr>
          <w:rFonts w:ascii="宋体" w:hAnsi="宋体" w:cs="宋体"/>
          <w:sz w:val="28"/>
          <w:szCs w:val="28"/>
          <w:highlight w:val="none"/>
        </w:rPr>
      </w:pPr>
      <w:r>
        <w:rPr>
          <w:rFonts w:hint="eastAsia" w:ascii="宋体" w:hAnsi="宋体" w:cs="宋体"/>
          <w:bCs/>
          <w:sz w:val="28"/>
          <w:szCs w:val="28"/>
          <w:highlight w:val="none"/>
        </w:rPr>
        <w:t>（3）供应商被“信用中国”网站（www.creditchina.gov.cn）、“中国政府采</w:t>
      </w:r>
      <w:r>
        <w:rPr>
          <w:rFonts w:hint="eastAsia" w:ascii="宋体" w:hAnsi="宋体" w:cs="宋体"/>
          <w:sz w:val="28"/>
          <w:szCs w:val="28"/>
          <w:highlight w:val="none"/>
        </w:rPr>
        <w:t>购网”(www.ccgp.gov.cn)列入失信被执行人、重大税收违法案件当事人名单、政府采购严重违法失信行为记录名单。</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9.本项目不接受联合体投标。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六、本项目预算价为</w:t>
      </w:r>
      <w:r>
        <w:rPr>
          <w:rFonts w:hint="eastAsia" w:ascii="宋体" w:hAnsi="宋体" w:cs="宋体"/>
          <w:sz w:val="28"/>
          <w:szCs w:val="28"/>
          <w:highlight w:val="none"/>
        </w:rPr>
        <w:t xml:space="preserve"> 29.</w:t>
      </w:r>
      <w:r>
        <w:rPr>
          <w:rFonts w:hint="eastAsia" w:ascii="宋体" w:hAnsi="宋体" w:cs="宋体"/>
          <w:sz w:val="28"/>
          <w:szCs w:val="28"/>
          <w:highlight w:val="none"/>
          <w:lang w:val="en-US" w:eastAsia="zh-CN"/>
        </w:rPr>
        <w:t>80</w:t>
      </w:r>
      <w:r>
        <w:rPr>
          <w:rFonts w:hint="eastAsia" w:ascii="宋体" w:hAnsi="宋体" w:cs="宋体"/>
          <w:sz w:val="28"/>
          <w:szCs w:val="28"/>
          <w:highlight w:val="none"/>
        </w:rPr>
        <w:t xml:space="preserve"> </w:t>
      </w:r>
      <w:r>
        <w:rPr>
          <w:rFonts w:hint="eastAsia" w:ascii="宋体" w:hAnsi="宋体" w:cs="宋体"/>
          <w:sz w:val="28"/>
          <w:szCs w:val="28"/>
          <w:highlight w:val="none"/>
        </w:rPr>
        <w:t>万元，本项目只接受人民币报价。</w:t>
      </w:r>
    </w:p>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4" w:name="_Hlk9866140"/>
      <w:r>
        <w:rPr>
          <w:rFonts w:hint="eastAsia" w:ascii="黑体" w:hAnsi="黑体" w:eastAsia="黑体" w:cs="宋体"/>
          <w:sz w:val="28"/>
          <w:szCs w:val="28"/>
          <w:highlight w:val="none"/>
        </w:rPr>
        <w:t>三、对投标文件的要求</w:t>
      </w:r>
    </w:p>
    <w:p>
      <w:pPr>
        <w:snapToGrid w:val="0"/>
        <w:spacing w:line="538" w:lineRule="exact"/>
        <w:ind w:firstLine="560" w:firstLineChars="200"/>
        <w:rPr>
          <w:rFonts w:ascii="宋体" w:hAnsi="宋体" w:cs="宋体"/>
          <w:bCs/>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w:t>
      </w:r>
      <w:r>
        <w:rPr>
          <w:rFonts w:hint="eastAsia" w:ascii="宋体" w:hAnsi="宋体" w:cs="宋体"/>
          <w:bCs/>
          <w:sz w:val="28"/>
          <w:szCs w:val="28"/>
          <w:highlight w:val="none"/>
        </w:rPr>
        <w:t>从公告中自行下载招标文件电子版，并按招标文件的要求认真编制投标文件。</w:t>
      </w:r>
    </w:p>
    <w:p>
      <w:pPr>
        <w:snapToGrid w:val="0"/>
        <w:spacing w:line="538" w:lineRule="exact"/>
        <w:ind w:firstLine="560" w:firstLineChars="200"/>
        <w:rPr>
          <w:rFonts w:ascii="宋体" w:hAnsi="宋体" w:cs="宋体"/>
          <w:sz w:val="28"/>
          <w:szCs w:val="28"/>
          <w:highlight w:val="none"/>
        </w:rPr>
      </w:pPr>
      <w:r>
        <w:rPr>
          <w:rFonts w:hint="eastAsia" w:ascii="宋体" w:hAnsi="宋体" w:cs="宋体"/>
          <w:sz w:val="28"/>
          <w:szCs w:val="28"/>
          <w:highlight w:val="none"/>
        </w:rPr>
        <w:t>2.投标文件一正四副，正、副本均须列出目录，内容不得有插行、涂抹、粘贴等，并打印装订成册。</w:t>
      </w:r>
    </w:p>
    <w:p>
      <w:pPr>
        <w:snapToGrid w:val="0"/>
        <w:spacing w:line="538" w:lineRule="exact"/>
        <w:ind w:firstLine="560" w:firstLineChars="200"/>
        <w:rPr>
          <w:rFonts w:ascii="宋体" w:cs="宋体"/>
          <w:sz w:val="28"/>
          <w:szCs w:val="28"/>
          <w:highlight w:val="none"/>
        </w:rPr>
      </w:pPr>
      <w:r>
        <w:rPr>
          <w:rFonts w:hint="eastAsia" w:ascii="宋体" w:hAnsi="宋体" w:cs="宋体"/>
          <w:sz w:val="28"/>
          <w:szCs w:val="28"/>
          <w:highlight w:val="none"/>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 xml:space="preserve"> 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13</w:t>
      </w: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14</w:t>
      </w:r>
      <w:r>
        <w:rPr>
          <w:rFonts w:hint="eastAsia" w:ascii="宋体" w:hAnsi="宋体" w:cs="宋体"/>
          <w:sz w:val="28"/>
          <w:szCs w:val="28"/>
          <w:highlight w:val="none"/>
        </w:rPr>
        <w:t>）招标文件规定或投标人对照评标办法的得分因素以及附件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15</w:t>
      </w:r>
      <w:r>
        <w:rPr>
          <w:rFonts w:hint="eastAsia" w:ascii="宋体" w:hAnsi="宋体" w:cs="宋体"/>
          <w:sz w:val="28"/>
          <w:szCs w:val="28"/>
          <w:highlight w:val="none"/>
        </w:rPr>
        <w:t>）</w:t>
      </w:r>
      <w:r>
        <w:rPr>
          <w:rFonts w:hint="eastAsia"/>
          <w:sz w:val="28"/>
          <w:szCs w:val="28"/>
          <w:highlight w:val="none"/>
        </w:rPr>
        <w:t>投标人必须投本标书所有标段的设备，不允许分标段投标；标书中服务器标段必须满足所有参数要求，其余标段标</w:t>
      </w:r>
      <w:r>
        <w:rPr>
          <w:rFonts w:hint="eastAsia" w:ascii="宋体" w:hAnsi="宋体" w:cs="Arial"/>
          <w:kern w:val="0"/>
          <w:sz w:val="18"/>
          <w:szCs w:val="18"/>
          <w:highlight w:val="none"/>
        </w:rPr>
        <w:t>★</w:t>
      </w:r>
      <w:r>
        <w:rPr>
          <w:rFonts w:hint="eastAsia"/>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5" w:name="_Hlk9866206"/>
      <w:r>
        <w:rPr>
          <w:rFonts w:hint="eastAsia" w:ascii="黑体" w:hAnsi="黑体" w:eastAsia="黑体" w:cs="宋体"/>
          <w:sz w:val="28"/>
          <w:szCs w:val="28"/>
          <w:highlight w:val="none"/>
        </w:rPr>
        <w:t>四、开标程序</w:t>
      </w:r>
    </w:p>
    <w:bookmarkEnd w:id="5"/>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spacing w:line="360" w:lineRule="auto"/>
        <w:ind w:firstLine="548" w:firstLineChars="196"/>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w:t>
      </w:r>
      <w:r>
        <w:rPr>
          <w:rFonts w:hint="eastAsia" w:ascii="仿宋" w:hAnsi="仿宋" w:eastAsia="仿宋" w:cs="仿宋"/>
          <w:b/>
          <w:bCs/>
          <w:i w:val="0"/>
          <w:iCs w:val="0"/>
          <w:caps w:val="0"/>
          <w:color w:val="000000"/>
          <w:spacing w:val="0"/>
          <w:kern w:val="0"/>
          <w:sz w:val="28"/>
          <w:szCs w:val="28"/>
          <w:highlight w:val="none"/>
          <w:lang w:val="en-US" w:eastAsia="zh-CN" w:bidi="ar"/>
        </w:rPr>
        <w:t>JZCG-2022-00063资料费</w:t>
      </w:r>
      <w:r>
        <w:rPr>
          <w:rFonts w:hint="eastAsia" w:ascii="宋体" w:hAnsi="宋体" w:cs="宋体"/>
          <w:b/>
          <w:sz w:val="28"/>
          <w:szCs w:val="28"/>
          <w:highlight w:val="none"/>
        </w:rPr>
        <w:t>”</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个工作日内，中标单位须及时缴纳中标价的10%作为履约保证金并前来我校领取《中标通知书》（一式二份）。服务完成，验收合格后返还50%履约保证金，另50%履约保证金转为质量保证金。</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针对国内供应货物，签订合同后，20日内预付合同金额的30%，全部货物交货并最终验收合格后，凭验收凭证和货物验收合格等文件20内支付至合同金额的100%，质保期满后，经有关单位确认无质量问题后，一次性无息付清所有保证金。具体内容以最终签署的合同约定为准。</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）我校不接收现金或支付宝等方式交费。各投标人务必通过单位银行基本账户提前将资料费汇至我校以下账号：</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。请各投标人务必在转账留言栏备注填写</w:t>
      </w:r>
      <w:r>
        <w:rPr>
          <w:rFonts w:hint="eastAsia" w:ascii="宋体" w:hAnsi="宋体" w:cs="宋体"/>
          <w:b/>
          <w:sz w:val="28"/>
          <w:szCs w:val="28"/>
          <w:highlight w:val="none"/>
        </w:rPr>
        <w:t>“</w:t>
      </w:r>
      <w:r>
        <w:rPr>
          <w:rFonts w:hint="eastAsia" w:ascii="仿宋" w:hAnsi="仿宋" w:eastAsia="仿宋" w:cs="仿宋"/>
          <w:b/>
          <w:bCs/>
          <w:i w:val="0"/>
          <w:iCs w:val="0"/>
          <w:caps w:val="0"/>
          <w:color w:val="000000"/>
          <w:spacing w:val="0"/>
          <w:kern w:val="0"/>
          <w:sz w:val="28"/>
          <w:szCs w:val="28"/>
          <w:highlight w:val="none"/>
          <w:lang w:val="en-US" w:eastAsia="zh-CN" w:bidi="ar"/>
        </w:rPr>
        <w:t>JZCG-2022-00063资料费</w:t>
      </w:r>
      <w:r>
        <w:rPr>
          <w:rFonts w:hint="eastAsia" w:ascii="宋体" w:hAnsi="宋体" w:cs="宋体"/>
          <w:b/>
          <w:sz w:val="28"/>
          <w:szCs w:val="28"/>
          <w:highlight w:val="none"/>
        </w:rPr>
        <w:t>”</w:t>
      </w:r>
      <w:r>
        <w:rPr>
          <w:rFonts w:hint="eastAsia" w:ascii="宋体" w:hAnsi="宋体" w:cs="宋体"/>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履约保证金：</w:t>
      </w:r>
      <w:r>
        <w:rPr>
          <w:rFonts w:hint="eastAsia" w:ascii="宋体" w:hAnsi="宋体" w:cs="宋体"/>
          <w:sz w:val="28"/>
          <w:szCs w:val="28"/>
          <w:highlight w:val="none"/>
        </w:rPr>
        <w:t>中标价10%。</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highlight w:val="none"/>
        </w:rPr>
        <w:t>300</w:t>
      </w:r>
      <w:r>
        <w:rPr>
          <w:rFonts w:hint="eastAsia" w:ascii="宋体" w:hAnsi="宋体" w:cs="宋体"/>
          <w:sz w:val="28"/>
          <w:szCs w:val="28"/>
          <w:highlight w:val="none"/>
        </w:rPr>
        <w:t>元资料费（</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）履约保证金交退咨询：财务处结算中心（体育馆北面，南气宾馆东侧的大学生创业中心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号楼二楼201）。</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）如中标单位有下列情况之一，不予退还履约保证金，我校将其列入招投标诚信“黑名单”，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年内不得到我校从事任何投标活动。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质保：参照附件4服务要求</w:t>
      </w:r>
    </w:p>
    <w:p>
      <w:pPr>
        <w:spacing w:before="312" w:beforeLines="100" w:after="312" w:afterLines="100" w:line="360" w:lineRule="auto"/>
        <w:jc w:val="center"/>
        <w:rPr>
          <w:rFonts w:ascii="黑体" w:hAnsi="黑体" w:eastAsia="黑体"/>
          <w:sz w:val="28"/>
          <w:szCs w:val="28"/>
          <w:highlight w:val="none"/>
        </w:rPr>
      </w:pPr>
      <w:bookmarkStart w:id="6" w:name="_Hlk9866833"/>
      <w:r>
        <w:rPr>
          <w:rFonts w:hint="eastAsia" w:ascii="黑体" w:hAnsi="黑体" w:eastAsia="黑体"/>
          <w:sz w:val="28"/>
          <w:szCs w:val="28"/>
          <w:highlight w:val="none"/>
        </w:rPr>
        <w:t>八、日程安排和联系方式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w:t>
      </w:r>
    </w:p>
    <w:p>
      <w:pP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spacing w:line="360" w:lineRule="auto"/>
        <w:ind w:firstLine="560" w:firstLineChars="20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rPr>
        <w:t xml:space="preserve">答疑时间：          </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）投标人如有疑问，请在</w:t>
      </w:r>
      <w:r>
        <w:rPr>
          <w:rFonts w:ascii="宋体" w:hAnsi="宋体"/>
          <w:b/>
          <w:sz w:val="28"/>
          <w:szCs w:val="28"/>
          <w:highlight w:val="none"/>
          <w:u w:val="single"/>
        </w:rPr>
        <w:t>202</w:t>
      </w:r>
      <w:r>
        <w:rPr>
          <w:rFonts w:hint="eastAsia" w:ascii="宋体" w:hAnsi="宋体"/>
          <w:b/>
          <w:sz w:val="28"/>
          <w:szCs w:val="28"/>
          <w:highlight w:val="none"/>
          <w:u w:val="single"/>
          <w:lang w:val="en-US" w:eastAsia="zh-CN"/>
        </w:rPr>
        <w:t>2</w:t>
      </w:r>
      <w:r>
        <w:rPr>
          <w:rFonts w:hint="eastAsia" w:ascii="宋体" w:hAnsi="宋体"/>
          <w:b/>
          <w:sz w:val="28"/>
          <w:szCs w:val="28"/>
          <w:highlight w:val="none"/>
          <w:u w:val="single"/>
        </w:rPr>
        <w:t>年0</w:t>
      </w:r>
      <w:r>
        <w:rPr>
          <w:rFonts w:hint="eastAsia" w:ascii="宋体" w:hAnsi="宋体"/>
          <w:b/>
          <w:sz w:val="28"/>
          <w:szCs w:val="28"/>
          <w:highlight w:val="none"/>
          <w:u w:val="single"/>
          <w:lang w:val="en-US" w:eastAsia="zh-CN"/>
        </w:rPr>
        <w:t>6</w:t>
      </w:r>
      <w:r>
        <w:rPr>
          <w:rFonts w:hint="eastAsia" w:ascii="宋体" w:hAnsi="宋体"/>
          <w:b/>
          <w:sz w:val="28"/>
          <w:szCs w:val="28"/>
          <w:highlight w:val="none"/>
          <w:u w:val="single"/>
        </w:rPr>
        <w:t>月1</w:t>
      </w:r>
      <w:r>
        <w:rPr>
          <w:rFonts w:hint="eastAsia" w:ascii="宋体" w:hAnsi="宋体"/>
          <w:b/>
          <w:sz w:val="28"/>
          <w:szCs w:val="28"/>
          <w:highlight w:val="none"/>
          <w:u w:val="single"/>
          <w:lang w:val="en-US" w:eastAsia="zh-CN"/>
        </w:rPr>
        <w:t>7</w:t>
      </w:r>
      <w:r>
        <w:rPr>
          <w:rFonts w:hint="eastAsia" w:ascii="宋体" w:hAnsi="宋体"/>
          <w:b/>
          <w:sz w:val="28"/>
          <w:szCs w:val="28"/>
          <w:highlight w:val="none"/>
          <w:u w:val="single"/>
        </w:rPr>
        <w:t>日</w:t>
      </w:r>
      <w:r>
        <w:rPr>
          <w:rFonts w:ascii="宋体" w:hAnsi="宋体"/>
          <w:b/>
          <w:sz w:val="28"/>
          <w:szCs w:val="28"/>
          <w:highlight w:val="none"/>
          <w:u w:val="single"/>
        </w:rPr>
        <w:t>11</w:t>
      </w:r>
      <w:r>
        <w:rPr>
          <w:rFonts w:hint="eastAsia" w:ascii="宋体" w:hAnsi="宋体"/>
          <w:b/>
          <w:sz w:val="28"/>
          <w:szCs w:val="28"/>
          <w:highlight w:val="none"/>
          <w:u w:val="single"/>
        </w:rPr>
        <w:t>：</w:t>
      </w:r>
      <w:r>
        <w:rPr>
          <w:rFonts w:ascii="宋体" w:hAnsi="宋体"/>
          <w:b/>
          <w:sz w:val="28"/>
          <w:szCs w:val="28"/>
          <w:highlight w:val="none"/>
          <w:u w:val="single"/>
        </w:rPr>
        <w:t>3</w:t>
      </w:r>
      <w:r>
        <w:rPr>
          <w:highlight w:val="none"/>
        </w:rPr>
        <w:fldChar w:fldCharType="begin"/>
      </w:r>
      <w:r>
        <w:rPr>
          <w:highlight w:val="none"/>
        </w:rPr>
        <w:instrText xml:space="preserve"> HYPERLINK "mailto:30前将问题一律以word格式或txt格式发至89523765@qq.com" </w:instrText>
      </w:r>
      <w:r>
        <w:rPr>
          <w:highlight w:val="none"/>
        </w:rPr>
        <w:fldChar w:fldCharType="separate"/>
      </w:r>
      <w:r>
        <w:rPr>
          <w:rFonts w:ascii="宋体"/>
          <w:b/>
          <w:sz w:val="28"/>
          <w:szCs w:val="28"/>
          <w:highlight w:val="none"/>
          <w:u w:val="single"/>
        </w:rPr>
        <w:t>0</w:t>
      </w:r>
      <w:r>
        <w:rPr>
          <w:rFonts w:hint="eastAsia" w:ascii="宋体" w:hAnsi="宋体"/>
          <w:sz w:val="28"/>
          <w:szCs w:val="28"/>
          <w:highlight w:val="none"/>
        </w:rPr>
        <w:t>前将问题以</w:t>
      </w:r>
      <w:r>
        <w:rPr>
          <w:rFonts w:ascii="宋体" w:hAnsi="宋体"/>
          <w:sz w:val="28"/>
          <w:szCs w:val="28"/>
          <w:highlight w:val="none"/>
        </w:rPr>
        <w:t>word</w:t>
      </w:r>
      <w:r>
        <w:rPr>
          <w:rFonts w:hint="eastAsia" w:ascii="宋体" w:hAnsi="宋体"/>
          <w:sz w:val="28"/>
          <w:szCs w:val="28"/>
          <w:highlight w:val="none"/>
        </w:rPr>
        <w:t>格式或</w:t>
      </w:r>
      <w:r>
        <w:rPr>
          <w:rFonts w:ascii="宋体" w:hAnsi="宋体"/>
          <w:sz w:val="28"/>
          <w:szCs w:val="28"/>
          <w:highlight w:val="none"/>
        </w:rPr>
        <w:t>txt</w:t>
      </w:r>
      <w:r>
        <w:rPr>
          <w:rFonts w:hint="eastAsia" w:ascii="宋体" w:hAnsi="宋体"/>
          <w:sz w:val="28"/>
          <w:szCs w:val="28"/>
          <w:highlight w:val="none"/>
        </w:rPr>
        <w:t>格式发至</w:t>
      </w:r>
      <w:r>
        <w:rPr>
          <w:rFonts w:ascii="宋体" w:hAnsi="宋体"/>
          <w:sz w:val="28"/>
          <w:szCs w:val="28"/>
          <w:highlight w:val="none"/>
        </w:rPr>
        <w:t>2483567991@qq.com</w:t>
      </w:r>
      <w:r>
        <w:rPr>
          <w:rFonts w:ascii="宋体" w:hAnsi="宋体"/>
          <w:sz w:val="28"/>
          <w:szCs w:val="28"/>
          <w:highlight w:val="none"/>
        </w:rPr>
        <w:fldChar w:fldCharType="end"/>
      </w:r>
      <w:r>
        <w:rPr>
          <w:rFonts w:hint="eastAsia" w:ascii="宋体" w:hAnsi="宋体"/>
          <w:sz w:val="28"/>
          <w:szCs w:val="28"/>
          <w:highlight w:val="none"/>
        </w:rPr>
        <w:t>（质疑函请勿以</w:t>
      </w:r>
      <w:r>
        <w:rPr>
          <w:rFonts w:ascii="宋体" w:hAnsi="宋体"/>
          <w:sz w:val="28"/>
          <w:szCs w:val="28"/>
          <w:highlight w:val="none"/>
        </w:rPr>
        <w:t>JPG</w:t>
      </w:r>
      <w:r>
        <w:rPr>
          <w:rFonts w:hint="eastAsia" w:ascii="宋体" w:hAnsi="宋体"/>
          <w:sz w:val="28"/>
          <w:szCs w:val="28"/>
          <w:highlight w:val="none"/>
        </w:rPr>
        <w:t>或</w:t>
      </w:r>
      <w:r>
        <w:rPr>
          <w:rFonts w:ascii="宋体" w:hAnsi="宋体"/>
          <w:sz w:val="28"/>
          <w:szCs w:val="28"/>
          <w:highlight w:val="none"/>
        </w:rPr>
        <w:t>PDF</w:t>
      </w:r>
      <w:r>
        <w:rPr>
          <w:rFonts w:hint="eastAsia" w:ascii="宋体" w:hAnsi="宋体"/>
          <w:sz w:val="28"/>
          <w:szCs w:val="28"/>
          <w:highlight w:val="none"/>
        </w:rPr>
        <w:t>格式，对</w:t>
      </w:r>
      <w:r>
        <w:rPr>
          <w:rFonts w:ascii="宋体" w:hAnsi="宋体"/>
          <w:sz w:val="28"/>
          <w:szCs w:val="28"/>
          <w:highlight w:val="none"/>
        </w:rPr>
        <w:t>JPG</w:t>
      </w:r>
      <w:r>
        <w:rPr>
          <w:rFonts w:hint="eastAsia" w:ascii="宋体" w:hAnsi="宋体"/>
          <w:sz w:val="28"/>
          <w:szCs w:val="28"/>
          <w:highlight w:val="none"/>
        </w:rPr>
        <w:t>和</w:t>
      </w:r>
      <w:r>
        <w:rPr>
          <w:rFonts w:ascii="宋体" w:hAnsi="宋体"/>
          <w:sz w:val="28"/>
          <w:szCs w:val="28"/>
          <w:highlight w:val="none"/>
        </w:rPr>
        <w:t>PDF</w:t>
      </w:r>
      <w:r>
        <w:rPr>
          <w:rFonts w:hint="eastAsia" w:ascii="宋体" w:hAnsi="宋体"/>
          <w:sz w:val="28"/>
          <w:szCs w:val="28"/>
          <w:highlight w:val="none"/>
        </w:rPr>
        <w:t>格式的附件一律删除，不予采纳，敬请谅解）。</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highlight w:val="none"/>
        </w:rPr>
      </w:pPr>
      <w:r>
        <w:rPr>
          <w:rFonts w:hint="eastAsia" w:ascii="宋体" w:hAnsi="宋体"/>
          <w:sz w:val="28"/>
          <w:szCs w:val="28"/>
          <w:highlight w:val="none"/>
        </w:rPr>
        <w:t>4.投标文件</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（1）投标送达方式：</w:t>
      </w:r>
      <w:r>
        <w:rPr>
          <w:rFonts w:hint="eastAsia" w:ascii="宋体" w:hAnsi="宋体"/>
          <w:b/>
          <w:sz w:val="28"/>
          <w:szCs w:val="28"/>
          <w:highlight w:val="none"/>
        </w:rPr>
        <w:t>只接受以邮寄方式送达，并请务必用顺丰快递</w:t>
      </w:r>
      <w:r>
        <w:rPr>
          <w:rFonts w:hint="eastAsia" w:ascii="宋体" w:hAnsi="宋体"/>
          <w:sz w:val="28"/>
          <w:szCs w:val="28"/>
          <w:highlight w:val="none"/>
        </w:rPr>
        <w:t>，邮寄材料务必于投标截止时间前送达我校，请各投标单位自行安排邮寄时间，投标截止时间后，招标人不受理任何投标文件。（注：</w:t>
      </w:r>
      <w:r>
        <w:rPr>
          <w:rFonts w:hint="eastAsia" w:ascii="宋体" w:hAnsi="宋体"/>
          <w:b/>
          <w:bCs/>
          <w:sz w:val="28"/>
          <w:szCs w:val="28"/>
          <w:highlight w:val="none"/>
        </w:rPr>
        <w:t>由于疫情管理，我单位不接收顺丰同城急送，请投标人合理安排时间并自行负责</w:t>
      </w:r>
      <w:r>
        <w:rPr>
          <w:rFonts w:hint="eastAsia" w:ascii="宋体" w:hAnsi="宋体"/>
          <w:bCs/>
          <w:sz w:val="28"/>
          <w:szCs w:val="28"/>
          <w:highlight w:val="none"/>
        </w:rPr>
        <w:t>）</w:t>
      </w:r>
      <w:r>
        <w:rPr>
          <w:rFonts w:hint="eastAsia" w:ascii="宋体" w:hAnsi="宋体"/>
          <w:sz w:val="28"/>
          <w:szCs w:val="28"/>
          <w:highlight w:val="none"/>
        </w:rPr>
        <w:t>）。</w:t>
      </w:r>
      <w:r>
        <w:rPr>
          <w:rFonts w:hint="eastAsia" w:ascii="宋体" w:hAnsi="宋体"/>
          <w:b/>
          <w:sz w:val="28"/>
          <w:szCs w:val="28"/>
          <w:highlight w:val="none"/>
        </w:rPr>
        <w:t>（若后期有调整，会将调整信息发送到各投标单位报名邮箱，请各投标单位在投标前密切关注报名邮箱）</w:t>
      </w:r>
    </w:p>
    <w:p>
      <w:pPr>
        <w:widowControl/>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（2）投标截止时间：202</w:t>
      </w:r>
      <w:r>
        <w:rPr>
          <w:rFonts w:hint="eastAsia" w:ascii="宋体" w:hAnsi="宋体"/>
          <w:sz w:val="28"/>
          <w:szCs w:val="28"/>
          <w:highlight w:val="none"/>
          <w:lang w:val="en-US" w:eastAsia="zh-CN"/>
        </w:rPr>
        <w:t>2</w:t>
      </w:r>
      <w:r>
        <w:rPr>
          <w:rFonts w:hint="eastAsia" w:ascii="宋体" w:hAnsi="宋体"/>
          <w:sz w:val="28"/>
          <w:szCs w:val="28"/>
          <w:highlight w:val="none"/>
        </w:rPr>
        <w:t>年</w:t>
      </w:r>
      <w:r>
        <w:rPr>
          <w:rFonts w:hint="eastAsia" w:ascii="宋体" w:hAnsi="宋体"/>
          <w:sz w:val="28"/>
          <w:szCs w:val="28"/>
          <w:highlight w:val="none"/>
          <w:lang w:val="en-US" w:eastAsia="zh-CN"/>
        </w:rPr>
        <w:t>07</w:t>
      </w:r>
      <w:r>
        <w:rPr>
          <w:rFonts w:hint="eastAsia" w:ascii="宋体" w:hAnsi="宋体"/>
          <w:sz w:val="28"/>
          <w:szCs w:val="28"/>
          <w:highlight w:val="none"/>
        </w:rPr>
        <w:t>月</w:t>
      </w:r>
      <w:r>
        <w:rPr>
          <w:rFonts w:hint="eastAsia" w:ascii="宋体" w:hAnsi="宋体"/>
          <w:sz w:val="28"/>
          <w:szCs w:val="28"/>
          <w:highlight w:val="none"/>
          <w:lang w:val="en-US" w:eastAsia="zh-CN"/>
        </w:rPr>
        <w:t>01</w:t>
      </w:r>
      <w:r>
        <w:rPr>
          <w:rFonts w:hint="eastAsia" w:ascii="宋体" w:hAnsi="宋体"/>
          <w:sz w:val="28"/>
          <w:szCs w:val="28"/>
          <w:highlight w:val="none"/>
        </w:rPr>
        <w:t>日09：00</w:t>
      </w:r>
      <w:r>
        <w:rPr>
          <w:rFonts w:hint="eastAsia" w:ascii="宋体" w:hAnsi="宋体"/>
          <w:sz w:val="28"/>
          <w:szCs w:val="28"/>
          <w:highlight w:val="none"/>
          <w:lang w:val="en-US" w:eastAsia="zh-CN"/>
        </w:rPr>
        <w:t>（北京时间）</w:t>
      </w:r>
      <w:r>
        <w:rPr>
          <w:rFonts w:hint="eastAsia" w:ascii="宋体" w:hAnsi="宋体"/>
          <w:sz w:val="28"/>
          <w:szCs w:val="28"/>
          <w:highlight w:val="none"/>
        </w:rPr>
        <w:t>。</w:t>
      </w:r>
      <w:bookmarkStart w:id="7" w:name="_Hlk32349437"/>
    </w:p>
    <w:bookmarkEnd w:id="7"/>
    <w:p>
      <w:pPr>
        <w:widowControl/>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（3）邮寄送达地点：南京市浦口区宁六路219号南京信息工程大学东苑大学生创业中心3号楼（体育馆北面三层小楼）210室招标办。联系人：马老师、罗老师、刘老师；联系电话：025-58731441。</w:t>
      </w:r>
    </w:p>
    <w:p>
      <w:pPr>
        <w:widowControl/>
        <w:spacing w:line="360" w:lineRule="auto"/>
        <w:ind w:firstLine="560" w:firstLineChars="200"/>
        <w:rPr>
          <w:rFonts w:hint="eastAsia" w:ascii="宋体" w:hAnsi="宋体"/>
          <w:sz w:val="28"/>
          <w:szCs w:val="28"/>
          <w:highlight w:val="none"/>
        </w:rPr>
      </w:pPr>
      <w:r>
        <w:rPr>
          <w:rFonts w:hint="eastAsia" w:ascii="宋体" w:hAnsi="宋体"/>
          <w:sz w:val="28"/>
          <w:szCs w:val="28"/>
          <w:highlight w:val="none"/>
        </w:rPr>
        <w:t>5.开标、唱标和评标</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（1）开标、唱标：202</w:t>
      </w:r>
      <w:r>
        <w:rPr>
          <w:rFonts w:hint="eastAsia" w:ascii="宋体" w:hAnsi="宋体"/>
          <w:sz w:val="28"/>
          <w:szCs w:val="28"/>
          <w:highlight w:val="none"/>
          <w:lang w:val="en-US" w:eastAsia="zh-CN"/>
        </w:rPr>
        <w:t>2</w:t>
      </w:r>
      <w:r>
        <w:rPr>
          <w:rFonts w:hint="eastAsia" w:ascii="宋体" w:hAnsi="宋体"/>
          <w:sz w:val="28"/>
          <w:szCs w:val="28"/>
          <w:highlight w:val="none"/>
        </w:rPr>
        <w:t>年0</w:t>
      </w:r>
      <w:r>
        <w:rPr>
          <w:rFonts w:hint="eastAsia" w:ascii="宋体" w:hAnsi="宋体"/>
          <w:sz w:val="28"/>
          <w:szCs w:val="28"/>
          <w:highlight w:val="none"/>
          <w:lang w:val="en-US" w:eastAsia="zh-CN"/>
        </w:rPr>
        <w:t>7</w:t>
      </w:r>
      <w:r>
        <w:rPr>
          <w:rFonts w:hint="eastAsia" w:ascii="宋体" w:hAnsi="宋体"/>
          <w:sz w:val="28"/>
          <w:szCs w:val="28"/>
          <w:highlight w:val="none"/>
        </w:rPr>
        <w:t>月</w:t>
      </w:r>
      <w:r>
        <w:rPr>
          <w:rFonts w:hint="eastAsia" w:ascii="宋体" w:hAnsi="宋体"/>
          <w:sz w:val="28"/>
          <w:szCs w:val="28"/>
          <w:highlight w:val="none"/>
          <w:lang w:val="en-US" w:eastAsia="zh-CN"/>
        </w:rPr>
        <w:t>01</w:t>
      </w:r>
      <w:r>
        <w:rPr>
          <w:rFonts w:hint="eastAsia" w:ascii="宋体" w:hAnsi="宋体"/>
          <w:sz w:val="28"/>
          <w:szCs w:val="28"/>
          <w:highlight w:val="none"/>
        </w:rPr>
        <w:t>日09：00</w:t>
      </w:r>
      <w:r>
        <w:rPr>
          <w:rFonts w:hint="eastAsia" w:ascii="宋体" w:hAnsi="宋体"/>
          <w:sz w:val="28"/>
          <w:szCs w:val="28"/>
          <w:highlight w:val="none"/>
          <w:lang w:val="en-US" w:eastAsia="zh-CN"/>
        </w:rPr>
        <w:t>（北京时间）</w:t>
      </w:r>
      <w:r>
        <w:rPr>
          <w:rFonts w:hint="eastAsia" w:ascii="宋体" w:hAnsi="宋体"/>
          <w:sz w:val="28"/>
          <w:szCs w:val="28"/>
          <w:highlight w:val="none"/>
        </w:rPr>
        <w:t>；(不安排公开开标、唱标，由招标办工作人员在我校纪检监察部门监督见证下进行，开标、唱标工作全程视频监控并录像)。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6.相关单位联系人及电话</w:t>
      </w:r>
    </w:p>
    <w:p>
      <w:pPr>
        <w:snapToGrid w:val="0"/>
        <w:spacing w:line="360" w:lineRule="auto"/>
        <w:ind w:firstLine="425" w:firstLineChars="152"/>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）招标办：联系电话：</w:t>
      </w:r>
      <w:r>
        <w:rPr>
          <w:rFonts w:ascii="宋体" w:hAnsi="宋体"/>
          <w:sz w:val="28"/>
          <w:szCs w:val="28"/>
          <w:highlight w:val="none"/>
        </w:rPr>
        <w:t>025-58731441</w:t>
      </w:r>
      <w:r>
        <w:rPr>
          <w:rFonts w:hint="eastAsia" w:ascii="宋体" w:hAnsi="宋体"/>
          <w:sz w:val="28"/>
          <w:szCs w:val="28"/>
          <w:highlight w:val="none"/>
        </w:rPr>
        <w:t>，联系人：马老师、罗老师、刘老师；</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w:t>
      </w:r>
      <w:bookmarkEnd w:id="6"/>
      <w:r>
        <w:rPr>
          <w:rFonts w:hint="eastAsia" w:ascii="宋体" w:hAnsi="宋体"/>
          <w:sz w:val="28"/>
          <w:szCs w:val="28"/>
          <w:highlight w:val="none"/>
        </w:rPr>
        <w:t>用户单位联系电话：025-58235101，联系人：邢老师 。</w:t>
      </w:r>
    </w:p>
    <w:p>
      <w:pPr>
        <w:pStyle w:val="8"/>
        <w:ind w:left="0" w:leftChars="0" w:right="0" w:rightChars="0"/>
        <w:rPr>
          <w:rFonts w:ascii="宋体" w:hAnsi="宋体"/>
          <w:sz w:val="28"/>
          <w:szCs w:val="28"/>
          <w:highlight w:val="none"/>
        </w:rPr>
      </w:pPr>
    </w:p>
    <w:p>
      <w:pPr>
        <w:tabs>
          <w:tab w:val="left" w:pos="1260"/>
        </w:tabs>
        <w:spacing w:line="360" w:lineRule="auto"/>
        <w:ind w:left="1959" w:leftChars="933" w:firstLine="2530" w:firstLineChars="900"/>
        <w:rPr>
          <w:rFonts w:ascii="宋体"/>
          <w:b/>
          <w:sz w:val="28"/>
          <w:szCs w:val="28"/>
          <w:highlight w:val="none"/>
        </w:rPr>
      </w:pPr>
      <w:bookmarkStart w:id="8" w:name="_Hlk9866962"/>
      <w:r>
        <w:rPr>
          <w:rFonts w:hint="eastAsia" w:ascii="宋体" w:hAnsi="宋体"/>
          <w:b/>
          <w:sz w:val="28"/>
          <w:szCs w:val="28"/>
          <w:highlight w:val="none"/>
        </w:rPr>
        <w:t>南京信息工程大学招标办</w:t>
      </w:r>
    </w:p>
    <w:p>
      <w:pPr>
        <w:pStyle w:val="11"/>
        <w:spacing w:line="360" w:lineRule="auto"/>
        <w:ind w:left="99" w:leftChars="47" w:firstLine="4919" w:firstLineChars="1750"/>
        <w:rPr>
          <w:rStyle w:val="41"/>
          <w:rFonts w:ascii="宋体" w:hAnsi="Times New Roman" w:eastAsia="宋体"/>
          <w:sz w:val="28"/>
          <w:szCs w:val="28"/>
          <w:highlight w:val="none"/>
        </w:rPr>
      </w:pPr>
      <w:r>
        <w:rPr>
          <w:rStyle w:val="41"/>
          <w:rFonts w:ascii="宋体" w:hAnsi="宋体" w:eastAsia="宋体"/>
          <w:sz w:val="28"/>
          <w:szCs w:val="28"/>
          <w:highlight w:val="none"/>
        </w:rPr>
        <w:t>20</w:t>
      </w:r>
      <w:r>
        <w:rPr>
          <w:rStyle w:val="41"/>
          <w:rFonts w:hint="eastAsia" w:ascii="宋体" w:hAnsi="宋体" w:eastAsia="宋体"/>
          <w:sz w:val="28"/>
          <w:szCs w:val="28"/>
          <w:highlight w:val="none"/>
        </w:rPr>
        <w:t>2</w:t>
      </w:r>
      <w:r>
        <w:rPr>
          <w:rStyle w:val="41"/>
          <w:rFonts w:hint="eastAsia" w:ascii="宋体" w:hAnsi="宋体"/>
          <w:sz w:val="28"/>
          <w:szCs w:val="28"/>
          <w:highlight w:val="none"/>
        </w:rPr>
        <w:t>2</w:t>
      </w:r>
      <w:r>
        <w:rPr>
          <w:rStyle w:val="41"/>
          <w:rFonts w:hint="eastAsia" w:ascii="宋体" w:hAnsi="宋体" w:eastAsia="宋体"/>
          <w:sz w:val="28"/>
          <w:szCs w:val="28"/>
          <w:highlight w:val="none"/>
        </w:rPr>
        <w:t>年</w:t>
      </w:r>
      <w:r>
        <w:rPr>
          <w:rStyle w:val="41"/>
          <w:rFonts w:hint="eastAsia" w:ascii="宋体" w:hAnsi="宋体"/>
          <w:sz w:val="28"/>
          <w:szCs w:val="28"/>
          <w:highlight w:val="none"/>
        </w:rPr>
        <w:t>06</w:t>
      </w:r>
      <w:r>
        <w:rPr>
          <w:rStyle w:val="41"/>
          <w:rFonts w:hint="eastAsia" w:ascii="宋体" w:hAnsi="宋体" w:eastAsia="宋体"/>
          <w:sz w:val="28"/>
          <w:szCs w:val="28"/>
          <w:highlight w:val="none"/>
        </w:rPr>
        <w:t>月</w:t>
      </w:r>
      <w:r>
        <w:rPr>
          <w:rStyle w:val="41"/>
          <w:rFonts w:hint="eastAsia" w:ascii="宋体" w:hAnsi="宋体"/>
          <w:sz w:val="28"/>
          <w:szCs w:val="28"/>
          <w:highlight w:val="none"/>
          <w:lang w:val="en-US"/>
        </w:rPr>
        <w:t>10</w:t>
      </w:r>
      <w:r>
        <w:rPr>
          <w:rStyle w:val="41"/>
          <w:rFonts w:hint="eastAsia" w:ascii="宋体" w:hAnsi="宋体" w:eastAsia="宋体"/>
          <w:sz w:val="28"/>
          <w:szCs w:val="28"/>
          <w:highlight w:val="none"/>
        </w:rPr>
        <w:t>日</w:t>
      </w:r>
    </w:p>
    <w:bookmarkEnd w:id="8"/>
    <w:p>
      <w:pPr>
        <w:pStyle w:val="10"/>
        <w:adjustRightInd w:val="0"/>
        <w:snapToGrid w:val="0"/>
        <w:spacing w:before="120" w:after="120" w:line="360" w:lineRule="auto"/>
        <w:rPr>
          <w:rStyle w:val="41"/>
          <w:rFonts w:ascii="宋体" w:hAnsi="宋体" w:eastAsia="宋体"/>
          <w:b w:val="0"/>
          <w:sz w:val="28"/>
          <w:szCs w:val="28"/>
          <w:highlight w:val="none"/>
        </w:rPr>
      </w:pPr>
      <w:r>
        <w:rPr>
          <w:rStyle w:val="41"/>
          <w:rFonts w:ascii="宋体" w:hAnsi="Times New Roman" w:eastAsia="宋体"/>
          <w:b w:val="0"/>
          <w:sz w:val="28"/>
          <w:szCs w:val="28"/>
          <w:highlight w:val="none"/>
        </w:rPr>
        <w:br w:type="page"/>
      </w:r>
      <w:bookmarkStart w:id="9" w:name="_Toc462564147"/>
      <w:r>
        <w:rPr>
          <w:rFonts w:ascii="Times New Roman" w:hAnsi="Times New Roman"/>
          <w:b/>
          <w:bCs/>
          <w:sz w:val="24"/>
          <w:szCs w:val="24"/>
          <w:highlight w:val="none"/>
        </w:rPr>
        <w:t>附件1：</w:t>
      </w:r>
    </w:p>
    <w:p>
      <w:pPr>
        <w:spacing w:line="360" w:lineRule="auto"/>
        <w:ind w:left="180"/>
        <w:jc w:val="center"/>
        <w:rPr>
          <w:rFonts w:hAnsi="宋体"/>
          <w:b/>
          <w:sz w:val="28"/>
          <w:szCs w:val="28"/>
          <w:highlight w:val="none"/>
        </w:rPr>
      </w:pPr>
      <w:r>
        <w:rPr>
          <w:rFonts w:hint="eastAsia" w:hAnsi="宋体"/>
          <w:b/>
          <w:sz w:val="28"/>
          <w:szCs w:val="28"/>
          <w:highlight w:val="none"/>
        </w:rPr>
        <w:t>招标项目名称、数量、主要技术要求及其他要求</w:t>
      </w:r>
    </w:p>
    <w:p>
      <w:pPr>
        <w:ind w:left="839" w:leftChars="266" w:hanging="280" w:hangingChars="100"/>
        <w:rPr>
          <w:rFonts w:hAnsi="宋体"/>
          <w:bCs/>
          <w:sz w:val="28"/>
          <w:szCs w:val="28"/>
          <w:highlight w:val="none"/>
        </w:rPr>
      </w:pPr>
      <w:r>
        <w:rPr>
          <w:rFonts w:hint="eastAsia" w:hAnsi="宋体"/>
          <w:bCs/>
          <w:sz w:val="28"/>
          <w:szCs w:val="28"/>
          <w:highlight w:val="none"/>
        </w:rPr>
        <w:t>一、招标项目概况</w:t>
      </w:r>
    </w:p>
    <w:p>
      <w:pPr>
        <w:ind w:left="838" w:leftChars="399" w:firstLine="840" w:firstLineChars="300"/>
        <w:rPr>
          <w:rFonts w:hAnsi="宋体"/>
          <w:bCs/>
          <w:sz w:val="28"/>
          <w:szCs w:val="28"/>
          <w:highlight w:val="none"/>
        </w:rPr>
      </w:pPr>
      <w:r>
        <w:rPr>
          <w:rFonts w:hint="eastAsia" w:ascii="宋体" w:hAnsi="宋体" w:cs="宋体"/>
          <w:kern w:val="0"/>
          <w:sz w:val="28"/>
          <w:szCs w:val="28"/>
          <w:highlight w:val="none"/>
        </w:rPr>
        <w:t>按国际课程建设要求，完成南京信息工程大学9门课程教学视频建设，包括在线开放课程教学视频规划、设计、拍摄、制作、上传。视频课程后期修改、上线辅助运行等。具体课程及预计拍摄时长如下：</w:t>
      </w:r>
    </w:p>
    <w:tbl>
      <w:tblPr>
        <w:tblStyle w:val="17"/>
        <w:tblW w:w="9693" w:type="dxa"/>
        <w:jc w:val="center"/>
        <w:tblLayout w:type="autofit"/>
        <w:tblCellMar>
          <w:top w:w="0" w:type="dxa"/>
          <w:left w:w="108" w:type="dxa"/>
          <w:bottom w:w="0" w:type="dxa"/>
          <w:right w:w="108" w:type="dxa"/>
        </w:tblCellMar>
      </w:tblPr>
      <w:tblGrid>
        <w:gridCol w:w="1003"/>
        <w:gridCol w:w="1797"/>
        <w:gridCol w:w="1979"/>
        <w:gridCol w:w="1638"/>
        <w:gridCol w:w="1638"/>
        <w:gridCol w:w="1638"/>
      </w:tblGrid>
      <w:tr>
        <w:tblPrEx>
          <w:tblCellMar>
            <w:top w:w="0" w:type="dxa"/>
            <w:left w:w="108" w:type="dxa"/>
            <w:bottom w:w="0" w:type="dxa"/>
            <w:right w:w="108" w:type="dxa"/>
          </w:tblCellMar>
        </w:tblPrEx>
        <w:trPr>
          <w:trHeight w:val="520" w:hRule="atLeast"/>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kern w:val="0"/>
                <w:sz w:val="24"/>
                <w:highlight w:val="none"/>
                <w:lang w:bidi="ar"/>
              </w:rPr>
            </w:pPr>
            <w:r>
              <w:rPr>
                <w:rFonts w:hint="eastAsia" w:ascii="仿宋_GB2312" w:hAnsi="仿宋_GB2312" w:eastAsia="仿宋_GB2312" w:cs="仿宋_GB2312"/>
                <w:b/>
                <w:bCs/>
                <w:color w:val="000000"/>
                <w:kern w:val="0"/>
                <w:sz w:val="24"/>
                <w:highlight w:val="none"/>
                <w:lang w:bidi="ar"/>
              </w:rPr>
              <w:t>序号</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kern w:val="0"/>
                <w:sz w:val="24"/>
                <w:highlight w:val="none"/>
                <w:lang w:bidi="ar"/>
              </w:rPr>
            </w:pPr>
            <w:r>
              <w:rPr>
                <w:rFonts w:hint="eastAsia" w:ascii="仿宋_GB2312" w:hAnsi="仿宋_GB2312" w:eastAsia="仿宋_GB2312" w:cs="仿宋_GB2312"/>
                <w:b/>
                <w:bCs/>
                <w:color w:val="000000"/>
                <w:kern w:val="0"/>
                <w:sz w:val="24"/>
                <w:highlight w:val="none"/>
                <w:lang w:bidi="ar"/>
              </w:rPr>
              <w:t>课程中文名称</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4"/>
                <w:highlight w:val="none"/>
                <w:lang w:bidi="ar"/>
              </w:rPr>
            </w:pPr>
            <w:r>
              <w:rPr>
                <w:rFonts w:hint="eastAsia" w:ascii="仿宋_GB2312" w:hAnsi="仿宋_GB2312" w:eastAsia="仿宋_GB2312" w:cs="仿宋_GB2312"/>
                <w:b/>
                <w:bCs/>
                <w:color w:val="000000"/>
                <w:kern w:val="0"/>
                <w:sz w:val="24"/>
                <w:highlight w:val="none"/>
                <w:lang w:bidi="ar"/>
              </w:rPr>
              <w:t>课程英文名称</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kern w:val="0"/>
                <w:sz w:val="24"/>
                <w:highlight w:val="none"/>
                <w:lang w:bidi="ar"/>
              </w:rPr>
            </w:pPr>
            <w:r>
              <w:rPr>
                <w:rFonts w:hint="eastAsia" w:ascii="仿宋_GB2312" w:hAnsi="仿宋_GB2312" w:eastAsia="仿宋_GB2312" w:cs="仿宋_GB2312"/>
                <w:b/>
                <w:bCs/>
                <w:color w:val="000000"/>
                <w:kern w:val="0"/>
                <w:sz w:val="24"/>
                <w:highlight w:val="none"/>
                <w:lang w:bidi="ar"/>
              </w:rPr>
              <w:t>课程类别</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kern w:val="0"/>
                <w:sz w:val="24"/>
                <w:highlight w:val="none"/>
                <w:lang w:bidi="ar"/>
              </w:rPr>
            </w:pPr>
            <w:r>
              <w:rPr>
                <w:rFonts w:hint="eastAsia" w:ascii="仿宋_GB2312" w:hAnsi="仿宋_GB2312" w:eastAsia="仿宋_GB2312" w:cs="仿宋_GB2312"/>
                <w:b/>
                <w:bCs/>
                <w:color w:val="000000"/>
                <w:kern w:val="0"/>
                <w:sz w:val="24"/>
                <w:highlight w:val="none"/>
                <w:lang w:bidi="ar"/>
              </w:rPr>
              <w:t>拍摄单元</w:t>
            </w:r>
          </w:p>
          <w:p>
            <w:pPr>
              <w:widowControl/>
              <w:jc w:val="center"/>
              <w:textAlignment w:val="center"/>
              <w:rPr>
                <w:rFonts w:ascii="仿宋_GB2312" w:hAnsi="仿宋_GB2312" w:eastAsia="仿宋_GB2312" w:cs="仿宋_GB2312"/>
                <w:b/>
                <w:bCs/>
                <w:color w:val="000000"/>
                <w:kern w:val="0"/>
                <w:sz w:val="24"/>
                <w:highlight w:val="none"/>
                <w:lang w:bidi="ar"/>
              </w:rPr>
            </w:pPr>
            <w:r>
              <w:rPr>
                <w:rFonts w:hint="eastAsia" w:ascii="仿宋_GB2312" w:hAnsi="仿宋_GB2312" w:eastAsia="仿宋_GB2312" w:cs="仿宋_GB2312"/>
                <w:b/>
                <w:bCs/>
                <w:color w:val="000000"/>
                <w:kern w:val="0"/>
                <w:sz w:val="24"/>
                <w:highlight w:val="none"/>
                <w:lang w:bidi="ar"/>
              </w:rPr>
              <w:t>（个）</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kern w:val="0"/>
                <w:sz w:val="24"/>
                <w:highlight w:val="none"/>
                <w:lang w:bidi="ar"/>
              </w:rPr>
            </w:pPr>
            <w:r>
              <w:rPr>
                <w:rFonts w:hint="eastAsia" w:ascii="仿宋_GB2312" w:hAnsi="仿宋_GB2312" w:eastAsia="仿宋_GB2312" w:cs="仿宋_GB2312"/>
                <w:b/>
                <w:bCs/>
                <w:color w:val="000000"/>
                <w:kern w:val="0"/>
                <w:sz w:val="24"/>
                <w:highlight w:val="none"/>
                <w:lang w:bidi="ar"/>
              </w:rPr>
              <w:t>单元视频时长（分钟）</w:t>
            </w:r>
          </w:p>
        </w:tc>
      </w:tr>
      <w:tr>
        <w:tblPrEx>
          <w:tblCellMar>
            <w:top w:w="0" w:type="dxa"/>
            <w:left w:w="108" w:type="dxa"/>
            <w:bottom w:w="0" w:type="dxa"/>
            <w:right w:w="108" w:type="dxa"/>
          </w:tblCellMar>
        </w:tblPrEx>
        <w:trPr>
          <w:trHeight w:val="520" w:hRule="atLeast"/>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1</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lang w:bidi="ar"/>
              </w:rPr>
              <w:t>电力系统分析</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sz w:val="30"/>
                <w:szCs w:val="30"/>
                <w:highlight w:val="none"/>
                <w:lang w:bidi="mn-Mong-CN"/>
              </w:rPr>
            </w:pPr>
            <w:r>
              <w:rPr>
                <w:color w:val="000000"/>
                <w:kern w:val="0"/>
                <w:sz w:val="24"/>
                <w:highlight w:val="none"/>
                <w:lang w:bidi="ar"/>
              </w:rPr>
              <w:t>Power System Analysis</w:t>
            </w:r>
          </w:p>
        </w:tc>
        <w:tc>
          <w:tcPr>
            <w:tcW w:w="1638"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工科类</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10</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20</w:t>
            </w:r>
          </w:p>
        </w:tc>
      </w:tr>
      <w:tr>
        <w:tblPrEx>
          <w:tblCellMar>
            <w:top w:w="0" w:type="dxa"/>
            <w:left w:w="108" w:type="dxa"/>
            <w:bottom w:w="0" w:type="dxa"/>
            <w:right w:w="108" w:type="dxa"/>
          </w:tblCellMar>
        </w:tblPrEx>
        <w:trPr>
          <w:trHeight w:val="520" w:hRule="atLeast"/>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2</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lang w:bidi="ar"/>
              </w:rPr>
              <w:t>海洋法</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sz w:val="30"/>
                <w:szCs w:val="30"/>
                <w:highlight w:val="none"/>
                <w:lang w:bidi="mn-Mong-CN"/>
              </w:rPr>
            </w:pPr>
            <w:r>
              <w:rPr>
                <w:color w:val="000000"/>
                <w:kern w:val="0"/>
                <w:sz w:val="24"/>
                <w:highlight w:val="none"/>
                <w:lang w:bidi="ar"/>
              </w:rPr>
              <w:t>Law of the Sea</w:t>
            </w:r>
          </w:p>
        </w:tc>
        <w:tc>
          <w:tcPr>
            <w:tcW w:w="1638"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文管类</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10</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20</w:t>
            </w:r>
          </w:p>
        </w:tc>
      </w:tr>
      <w:tr>
        <w:tblPrEx>
          <w:tblCellMar>
            <w:top w:w="0" w:type="dxa"/>
            <w:left w:w="108" w:type="dxa"/>
            <w:bottom w:w="0" w:type="dxa"/>
            <w:right w:w="108" w:type="dxa"/>
          </w:tblCellMar>
        </w:tblPrEx>
        <w:trPr>
          <w:trHeight w:val="520" w:hRule="atLeast"/>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3</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lang w:bidi="ar"/>
              </w:rPr>
              <w:t>汉英翻译</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sz w:val="30"/>
                <w:szCs w:val="30"/>
                <w:highlight w:val="none"/>
                <w:lang w:bidi="mn-Mong-CN"/>
              </w:rPr>
            </w:pPr>
            <w:r>
              <w:rPr>
                <w:color w:val="000000"/>
                <w:kern w:val="0"/>
                <w:sz w:val="24"/>
                <w:highlight w:val="none"/>
                <w:lang w:bidi="ar"/>
              </w:rPr>
              <w:t>E-C Translation</w:t>
            </w:r>
          </w:p>
        </w:tc>
        <w:tc>
          <w:tcPr>
            <w:tcW w:w="1638"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文管类</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10</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20</w:t>
            </w:r>
          </w:p>
        </w:tc>
      </w:tr>
      <w:tr>
        <w:tblPrEx>
          <w:tblCellMar>
            <w:top w:w="0" w:type="dxa"/>
            <w:left w:w="108" w:type="dxa"/>
            <w:bottom w:w="0" w:type="dxa"/>
            <w:right w:w="108" w:type="dxa"/>
          </w:tblCellMar>
        </w:tblPrEx>
        <w:trPr>
          <w:trHeight w:val="520" w:hRule="atLeast"/>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4</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lang w:bidi="ar"/>
              </w:rPr>
              <w:t>气候变化经济学</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sz w:val="30"/>
                <w:szCs w:val="30"/>
                <w:highlight w:val="none"/>
                <w:lang w:bidi="mn-Mong-CN"/>
              </w:rPr>
            </w:pPr>
            <w:r>
              <w:rPr>
                <w:color w:val="000000"/>
                <w:kern w:val="0"/>
                <w:sz w:val="24"/>
                <w:highlight w:val="none"/>
                <w:lang w:bidi="ar"/>
              </w:rPr>
              <w:t>Climate Change Economics</w:t>
            </w:r>
          </w:p>
        </w:tc>
        <w:tc>
          <w:tcPr>
            <w:tcW w:w="1638"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文管类</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10</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20</w:t>
            </w:r>
          </w:p>
        </w:tc>
      </w:tr>
      <w:tr>
        <w:tblPrEx>
          <w:tblCellMar>
            <w:top w:w="0" w:type="dxa"/>
            <w:left w:w="108" w:type="dxa"/>
            <w:bottom w:w="0" w:type="dxa"/>
            <w:right w:w="108" w:type="dxa"/>
          </w:tblCellMar>
        </w:tblPrEx>
        <w:trPr>
          <w:trHeight w:val="520" w:hRule="atLeast"/>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5</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lang w:bidi="ar"/>
              </w:rPr>
              <w:t>人文地理学</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sz w:val="30"/>
                <w:szCs w:val="30"/>
                <w:highlight w:val="none"/>
                <w:lang w:bidi="mn-Mong-CN"/>
              </w:rPr>
            </w:pPr>
            <w:r>
              <w:rPr>
                <w:color w:val="000000"/>
                <w:kern w:val="0"/>
                <w:sz w:val="24"/>
                <w:highlight w:val="none"/>
                <w:lang w:bidi="ar"/>
              </w:rPr>
              <w:t>Human Geography</w:t>
            </w:r>
          </w:p>
        </w:tc>
        <w:tc>
          <w:tcPr>
            <w:tcW w:w="1638"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文管类</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10</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20</w:t>
            </w:r>
          </w:p>
        </w:tc>
      </w:tr>
      <w:tr>
        <w:tblPrEx>
          <w:tblCellMar>
            <w:top w:w="0" w:type="dxa"/>
            <w:left w:w="108" w:type="dxa"/>
            <w:bottom w:w="0" w:type="dxa"/>
            <w:right w:w="108" w:type="dxa"/>
          </w:tblCellMar>
        </w:tblPrEx>
        <w:trPr>
          <w:trHeight w:val="520" w:hRule="atLeast"/>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6</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lang w:bidi="ar"/>
              </w:rPr>
              <w:t>数据科学与商业分析导论</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sz w:val="30"/>
                <w:szCs w:val="30"/>
                <w:highlight w:val="none"/>
                <w:lang w:bidi="mn-Mong-CN"/>
              </w:rPr>
            </w:pPr>
            <w:r>
              <w:rPr>
                <w:color w:val="000000"/>
                <w:kern w:val="0"/>
                <w:sz w:val="24"/>
                <w:highlight w:val="none"/>
                <w:lang w:bidi="ar"/>
              </w:rPr>
              <w:t>Data Science and Business Analytics</w:t>
            </w:r>
          </w:p>
        </w:tc>
        <w:tc>
          <w:tcPr>
            <w:tcW w:w="1638"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文管类</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10</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20</w:t>
            </w:r>
          </w:p>
        </w:tc>
      </w:tr>
      <w:tr>
        <w:tblPrEx>
          <w:tblCellMar>
            <w:top w:w="0" w:type="dxa"/>
            <w:left w:w="108" w:type="dxa"/>
            <w:bottom w:w="0" w:type="dxa"/>
            <w:right w:w="108" w:type="dxa"/>
          </w:tblCellMar>
        </w:tblPrEx>
        <w:trPr>
          <w:trHeight w:val="520" w:hRule="atLeast"/>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7</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lang w:bidi="ar"/>
              </w:rPr>
              <w:t>农业气象学</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kern w:val="0"/>
                <w:sz w:val="24"/>
                <w:highlight w:val="none"/>
                <w:lang w:bidi="ar"/>
              </w:rPr>
            </w:pPr>
            <w:r>
              <w:rPr>
                <w:color w:val="000000"/>
                <w:kern w:val="0"/>
                <w:sz w:val="24"/>
                <w:highlight w:val="none"/>
                <w:lang w:bidi="ar"/>
              </w:rPr>
              <w:t>Agriculture Meteorology</w:t>
            </w:r>
          </w:p>
        </w:tc>
        <w:tc>
          <w:tcPr>
            <w:tcW w:w="1638"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理学类</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10</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20</w:t>
            </w:r>
          </w:p>
        </w:tc>
      </w:tr>
      <w:tr>
        <w:tblPrEx>
          <w:tblCellMar>
            <w:top w:w="0" w:type="dxa"/>
            <w:left w:w="108" w:type="dxa"/>
            <w:bottom w:w="0" w:type="dxa"/>
            <w:right w:w="108" w:type="dxa"/>
          </w:tblCellMar>
        </w:tblPrEx>
        <w:trPr>
          <w:trHeight w:val="520" w:hRule="atLeast"/>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8</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lang w:bidi="ar"/>
              </w:rPr>
              <w:t>应用随机过程</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kern w:val="0"/>
                <w:sz w:val="24"/>
                <w:highlight w:val="none"/>
                <w:lang w:bidi="ar"/>
              </w:rPr>
            </w:pPr>
            <w:r>
              <w:rPr>
                <w:color w:val="000000"/>
                <w:kern w:val="0"/>
                <w:sz w:val="24"/>
                <w:highlight w:val="none"/>
                <w:lang w:bidi="ar"/>
              </w:rPr>
              <w:t>Applied Stochastic Processes</w:t>
            </w:r>
          </w:p>
        </w:tc>
        <w:tc>
          <w:tcPr>
            <w:tcW w:w="1638"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理学类</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10</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20</w:t>
            </w:r>
          </w:p>
        </w:tc>
      </w:tr>
      <w:tr>
        <w:tblPrEx>
          <w:tblCellMar>
            <w:top w:w="0" w:type="dxa"/>
            <w:left w:w="108" w:type="dxa"/>
            <w:bottom w:w="0" w:type="dxa"/>
            <w:right w:w="108" w:type="dxa"/>
          </w:tblCellMar>
        </w:tblPrEx>
        <w:trPr>
          <w:trHeight w:val="520" w:hRule="atLeast"/>
          <w:jc w:val="center"/>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9</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kern w:val="0"/>
                <w:sz w:val="22"/>
                <w:szCs w:val="22"/>
                <w:highlight w:val="none"/>
                <w:lang w:bidi="ar"/>
              </w:rPr>
              <w:t>Python程序设计</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color w:val="000000"/>
                <w:sz w:val="30"/>
                <w:szCs w:val="30"/>
                <w:highlight w:val="none"/>
                <w:lang w:bidi="mn-Mong-CN"/>
              </w:rPr>
            </w:pPr>
            <w:r>
              <w:rPr>
                <w:color w:val="000000"/>
                <w:kern w:val="0"/>
                <w:sz w:val="24"/>
                <w:highlight w:val="none"/>
                <w:lang w:bidi="ar"/>
              </w:rPr>
              <w:t>Python Programming Technology</w:t>
            </w:r>
          </w:p>
        </w:tc>
        <w:tc>
          <w:tcPr>
            <w:tcW w:w="1638"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bottom"/>
              <w:rPr>
                <w:rFonts w:ascii="仿宋_GB2312" w:hAnsi="仿宋_GB2312" w:eastAsia="仿宋_GB2312" w:cs="仿宋_GB2312"/>
                <w:color w:val="000000"/>
                <w:kern w:val="0"/>
                <w:sz w:val="22"/>
                <w:szCs w:val="22"/>
                <w:highlight w:val="none"/>
                <w:lang w:bidi="ar"/>
              </w:rPr>
            </w:pPr>
            <w:r>
              <w:rPr>
                <w:rFonts w:hint="eastAsia" w:ascii="仿宋_GB2312" w:hAnsi="仿宋_GB2312" w:eastAsia="仿宋_GB2312" w:cs="仿宋_GB2312"/>
                <w:color w:val="000000"/>
                <w:kern w:val="0"/>
                <w:sz w:val="22"/>
                <w:szCs w:val="22"/>
                <w:highlight w:val="none"/>
                <w:lang w:bidi="ar"/>
              </w:rPr>
              <w:t>工科类</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10</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20</w:t>
            </w:r>
          </w:p>
        </w:tc>
      </w:tr>
    </w:tbl>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注：每门课拍摄10个单元，每个单元视频拍摄时长不低于20分钟，共计视频拍摄不低于时长1800分钟。</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二、主要技术指标和主要技术特点</w:t>
      </w:r>
    </w:p>
    <w:p>
      <w:pPr>
        <w:snapToGrid w:val="0"/>
        <w:spacing w:line="538" w:lineRule="exact"/>
        <w:jc w:val="left"/>
        <w:rPr>
          <w:rFonts w:ascii="宋体" w:hAnsi="宋体" w:cs="宋体"/>
          <w:b/>
          <w:sz w:val="28"/>
          <w:szCs w:val="28"/>
          <w:highlight w:val="none"/>
        </w:rPr>
      </w:pPr>
      <w:r>
        <w:rPr>
          <w:rFonts w:hint="eastAsia" w:ascii="宋体" w:hAnsi="宋体" w:cs="宋体"/>
          <w:b/>
          <w:sz w:val="28"/>
          <w:szCs w:val="28"/>
          <w:highlight w:val="none"/>
        </w:rPr>
        <w:t>（一）人员配置及设备要求</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具备2年以上经验的课程顾问团队，课程编导与老师深度沟通，提供一对一的课程咨询服务，收集材料，辅助老师策划设计课程，课程知识点设计，起草课程脚本、拟定分组镜头大纲，并根据课程教师团队的实际需求，开展课程建设与拍摄制作专题培训。</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具备资深专业摄像师、摄像助理、化妆师、灯光师、场记员等专业摄像团队拍摄现场服务，包括拍摄前及拍摄过程摄像机、机位位置、音频设备、灯光调试管理，化妆，拍摄进度、时间、内容、景别等内容的记录。</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3、拍摄设备：专业高清摄像机（至少3机位）、拍摄轨道、摇臂、1.5米小型轨等；辅助记忆设备（提词器）1套；专业无线麦模式的音频设备、专业影视摄影镐灯，LED面光灯等。</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4、具备专业的视频处理团队进行视频调色渲染、特效包装、动画制作、字幕制作、视频转换等专业团队进行视频后期处理。</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5、要求投入本项目组人数不少于9人，其中项目负责人1人、课程编导1人、摄像2人、化妆师1人，后期制作人员4人。</w:t>
      </w:r>
    </w:p>
    <w:p>
      <w:pPr>
        <w:snapToGrid w:val="0"/>
        <w:spacing w:line="538"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 xml:space="preserve">（二）课程制作要求  </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富媒体化内容的组织要求，投标人需要根据老师提供素材包含作业、习题、讲义、参考资料及其他与课程相关的资源进行整合，以视频、音频、图书、论文、文本、图片、动画等多种形式制作精良的课程视频。</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知识单元化，课程制作按照知识点进行，每个知识点是一个独立的课程单元（即一个课时），视频时长原则上不低于20分钟，具体根据课程知识点而定，包含该知识点的授课视频、动画、参考资料、作业题、试题库及其它相关资源等。</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3、版权要求。投标人因课程建设需要提供的学术视频、动画、片头 片尾、图片、音频、图书、论文等素材，要求具有完整的知识产权，且其产权归属学校所有。</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4、画面中教师以中景和近景为主，要求人物和板书(或其他画面元素)同样清晰，不允许无教师形象的全程板书或PPT配音。</w:t>
      </w:r>
    </w:p>
    <w:p>
      <w:pPr>
        <w:snapToGrid w:val="0"/>
        <w:spacing w:line="538"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（三）视频制作要求</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录像环境应光线充足、安静，拍摄环境为教学现场或专业摄影棚；课程组可根据需要选择学校或投标商提供的拍摄场地。投标商须根据课程内容需求，搭建拍摄场景。如学校提供场地，制作公司需提供所需所有设备并搭建拍摄场景，提供驻场服务。</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2、必须使用高清数字设备进行录制，采用至少三机位拍摄方式进行拍摄，要求视频信号源，稳定性：全片图像同步性能稳定，无失步现象，CTL 同步控制信号必须连续；图像无抖动跳跃，色彩无突变，编辑点处图像稳定。</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信噪比：图像信噪比不低于55dB，无明显杂波。色调：白平衡正确，无明显偏色，多机拍摄的镜头衔接处无明显色差。</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视频电平：视频全讯号幅度为 1Ⅴp-p，最大不超过 1.1Ⅴp-p。其中，消隐电平为 0V 时，白电平幅度 0.7Ⅴp-p，同步信号-0.3V，色同步信号幅度 0.3Vp-p (以消隐线上下对称)，全片一致。</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支持转换 mp4，mpg，flv等通用的视频格式。</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3、必须使用专业级话筒及音频处理设备，保证录音质量。音频信号源，声道：中文内容音频信号记录于第1声道，音乐、音效、同期声记录于第2声道，若有其他文字解说记录于第 3 声道（如录音设备无第3声道，则录于第2声道）。电平指标：-2db—-8db 声音应无明显失真、放音过冲、过弱。音频信噪比不低于 48db。声音和画面要求同步，无交流声或其他杂音等缺陷。伴音清晰、饱满、圆润，无失真、噪声杂音干扰、音量忽大忽小现象。解说声与现场声无明显比例失调，解说声与背景音乐无明显比例失调。</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4、前期采用高清拍摄时，分辨率不低1080p(1920*1080)，采用 16：9模式。视频处理压缩采用 H.264(MPEG-4 Part10：profile=main, level=3.0)及以上标准编码方式，码流速率1024bps以上，帧率不低于25fps。</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5、音频压缩采用AAC(MPEG4 Part3)格式。采样率48KHz。音频码流率 128Kbps (恒定)。双声道，须做混音处理。配音可中英文双音轨模式。</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6、动画制作，动画指的是需要根据要求设计的、需要建模制作的复杂视频效果，要求提供可嵌入视频的动画，嵌入时与视频融合恰当。二维动画如人物表示（以卡通形象替代教师、卡通形象互动）等不作为动画。平均动画时间不低于 300 秒/门课，同一动画重复使用不重复计算时长。</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7、字幕制作，字幕文件需单独制作，要求用SRT格式，字幕要使用符合国家标准的规范字，不出现繁体字、异体字(国家规定的除外)、错别字；字幕的字体、大小、色彩搭配、摆放位置、停留时间、出入屏与其他要素（画面、解说词、音乐）配合适当，不能破坏原有画面。可支持中英文双字幕模式。</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8、片头片尾，片头一般不超过10秒，应包括:学校LOGO、课程名称、主讲教师信息。片尾包括版权单位等信息。</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9、拍摄效果不可低于投标人提供的案例课程。</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10、抠像效果平滑，与背景色调一致。</w:t>
      </w:r>
    </w:p>
    <w:p>
      <w:pPr>
        <w:snapToGrid w:val="0"/>
        <w:spacing w:line="538"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（四）交付要求</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1、提供分辨率不低于 1080p（16:9），MP4 格式的视频文件一套。</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2、根据项目申报需要提供相应要求的视频文件一套。</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3、投标公司承诺拍摄的全部母带级别视频文件和成品文件至少提供一年的保存服务并交付学校电子档一份</w:t>
      </w:r>
      <w:r>
        <w:rPr>
          <w:rFonts w:hint="eastAsia" w:ascii="宋体" w:hAnsi="宋体" w:cs="宋体"/>
          <w:b/>
          <w:sz w:val="28"/>
          <w:szCs w:val="28"/>
          <w:highlight w:val="none"/>
        </w:rPr>
        <w:t>（投标时需提供承诺书，格式自拟，加盖投标人公章）</w:t>
      </w:r>
      <w:r>
        <w:rPr>
          <w:rFonts w:hint="eastAsia" w:ascii="宋体" w:hAnsi="宋体" w:cs="宋体"/>
          <w:bCs/>
          <w:sz w:val="28"/>
          <w:szCs w:val="28"/>
          <w:highlight w:val="none"/>
        </w:rPr>
        <w:t>。</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4、协助老师将课程相关资料上传到学校指定的网络教学平台。</w:t>
      </w:r>
    </w:p>
    <w:p>
      <w:pPr>
        <w:snapToGrid w:val="0"/>
        <w:spacing w:line="538" w:lineRule="exact"/>
        <w:ind w:firstLine="562" w:firstLineChars="200"/>
        <w:rPr>
          <w:rFonts w:ascii="宋体" w:hAnsi="宋体" w:cs="宋体"/>
          <w:bCs/>
          <w:sz w:val="28"/>
          <w:szCs w:val="28"/>
          <w:highlight w:val="none"/>
        </w:rPr>
      </w:pPr>
      <w:r>
        <w:rPr>
          <w:rFonts w:hint="eastAsia" w:ascii="宋体" w:hAnsi="宋体" w:cs="宋体"/>
          <w:b/>
          <w:sz w:val="28"/>
          <w:szCs w:val="28"/>
          <w:highlight w:val="none"/>
        </w:rPr>
        <w:t xml:space="preserve">（五）课程网站建设要求 </w:t>
      </w:r>
      <w:r>
        <w:rPr>
          <w:rFonts w:hint="eastAsia" w:ascii="宋体" w:hAnsi="宋体" w:cs="宋体"/>
          <w:bCs/>
          <w:sz w:val="28"/>
          <w:szCs w:val="28"/>
          <w:highlight w:val="none"/>
        </w:rPr>
        <w:t xml:space="preserve"> </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 xml:space="preserve">本项目所建设在线开放课程要求在校方指定的网络教学平台上线，投标公司要协助教师完成课程网站建设服务，协助上传包括按照知识点提供的视频、课程介绍、教学大纲、教学进程、教案或演示文稿、作业、参考资料目录、案例库、素材资源库等资料。 </w:t>
      </w:r>
    </w:p>
    <w:p>
      <w:pPr>
        <w:snapToGrid w:val="0"/>
        <w:spacing w:line="538"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（六）课程运行要求</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要求投标人提供本项目所开发的课程在我校指定平台1年的辅助服务，包括但不限于提供主讲教师对课程资源等咨询服务和课程运行质量辅助服务。</w:t>
      </w:r>
    </w:p>
    <w:p>
      <w:pPr>
        <w:snapToGrid w:val="0"/>
        <w:spacing w:line="538"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 xml:space="preserve">（七）售后服务要求   </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1、维保期3年。产品交付招标人验收合格之日起3年内。</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2、维保期内，投标人对所建设的课程无条件提供修改服务，修改次数不少于3次，且累计内容不低于20%。</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3、如招标方因课程需要，实际课程建设总量低于招标要求，不足部分作为预购服务，中标商根据招标方的调整计划，补足课程制作数量，有效期不限。</w:t>
      </w:r>
    </w:p>
    <w:p>
      <w:pPr>
        <w:pStyle w:val="8"/>
        <w:ind w:left="0" w:leftChars="0" w:right="1470" w:firstLine="562" w:firstLineChars="200"/>
        <w:jc w:val="left"/>
        <w:rPr>
          <w:rFonts w:ascii="宋体" w:hAnsi="宋体" w:cs="宋体"/>
          <w:b/>
          <w:sz w:val="28"/>
          <w:szCs w:val="28"/>
          <w:highlight w:val="none"/>
        </w:rPr>
      </w:pPr>
      <w:r>
        <w:rPr>
          <w:rFonts w:hint="eastAsia" w:ascii="宋体" w:hAnsi="宋体" w:cs="宋体"/>
          <w:b/>
          <w:sz w:val="28"/>
          <w:szCs w:val="28"/>
          <w:highlight w:val="none"/>
        </w:rPr>
        <w:t>（八）演示</w:t>
      </w:r>
    </w:p>
    <w:p>
      <w:pPr>
        <w:snapToGrid w:val="0"/>
        <w:spacing w:line="538"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投标单位需要提供演示视频（</w:t>
      </w:r>
      <w:r>
        <w:rPr>
          <w:rFonts w:hint="eastAsia" w:ascii="宋体" w:hAnsi="宋体" w:cs="宋体"/>
          <w:b/>
          <w:sz w:val="30"/>
          <w:szCs w:val="30"/>
          <w:highlight w:val="none"/>
          <w:u w:val="single"/>
        </w:rPr>
        <w:t>U盘单独密封，随投标文件一起寄送，未寄送演示视频视为无效投标</w:t>
      </w:r>
      <w:r>
        <w:rPr>
          <w:rFonts w:hint="eastAsia" w:ascii="宋体" w:hAnsi="宋体" w:cs="宋体"/>
          <w:b/>
          <w:sz w:val="28"/>
          <w:szCs w:val="28"/>
          <w:highlight w:val="none"/>
        </w:rPr>
        <w:t>），演示的时间不得超过8分钟。</w:t>
      </w:r>
    </w:p>
    <w:p>
      <w:pPr>
        <w:snapToGrid w:val="0"/>
        <w:spacing w:line="538"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投标人须严格按照学校所招标课程类别（理学类、工科类、文管类）演示由投标人制作的英文课程视频。</w:t>
      </w:r>
    </w:p>
    <w:p>
      <w:pPr>
        <w:snapToGrid w:val="0"/>
        <w:spacing w:line="538" w:lineRule="exact"/>
        <w:ind w:firstLine="562" w:firstLineChars="200"/>
        <w:rPr>
          <w:rFonts w:ascii="宋体" w:hAnsi="宋体" w:cs="宋体"/>
          <w:b/>
          <w:sz w:val="28"/>
          <w:szCs w:val="28"/>
          <w:highlight w:val="none"/>
        </w:rPr>
      </w:pPr>
    </w:p>
    <w:p>
      <w:pPr>
        <w:ind w:left="838" w:leftChars="399" w:firstLine="840" w:firstLineChars="300"/>
        <w:rPr>
          <w:rFonts w:ascii="宋体" w:hAnsi="宋体" w:cs="宋体"/>
          <w:kern w:val="0"/>
          <w:sz w:val="28"/>
          <w:szCs w:val="28"/>
          <w:highlight w:val="none"/>
        </w:rPr>
      </w:pPr>
    </w:p>
    <w:p>
      <w:pPr>
        <w:pStyle w:val="52"/>
        <w:rPr>
          <w:highlight w:val="none"/>
        </w:rPr>
      </w:pPr>
    </w:p>
    <w:p>
      <w:pPr>
        <w:pStyle w:val="52"/>
        <w:rPr>
          <w:highlight w:val="none"/>
        </w:rPr>
      </w:pPr>
    </w:p>
    <w:p>
      <w:pPr>
        <w:widowControl/>
        <w:jc w:val="left"/>
        <w:rPr>
          <w:rFonts w:hAnsi="宋体"/>
          <w:b/>
          <w:sz w:val="28"/>
          <w:szCs w:val="28"/>
          <w:highlight w:val="none"/>
        </w:rPr>
      </w:pPr>
    </w:p>
    <w:p>
      <w:pPr>
        <w:pStyle w:val="4"/>
        <w:rPr>
          <w:rFonts w:hAnsi="宋体"/>
          <w:b/>
          <w:sz w:val="28"/>
          <w:szCs w:val="28"/>
          <w:highlight w:val="none"/>
        </w:rPr>
      </w:pPr>
    </w:p>
    <w:p>
      <w:pPr>
        <w:pStyle w:val="4"/>
        <w:rPr>
          <w:rFonts w:hAnsi="宋体"/>
          <w:b/>
          <w:sz w:val="28"/>
          <w:szCs w:val="28"/>
          <w:highlight w:val="none"/>
        </w:rPr>
      </w:pPr>
    </w:p>
    <w:p>
      <w:pPr>
        <w:pStyle w:val="4"/>
        <w:rPr>
          <w:rFonts w:hAnsi="宋体"/>
          <w:b/>
          <w:sz w:val="28"/>
          <w:szCs w:val="28"/>
          <w:highlight w:val="none"/>
        </w:rPr>
      </w:pPr>
    </w:p>
    <w:p>
      <w:pPr>
        <w:pStyle w:val="4"/>
        <w:rPr>
          <w:rFonts w:hAnsi="宋体"/>
          <w:b/>
          <w:sz w:val="28"/>
          <w:szCs w:val="28"/>
          <w:highlight w:val="none"/>
        </w:rPr>
      </w:pPr>
    </w:p>
    <w:p>
      <w:pPr>
        <w:pStyle w:val="4"/>
        <w:rPr>
          <w:rFonts w:hAnsi="宋体"/>
          <w:b/>
          <w:sz w:val="28"/>
          <w:szCs w:val="28"/>
          <w:highlight w:val="none"/>
        </w:rPr>
      </w:pPr>
    </w:p>
    <w:p>
      <w:pPr>
        <w:pStyle w:val="4"/>
        <w:rPr>
          <w:rFonts w:hAnsi="宋体"/>
          <w:b/>
          <w:sz w:val="28"/>
          <w:szCs w:val="28"/>
          <w:highlight w:val="none"/>
        </w:rPr>
      </w:pPr>
    </w:p>
    <w:p>
      <w:pPr>
        <w:pStyle w:val="4"/>
        <w:rPr>
          <w:rFonts w:hAnsi="宋体"/>
          <w:b/>
          <w:sz w:val="28"/>
          <w:szCs w:val="28"/>
          <w:highlight w:val="none"/>
        </w:rPr>
      </w:pPr>
    </w:p>
    <w:p>
      <w:pPr>
        <w:pStyle w:val="4"/>
        <w:rPr>
          <w:rFonts w:hAnsi="宋体"/>
          <w:b/>
          <w:sz w:val="28"/>
          <w:szCs w:val="28"/>
          <w:highlight w:val="none"/>
        </w:rPr>
      </w:pPr>
    </w:p>
    <w:p>
      <w:pPr>
        <w:pStyle w:val="4"/>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tabs>
          <w:tab w:val="left" w:pos="3270"/>
        </w:tabs>
        <w:autoSpaceDE w:val="0"/>
        <w:autoSpaceDN w:val="0"/>
        <w:adjustRightInd w:val="0"/>
        <w:spacing w:line="360" w:lineRule="exact"/>
        <w:rPr>
          <w:rFonts w:ascii="宋体" w:hAnsi="宋体"/>
          <w:b/>
          <w:sz w:val="24"/>
          <w:highlight w:val="none"/>
          <w:lang w:val="zh-CN"/>
        </w:rPr>
      </w:pPr>
      <w:bookmarkStart w:id="10" w:name="_Hlk9862420"/>
    </w:p>
    <w:p>
      <w:pPr>
        <w:autoSpaceDE w:val="0"/>
        <w:autoSpaceDN w:val="0"/>
        <w:adjustRightInd w:val="0"/>
        <w:spacing w:line="360" w:lineRule="exact"/>
        <w:ind w:firstLine="723" w:firstLineChars="200"/>
        <w:jc w:val="center"/>
        <w:rPr>
          <w:rFonts w:ascii="宋体" w:hAnsi="宋体"/>
          <w:b/>
          <w:sz w:val="36"/>
          <w:szCs w:val="36"/>
          <w:highlight w:val="none"/>
          <w:lang w:val="zh-CN"/>
        </w:rPr>
      </w:pPr>
      <w:r>
        <w:rPr>
          <w:rFonts w:hint="eastAsia" w:ascii="宋体" w:hAnsi="宋体"/>
          <w:b/>
          <w:sz w:val="36"/>
          <w:szCs w:val="36"/>
          <w:highlight w:val="none"/>
          <w:lang w:val="zh-CN"/>
        </w:rPr>
        <w:t>投标函</w:t>
      </w:r>
    </w:p>
    <w:p>
      <w:p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按招标要求，我们的投标总报价为人民币大写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pacing w:line="360" w:lineRule="auto"/>
        <w:jc w:val="center"/>
        <w:rPr>
          <w:rFonts w:ascii="宋体"/>
          <w:sz w:val="44"/>
          <w:szCs w:val="44"/>
          <w:highlight w:val="none"/>
        </w:rPr>
      </w:pPr>
      <w:r>
        <w:rPr>
          <w:rFonts w:hint="eastAsia" w:ascii="宋体" w:hAnsi="宋体"/>
          <w:sz w:val="44"/>
          <w:szCs w:val="44"/>
          <w:highlight w:val="none"/>
        </w:rPr>
        <w:t>投标项目报价明细表</w:t>
      </w:r>
    </w:p>
    <w:p>
      <w:pPr>
        <w:spacing w:line="360" w:lineRule="auto"/>
        <w:rPr>
          <w:rFonts w:ascii="宋体"/>
          <w:sz w:val="28"/>
          <w:szCs w:val="28"/>
          <w:highlight w:val="none"/>
          <w:u w:val="single"/>
        </w:rPr>
      </w:pPr>
      <w:r>
        <w:rPr>
          <w:rFonts w:hint="eastAsia" w:ascii="宋体" w:hAnsi="宋体"/>
          <w:sz w:val="28"/>
          <w:szCs w:val="28"/>
          <w:highlight w:val="none"/>
        </w:rPr>
        <w:t>投标人</w:t>
      </w:r>
    </w:p>
    <w:p>
      <w:pPr>
        <w:spacing w:line="360" w:lineRule="auto"/>
        <w:rPr>
          <w:rFonts w:ascii="宋体"/>
          <w:sz w:val="28"/>
          <w:szCs w:val="28"/>
          <w:highlight w:val="none"/>
          <w:u w:val="single"/>
        </w:rPr>
      </w:pPr>
      <w:r>
        <w:rPr>
          <w:rFonts w:hint="eastAsia" w:ascii="宋体" w:hAnsi="宋体"/>
          <w:sz w:val="28"/>
          <w:szCs w:val="28"/>
          <w:highlight w:val="none"/>
        </w:rPr>
        <w:t>招标编号及分包号</w:t>
      </w:r>
    </w:p>
    <w:p>
      <w:pPr>
        <w:spacing w:line="360" w:lineRule="auto"/>
        <w:rPr>
          <w:rFonts w:ascii="宋体"/>
          <w:sz w:val="28"/>
          <w:szCs w:val="28"/>
          <w:highlight w:val="none"/>
          <w:u w:val="single"/>
        </w:rPr>
      </w:pPr>
      <w:r>
        <w:rPr>
          <w:rFonts w:hint="eastAsia" w:ascii="宋体" w:hAnsi="宋体"/>
          <w:sz w:val="28"/>
          <w:szCs w:val="28"/>
          <w:highlight w:val="none"/>
        </w:rPr>
        <w:t>投标报价</w:t>
      </w:r>
    </w:p>
    <w:tbl>
      <w:tblPr>
        <w:tblStyle w:val="17"/>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sz w:val="28"/>
                <w:szCs w:val="28"/>
                <w:highlight w:val="none"/>
              </w:rPr>
            </w:pPr>
            <w:r>
              <w:rPr>
                <w:rFonts w:hint="eastAsia" w:ascii="宋体" w:hAnsi="宋体"/>
                <w:b/>
                <w:sz w:val="28"/>
                <w:szCs w:val="28"/>
                <w:highlight w:val="none"/>
              </w:rPr>
              <w:t>分包号</w:t>
            </w:r>
          </w:p>
        </w:tc>
        <w:tc>
          <w:tcPr>
            <w:tcW w:w="1065" w:type="dxa"/>
            <w:vAlign w:val="center"/>
          </w:tcPr>
          <w:p>
            <w:pPr>
              <w:spacing w:line="360" w:lineRule="auto"/>
              <w:jc w:val="center"/>
              <w:rPr>
                <w:rFonts w:ascii="宋体" w:hAnsi="宋体"/>
                <w:b/>
                <w:sz w:val="28"/>
                <w:szCs w:val="28"/>
                <w:highlight w:val="none"/>
              </w:rPr>
            </w:pPr>
            <w:r>
              <w:rPr>
                <w:rFonts w:hint="eastAsia" w:ascii="宋体" w:hAnsi="宋体"/>
                <w:b/>
                <w:sz w:val="28"/>
                <w:szCs w:val="28"/>
                <w:highlight w:val="none"/>
              </w:rPr>
              <w:t>品牌</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名称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描述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计量</w:t>
            </w:r>
          </w:p>
          <w:p>
            <w:pPr>
              <w:spacing w:line="360" w:lineRule="auto"/>
              <w:jc w:val="center"/>
              <w:rPr>
                <w:rFonts w:ascii="宋体"/>
                <w:b/>
                <w:sz w:val="28"/>
                <w:szCs w:val="28"/>
                <w:highlight w:val="none"/>
              </w:rPr>
            </w:pPr>
            <w:r>
              <w:rPr>
                <w:rFonts w:hint="eastAsia" w:ascii="宋体" w:hAnsi="宋体"/>
                <w:b/>
                <w:sz w:val="28"/>
                <w:szCs w:val="28"/>
                <w:highlight w:val="none"/>
              </w:rPr>
              <w:t>单位</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数量</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单价</w:t>
            </w:r>
          </w:p>
        </w:tc>
        <w:tc>
          <w:tcPr>
            <w:tcW w:w="1066"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每项</w:t>
            </w:r>
          </w:p>
          <w:p>
            <w:pPr>
              <w:spacing w:line="360" w:lineRule="auto"/>
              <w:jc w:val="center"/>
              <w:rPr>
                <w:rFonts w:ascii="宋体"/>
                <w:b/>
                <w:sz w:val="28"/>
                <w:szCs w:val="28"/>
                <w:highlight w:val="none"/>
              </w:rPr>
            </w:pPr>
            <w:r>
              <w:rPr>
                <w:rFonts w:hint="eastAsia" w:ascii="宋体" w:hAnsi="宋体"/>
                <w:b/>
                <w:sz w:val="28"/>
                <w:szCs w:val="28"/>
                <w:highlight w:val="none"/>
              </w:rPr>
              <w:t>总价</w:t>
            </w:r>
          </w:p>
        </w:tc>
        <w:tc>
          <w:tcPr>
            <w:tcW w:w="1066" w:type="dxa"/>
          </w:tcPr>
          <w:p>
            <w:pPr>
              <w:spacing w:line="360" w:lineRule="auto"/>
              <w:jc w:val="center"/>
              <w:rPr>
                <w:rFonts w:ascii="宋体"/>
                <w:b/>
                <w:sz w:val="28"/>
                <w:szCs w:val="28"/>
                <w:highlight w:val="none"/>
              </w:rPr>
            </w:pPr>
            <w:r>
              <w:rPr>
                <w:rFonts w:hint="eastAsia" w:ascii="宋体" w:hAnsi="宋体"/>
                <w:b/>
                <w:sz w:val="28"/>
                <w:szCs w:val="28"/>
                <w:highlight w:val="none"/>
              </w:rPr>
              <w:t>质保</w:t>
            </w:r>
          </w:p>
          <w:p>
            <w:pPr>
              <w:spacing w:line="360" w:lineRule="auto"/>
              <w:jc w:val="center"/>
              <w:rPr>
                <w:rFonts w:ascii="宋体"/>
                <w:b/>
                <w:sz w:val="28"/>
                <w:szCs w:val="28"/>
                <w:highlight w:val="none"/>
              </w:rPr>
            </w:pPr>
            <w:r>
              <w:rPr>
                <w:rFonts w:hint="eastAsia" w:ascii="宋体" w:hAnsi="宋体"/>
                <w:b/>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sz w:val="28"/>
                <w:szCs w:val="28"/>
                <w:highlight w:val="none"/>
              </w:rPr>
            </w:pPr>
          </w:p>
        </w:tc>
        <w:tc>
          <w:tcPr>
            <w:tcW w:w="2130" w:type="dxa"/>
            <w:gridSpan w:val="2"/>
            <w:vAlign w:val="center"/>
          </w:tcPr>
          <w:p>
            <w:pPr>
              <w:spacing w:line="360" w:lineRule="auto"/>
              <w:jc w:val="center"/>
              <w:rPr>
                <w:rFonts w:ascii="宋体"/>
                <w:sz w:val="28"/>
                <w:szCs w:val="28"/>
                <w:highlight w:val="none"/>
              </w:rPr>
            </w:pPr>
            <w:r>
              <w:rPr>
                <w:rFonts w:hint="eastAsia" w:ascii="宋体" w:hAnsi="宋体"/>
                <w:sz w:val="28"/>
                <w:szCs w:val="28"/>
                <w:highlight w:val="none"/>
              </w:rPr>
              <w:t>合计总价</w:t>
            </w:r>
          </w:p>
        </w:tc>
        <w:tc>
          <w:tcPr>
            <w:tcW w:w="6392" w:type="dxa"/>
            <w:gridSpan w:val="6"/>
            <w:vAlign w:val="center"/>
          </w:tcPr>
          <w:p>
            <w:pPr>
              <w:spacing w:line="360" w:lineRule="auto"/>
              <w:rPr>
                <w:rFonts w:ascii="宋体"/>
                <w:sz w:val="28"/>
                <w:szCs w:val="28"/>
                <w:highlight w:val="none"/>
                <w:u w:val="single"/>
              </w:rPr>
            </w:pPr>
            <w:r>
              <w:rPr>
                <w:rFonts w:hint="eastAsia" w:ascii="宋体" w:hAnsi="宋体"/>
                <w:sz w:val="28"/>
                <w:szCs w:val="28"/>
                <w:highlight w:val="none"/>
              </w:rPr>
              <w:t>大写：小写：元</w:t>
            </w:r>
          </w:p>
        </w:tc>
      </w:tr>
    </w:tbl>
    <w:p>
      <w:pPr>
        <w:spacing w:line="360" w:lineRule="auto"/>
        <w:rPr>
          <w:rFonts w:ascii="宋体"/>
          <w:sz w:val="28"/>
          <w:szCs w:val="28"/>
          <w:highlight w:val="none"/>
        </w:rPr>
      </w:pPr>
      <w:r>
        <w:rPr>
          <w:rFonts w:hint="eastAsia" w:ascii="宋体" w:hAnsi="宋体"/>
          <w:sz w:val="28"/>
          <w:szCs w:val="28"/>
          <w:highlight w:val="none"/>
        </w:rPr>
        <w:t>（可续页）</w:t>
      </w:r>
    </w:p>
    <w:p>
      <w:pPr>
        <w:spacing w:line="360" w:lineRule="auto"/>
        <w:rPr>
          <w:rFonts w:ascii="宋体"/>
          <w:sz w:val="28"/>
          <w:szCs w:val="28"/>
          <w:highlight w:val="none"/>
        </w:rPr>
      </w:pPr>
    </w:p>
    <w:p>
      <w:pPr>
        <w:spacing w:line="360" w:lineRule="auto"/>
        <w:rPr>
          <w:rFonts w:ascii="宋体"/>
          <w:sz w:val="28"/>
          <w:szCs w:val="28"/>
          <w:highlight w:val="none"/>
          <w:u w:val="single"/>
        </w:rPr>
      </w:pPr>
      <w:r>
        <w:rPr>
          <w:rFonts w:hint="eastAsia" w:ascii="宋体" w:hAnsi="宋体"/>
          <w:sz w:val="28"/>
          <w:szCs w:val="28"/>
          <w:highlight w:val="none"/>
        </w:rPr>
        <w:t>单位盖章：</w:t>
      </w:r>
    </w:p>
    <w:p>
      <w:pPr>
        <w:spacing w:line="360" w:lineRule="auto"/>
        <w:rPr>
          <w:rFonts w:ascii="宋体"/>
          <w:sz w:val="28"/>
          <w:szCs w:val="28"/>
          <w:highlight w:val="none"/>
          <w:u w:val="single"/>
        </w:rPr>
      </w:pPr>
      <w:r>
        <w:rPr>
          <w:rFonts w:hint="eastAsia" w:ascii="宋体" w:hAnsi="宋体"/>
          <w:sz w:val="28"/>
          <w:szCs w:val="28"/>
          <w:highlight w:val="none"/>
        </w:rPr>
        <w:t>授权代表签字：</w:t>
      </w:r>
    </w:p>
    <w:p>
      <w:pPr>
        <w:spacing w:line="360" w:lineRule="auto"/>
        <w:rPr>
          <w:rFonts w:ascii="宋体"/>
          <w:sz w:val="28"/>
          <w:szCs w:val="28"/>
          <w:highlight w:val="none"/>
        </w:rPr>
      </w:pPr>
    </w:p>
    <w:p>
      <w:pPr>
        <w:spacing w:line="360" w:lineRule="auto"/>
        <w:rPr>
          <w:rFonts w:ascii="宋体"/>
          <w:sz w:val="28"/>
          <w:szCs w:val="28"/>
          <w:highlight w:val="none"/>
        </w:rPr>
      </w:pPr>
      <w:r>
        <w:rPr>
          <w:rFonts w:hint="eastAsia" w:ascii="宋体" w:hAnsi="宋体"/>
          <w:sz w:val="28"/>
          <w:szCs w:val="28"/>
          <w:highlight w:val="none"/>
        </w:rPr>
        <w:t>年月日</w:t>
      </w:r>
    </w:p>
    <w:p>
      <w:pPr>
        <w:jc w:val="left"/>
        <w:rPr>
          <w:b/>
          <w:sz w:val="28"/>
          <w:szCs w:val="28"/>
          <w:highlight w:val="none"/>
        </w:rPr>
      </w:pPr>
    </w:p>
    <w:bookmarkEnd w:id="9"/>
    <w:bookmarkEnd w:id="10"/>
    <w:p>
      <w:pPr>
        <w:jc w:val="left"/>
        <w:rPr>
          <w:b/>
          <w:sz w:val="28"/>
          <w:szCs w:val="28"/>
          <w:highlight w:val="none"/>
        </w:rPr>
      </w:pPr>
      <w:r>
        <w:rPr>
          <w:rFonts w:hint="eastAsia"/>
          <w:b/>
          <w:sz w:val="28"/>
          <w:szCs w:val="28"/>
          <w:highlight w:val="none"/>
        </w:rPr>
        <w:t>附件</w:t>
      </w:r>
      <w:r>
        <w:rPr>
          <w:b/>
          <w:sz w:val="28"/>
          <w:szCs w:val="28"/>
          <w:highlight w:val="none"/>
        </w:rPr>
        <w:t>4</w:t>
      </w:r>
      <w:r>
        <w:rPr>
          <w:rFonts w:hint="eastAsia"/>
          <w:b/>
          <w:sz w:val="28"/>
          <w:szCs w:val="28"/>
          <w:highlight w:val="none"/>
        </w:rPr>
        <w:t>：服务要求</w:t>
      </w:r>
    </w:p>
    <w:p>
      <w:pPr>
        <w:adjustRightInd w:val="0"/>
        <w:snapToGrid w:val="0"/>
        <w:spacing w:line="360" w:lineRule="auto"/>
        <w:ind w:firstLine="562" w:firstLineChars="200"/>
        <w:rPr>
          <w:rFonts w:ascii="宋体" w:hAnsi="宋体" w:cs="宋体"/>
          <w:b/>
          <w:bCs/>
          <w:sz w:val="28"/>
          <w:szCs w:val="28"/>
          <w:highlight w:val="none"/>
        </w:rPr>
      </w:pPr>
      <w:r>
        <w:rPr>
          <w:rFonts w:hint="eastAsia" w:ascii="宋体" w:hAnsi="宋体" w:cs="宋体"/>
          <w:b/>
          <w:bCs/>
          <w:sz w:val="28"/>
          <w:szCs w:val="28"/>
          <w:highlight w:val="none"/>
        </w:rPr>
        <w:t>1.项目总体建设要求</w:t>
      </w:r>
    </w:p>
    <w:p>
      <w:pPr>
        <w:pStyle w:val="4"/>
        <w:numPr>
          <w:ilvl w:val="0"/>
          <w:numId w:val="1"/>
        </w:numPr>
        <w:tabs>
          <w:tab w:val="left" w:pos="844"/>
        </w:tabs>
        <w:adjustRightInd w:val="0"/>
        <w:snapToGrid w:val="0"/>
        <w:spacing w:line="360" w:lineRule="auto"/>
        <w:ind w:left="0" w:firstLine="560" w:firstLineChars="200"/>
        <w:rPr>
          <w:rFonts w:ascii="宋体" w:hAnsi="宋体"/>
          <w:bCs/>
          <w:sz w:val="28"/>
          <w:szCs w:val="28"/>
          <w:highlight w:val="none"/>
        </w:rPr>
      </w:pPr>
      <w:r>
        <w:rPr>
          <w:rFonts w:hint="eastAsia" w:ascii="宋体" w:hAnsi="宋体"/>
          <w:bCs/>
          <w:sz w:val="28"/>
          <w:szCs w:val="28"/>
          <w:highlight w:val="none"/>
        </w:rPr>
        <w:t>建设目标：按国家级在线开放课程建设要求，完成我校9门国际课程教学视频建设。</w:t>
      </w:r>
    </w:p>
    <w:p>
      <w:pPr>
        <w:pStyle w:val="4"/>
        <w:numPr>
          <w:ilvl w:val="0"/>
          <w:numId w:val="1"/>
        </w:numPr>
        <w:tabs>
          <w:tab w:val="left" w:pos="844"/>
        </w:tabs>
        <w:adjustRightInd w:val="0"/>
        <w:snapToGrid w:val="0"/>
        <w:spacing w:line="360" w:lineRule="auto"/>
        <w:ind w:left="0" w:firstLine="560" w:firstLineChars="200"/>
        <w:rPr>
          <w:rFonts w:ascii="宋体" w:hAnsi="宋体"/>
          <w:bCs/>
          <w:sz w:val="28"/>
          <w:szCs w:val="28"/>
          <w:highlight w:val="none"/>
        </w:rPr>
      </w:pPr>
      <w:r>
        <w:rPr>
          <w:rFonts w:hint="eastAsia" w:ascii="宋体" w:hAnsi="宋体"/>
          <w:bCs/>
          <w:sz w:val="28"/>
          <w:szCs w:val="28"/>
          <w:highlight w:val="none"/>
        </w:rPr>
        <w:t>建设内容：在线开放课程教学视频规划、设计、拍摄、制作、上传。视频课程后期修改、上线辅助运行。</w:t>
      </w:r>
    </w:p>
    <w:p>
      <w:pPr>
        <w:pStyle w:val="4"/>
        <w:numPr>
          <w:ilvl w:val="0"/>
          <w:numId w:val="1"/>
        </w:numPr>
        <w:tabs>
          <w:tab w:val="left" w:pos="844"/>
        </w:tabs>
        <w:adjustRightInd w:val="0"/>
        <w:snapToGrid w:val="0"/>
        <w:spacing w:line="360" w:lineRule="auto"/>
        <w:ind w:left="0" w:firstLine="560" w:firstLineChars="200"/>
        <w:rPr>
          <w:rFonts w:ascii="宋体" w:hAnsi="宋体"/>
          <w:bCs/>
          <w:sz w:val="28"/>
          <w:szCs w:val="28"/>
          <w:highlight w:val="none"/>
        </w:rPr>
      </w:pPr>
      <w:r>
        <w:rPr>
          <w:rFonts w:hint="eastAsia" w:ascii="宋体" w:hAnsi="宋体"/>
          <w:bCs/>
          <w:sz w:val="28"/>
          <w:szCs w:val="28"/>
          <w:highlight w:val="none"/>
        </w:rPr>
        <w:t>建设计划：</w:t>
      </w:r>
    </w:p>
    <w:p>
      <w:pPr>
        <w:pStyle w:val="4"/>
        <w:numPr>
          <w:ilvl w:val="0"/>
          <w:numId w:val="2"/>
        </w:numPr>
        <w:tabs>
          <w:tab w:val="left" w:pos="844"/>
        </w:tabs>
        <w:adjustRightInd w:val="0"/>
        <w:snapToGrid w:val="0"/>
        <w:spacing w:line="360" w:lineRule="auto"/>
        <w:ind w:left="0" w:firstLine="560" w:firstLineChars="200"/>
        <w:rPr>
          <w:rFonts w:ascii="宋体" w:hAnsi="宋体"/>
          <w:bCs/>
          <w:sz w:val="28"/>
          <w:szCs w:val="28"/>
          <w:highlight w:val="none"/>
        </w:rPr>
      </w:pPr>
      <w:r>
        <w:rPr>
          <w:rFonts w:hint="eastAsia" w:ascii="宋体" w:hAnsi="宋体"/>
          <w:bCs/>
          <w:sz w:val="28"/>
          <w:szCs w:val="28"/>
          <w:highlight w:val="none"/>
        </w:rPr>
        <w:t xml:space="preserve"> 2022  年  8 月 30 日完成课程视频制作</w:t>
      </w:r>
    </w:p>
    <w:p>
      <w:pPr>
        <w:pStyle w:val="4"/>
        <w:numPr>
          <w:ilvl w:val="0"/>
          <w:numId w:val="2"/>
        </w:numPr>
        <w:tabs>
          <w:tab w:val="left" w:pos="844"/>
        </w:tabs>
        <w:adjustRightInd w:val="0"/>
        <w:snapToGrid w:val="0"/>
        <w:spacing w:line="360" w:lineRule="auto"/>
        <w:ind w:left="0" w:firstLine="560" w:firstLineChars="200"/>
        <w:rPr>
          <w:rFonts w:ascii="宋体" w:hAnsi="宋体"/>
          <w:bCs/>
          <w:sz w:val="28"/>
          <w:szCs w:val="28"/>
          <w:highlight w:val="none"/>
        </w:rPr>
      </w:pPr>
      <w:r>
        <w:rPr>
          <w:rFonts w:hint="eastAsia" w:ascii="宋体" w:hAnsi="宋体"/>
          <w:bCs/>
          <w:sz w:val="28"/>
          <w:szCs w:val="28"/>
          <w:highlight w:val="none"/>
        </w:rPr>
        <w:t xml:space="preserve"> 2022  年  10 月 15 日完成课程视频复核、修改、定稿</w:t>
      </w:r>
    </w:p>
    <w:p>
      <w:pPr>
        <w:pStyle w:val="4"/>
        <w:numPr>
          <w:ilvl w:val="0"/>
          <w:numId w:val="2"/>
        </w:numPr>
        <w:tabs>
          <w:tab w:val="left" w:pos="844"/>
        </w:tabs>
        <w:adjustRightInd w:val="0"/>
        <w:snapToGrid w:val="0"/>
        <w:spacing w:line="360" w:lineRule="auto"/>
        <w:ind w:left="0" w:firstLine="560" w:firstLineChars="200"/>
        <w:rPr>
          <w:rFonts w:ascii="宋体" w:hAnsi="宋体" w:cs="仿宋"/>
          <w:b/>
          <w:bCs/>
          <w:sz w:val="28"/>
          <w:szCs w:val="28"/>
          <w:highlight w:val="none"/>
        </w:rPr>
      </w:pPr>
      <w:r>
        <w:rPr>
          <w:rFonts w:hint="eastAsia" w:ascii="宋体" w:hAnsi="宋体"/>
          <w:bCs/>
          <w:sz w:val="28"/>
          <w:szCs w:val="28"/>
          <w:highlight w:val="none"/>
        </w:rPr>
        <w:t xml:space="preserve"> 2022  年  10月  30 日完成课程视频上传工作。</w:t>
      </w:r>
    </w:p>
    <w:p>
      <w:pPr>
        <w:adjustRightInd w:val="0"/>
        <w:snapToGrid w:val="0"/>
        <w:spacing w:line="360" w:lineRule="auto"/>
        <w:ind w:firstLine="562" w:firstLineChars="200"/>
        <w:rPr>
          <w:rFonts w:ascii="宋体" w:hAnsi="宋体" w:cs="仿宋"/>
          <w:b/>
          <w:bCs/>
          <w:sz w:val="28"/>
          <w:szCs w:val="28"/>
          <w:highlight w:val="none"/>
        </w:rPr>
      </w:pPr>
      <w:r>
        <w:rPr>
          <w:rFonts w:hint="eastAsia" w:ascii="宋体" w:hAnsi="宋体" w:cs="仿宋"/>
          <w:b/>
          <w:bCs/>
          <w:sz w:val="28"/>
          <w:szCs w:val="28"/>
          <w:highlight w:val="none"/>
        </w:rPr>
        <w:t>2.质保期：本项目质保期三年。</w:t>
      </w:r>
    </w:p>
    <w:p>
      <w:pPr>
        <w:adjustRightInd w:val="0"/>
        <w:snapToGrid w:val="0"/>
        <w:spacing w:line="360" w:lineRule="auto"/>
        <w:ind w:firstLine="562" w:firstLineChars="200"/>
        <w:rPr>
          <w:rFonts w:ascii="宋体" w:hAnsi="宋体" w:cs="仿宋"/>
          <w:b/>
          <w:bCs/>
          <w:sz w:val="28"/>
          <w:szCs w:val="28"/>
          <w:highlight w:val="none"/>
        </w:rPr>
      </w:pPr>
      <w:r>
        <w:rPr>
          <w:rFonts w:hint="eastAsia" w:ascii="宋体" w:hAnsi="宋体" w:cs="仿宋"/>
          <w:b/>
          <w:bCs/>
          <w:sz w:val="28"/>
          <w:szCs w:val="28"/>
          <w:highlight w:val="none"/>
        </w:rPr>
        <w:t>3.知识产权:</w:t>
      </w:r>
      <w:r>
        <w:rPr>
          <w:rFonts w:hint="eastAsia" w:ascii="宋体" w:hAnsi="宋体" w:cs="仿宋_GB2312"/>
          <w:sz w:val="28"/>
          <w:szCs w:val="28"/>
          <w:highlight w:val="none"/>
        </w:rPr>
        <w:t>投标人在制作过程中提供的视频数据、动画资料等课程制作相关资料等必须妥善解决所有的知识产权，所有知识产权、传播权纠纷由投标人承担责任，招标人免责。</w:t>
      </w:r>
      <w:r>
        <w:rPr>
          <w:rFonts w:hint="eastAsia" w:ascii="宋体" w:hAnsi="宋体" w:cs="宋体"/>
          <w:color w:val="000000"/>
          <w:sz w:val="28"/>
          <w:szCs w:val="28"/>
          <w:highlight w:val="none"/>
        </w:rPr>
        <w:t>如因</w:t>
      </w:r>
      <w:r>
        <w:rPr>
          <w:rFonts w:hint="eastAsia" w:ascii="宋体" w:hAnsi="宋体" w:cs="仿宋_GB2312"/>
          <w:sz w:val="28"/>
          <w:szCs w:val="28"/>
          <w:highlight w:val="none"/>
        </w:rPr>
        <w:t>投标人</w:t>
      </w:r>
      <w:r>
        <w:rPr>
          <w:rFonts w:hint="eastAsia" w:ascii="宋体" w:hAnsi="宋体" w:cs="宋体"/>
          <w:color w:val="000000"/>
          <w:sz w:val="28"/>
          <w:szCs w:val="28"/>
          <w:highlight w:val="none"/>
        </w:rPr>
        <w:t>提供的软件产品或服务的知识产权引起与第三方的纠纷，由</w:t>
      </w:r>
      <w:r>
        <w:rPr>
          <w:rFonts w:hint="eastAsia" w:ascii="宋体" w:hAnsi="宋体" w:cs="仿宋_GB2312"/>
          <w:sz w:val="28"/>
          <w:szCs w:val="28"/>
          <w:highlight w:val="none"/>
        </w:rPr>
        <w:t>投标人</w:t>
      </w:r>
      <w:r>
        <w:rPr>
          <w:rFonts w:hint="eastAsia" w:ascii="宋体" w:hAnsi="宋体" w:cs="宋体"/>
          <w:color w:val="000000"/>
          <w:sz w:val="28"/>
          <w:szCs w:val="28"/>
          <w:highlight w:val="none"/>
        </w:rPr>
        <w:t>负责处理，并承担全部法律责任。本项目所有成果知识产权归招标方所有</w:t>
      </w:r>
      <w:r>
        <w:rPr>
          <w:rFonts w:hint="eastAsia" w:ascii="宋体" w:hAnsi="宋体"/>
          <w:sz w:val="28"/>
          <w:szCs w:val="28"/>
          <w:highlight w:val="none"/>
        </w:rPr>
        <w:t>。</w:t>
      </w: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r>
        <w:rPr>
          <w:rFonts w:hint="eastAsia" w:ascii="宋体" w:hAnsi="宋体" w:cs="仿宋"/>
          <w:b/>
          <w:bCs/>
          <w:sz w:val="28"/>
          <w:szCs w:val="28"/>
          <w:highlight w:val="none"/>
        </w:rPr>
        <w:t>附件</w:t>
      </w:r>
      <w:r>
        <w:rPr>
          <w:rFonts w:ascii="宋体" w:hAnsi="宋体" w:cs="仿宋"/>
          <w:b/>
          <w:bCs/>
          <w:sz w:val="28"/>
          <w:szCs w:val="28"/>
          <w:highlight w:val="none"/>
        </w:rPr>
        <w:t>5</w:t>
      </w:r>
      <w:r>
        <w:rPr>
          <w:rFonts w:hint="eastAsia" w:ascii="宋体" w:hAnsi="宋体" w:cs="仿宋"/>
          <w:b/>
          <w:bCs/>
          <w:sz w:val="28"/>
          <w:szCs w:val="28"/>
          <w:highlight w:val="none"/>
        </w:rPr>
        <w:t>：评标办法</w:t>
      </w:r>
    </w:p>
    <w:p>
      <w:pPr>
        <w:spacing w:line="360" w:lineRule="auto"/>
        <w:ind w:firstLine="480" w:firstLineChars="200"/>
        <w:rPr>
          <w:rFonts w:ascii="宋体" w:hAnsi="宋体"/>
          <w:sz w:val="24"/>
          <w:highlight w:val="none"/>
        </w:rPr>
      </w:pPr>
      <w:r>
        <w:rPr>
          <w:rFonts w:hint="eastAsia" w:ascii="宋体" w:hAnsi="宋体"/>
          <w:sz w:val="24"/>
          <w:highlight w:val="none"/>
        </w:rPr>
        <w:t>本项目采用综合评分法，总分为：</w:t>
      </w:r>
      <w:r>
        <w:rPr>
          <w:rFonts w:ascii="宋体" w:hAnsi="宋体"/>
          <w:sz w:val="24"/>
          <w:highlight w:val="none"/>
        </w:rPr>
        <w:t>100</w:t>
      </w:r>
      <w:r>
        <w:rPr>
          <w:rFonts w:hint="eastAsia" w:ascii="宋体" w:hAnsi="宋体"/>
          <w:sz w:val="24"/>
          <w:highlight w:val="none"/>
        </w:rPr>
        <w:t>分。</w:t>
      </w:r>
    </w:p>
    <w:tbl>
      <w:tblPr>
        <w:tblStyle w:val="17"/>
        <w:tblW w:w="9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065"/>
        <w:gridCol w:w="1111"/>
        <w:gridCol w:w="5685"/>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9" w:type="dxa"/>
            <w:vAlign w:val="center"/>
          </w:tcPr>
          <w:p>
            <w:pPr>
              <w:snapToGrid w:val="0"/>
              <w:spacing w:line="420" w:lineRule="exact"/>
              <w:jc w:val="center"/>
              <w:rPr>
                <w:rFonts w:ascii="宋体" w:hAnsi="宋体" w:cs="宋体"/>
                <w:b/>
                <w:kern w:val="0"/>
                <w:szCs w:val="21"/>
                <w:highlight w:val="none"/>
              </w:rPr>
            </w:pPr>
            <w:r>
              <w:rPr>
                <w:rFonts w:hint="eastAsia" w:ascii="宋体" w:hAnsi="宋体" w:cs="宋体"/>
                <w:b/>
                <w:kern w:val="0"/>
                <w:szCs w:val="21"/>
                <w:highlight w:val="none"/>
              </w:rPr>
              <w:t>序号</w:t>
            </w:r>
          </w:p>
        </w:tc>
        <w:tc>
          <w:tcPr>
            <w:tcW w:w="1065" w:type="dxa"/>
            <w:vAlign w:val="center"/>
          </w:tcPr>
          <w:p>
            <w:pPr>
              <w:snapToGrid w:val="0"/>
              <w:spacing w:line="420" w:lineRule="exact"/>
              <w:jc w:val="center"/>
              <w:rPr>
                <w:rFonts w:ascii="宋体" w:hAnsi="宋体" w:cs="宋体"/>
                <w:b/>
                <w:kern w:val="0"/>
                <w:szCs w:val="21"/>
                <w:highlight w:val="none"/>
              </w:rPr>
            </w:pPr>
            <w:r>
              <w:rPr>
                <w:rFonts w:hint="eastAsia" w:ascii="宋体" w:hAnsi="宋体" w:cs="宋体"/>
                <w:b/>
                <w:kern w:val="0"/>
                <w:szCs w:val="21"/>
                <w:highlight w:val="none"/>
              </w:rPr>
              <w:t>评审指标</w:t>
            </w:r>
          </w:p>
        </w:tc>
        <w:tc>
          <w:tcPr>
            <w:tcW w:w="1111" w:type="dxa"/>
            <w:vAlign w:val="center"/>
          </w:tcPr>
          <w:p>
            <w:pPr>
              <w:snapToGrid w:val="0"/>
              <w:spacing w:line="420" w:lineRule="exact"/>
              <w:jc w:val="center"/>
              <w:rPr>
                <w:rFonts w:ascii="宋体" w:hAnsi="宋体" w:cs="宋体"/>
                <w:b/>
                <w:kern w:val="0"/>
                <w:szCs w:val="21"/>
                <w:highlight w:val="none"/>
              </w:rPr>
            </w:pPr>
            <w:r>
              <w:rPr>
                <w:rFonts w:hint="eastAsia" w:ascii="宋体" w:hAnsi="宋体" w:cs="宋体"/>
                <w:b/>
                <w:kern w:val="0"/>
                <w:szCs w:val="21"/>
                <w:highlight w:val="none"/>
              </w:rPr>
              <w:t>评审因素</w:t>
            </w:r>
          </w:p>
        </w:tc>
        <w:tc>
          <w:tcPr>
            <w:tcW w:w="5685" w:type="dxa"/>
            <w:vAlign w:val="center"/>
          </w:tcPr>
          <w:p>
            <w:pPr>
              <w:snapToGrid w:val="0"/>
              <w:spacing w:line="420" w:lineRule="exact"/>
              <w:jc w:val="center"/>
              <w:rPr>
                <w:rFonts w:ascii="宋体" w:hAnsi="宋体" w:cs="宋体"/>
                <w:b/>
                <w:kern w:val="0"/>
                <w:szCs w:val="21"/>
                <w:highlight w:val="none"/>
              </w:rPr>
            </w:pPr>
            <w:r>
              <w:rPr>
                <w:rFonts w:hint="eastAsia" w:ascii="宋体" w:hAnsi="宋体" w:cs="宋体"/>
                <w:b/>
                <w:kern w:val="0"/>
                <w:szCs w:val="21"/>
                <w:highlight w:val="none"/>
              </w:rPr>
              <w:t>评审标准</w:t>
            </w:r>
          </w:p>
        </w:tc>
        <w:tc>
          <w:tcPr>
            <w:tcW w:w="674" w:type="dxa"/>
            <w:vAlign w:val="center"/>
          </w:tcPr>
          <w:p>
            <w:pPr>
              <w:snapToGrid w:val="0"/>
              <w:spacing w:line="420" w:lineRule="exact"/>
              <w:jc w:val="center"/>
              <w:rPr>
                <w:rFonts w:ascii="宋体" w:hAnsi="宋体" w:cs="宋体"/>
                <w:b/>
                <w:kern w:val="0"/>
                <w:szCs w:val="21"/>
                <w:highlight w:val="none"/>
              </w:rPr>
            </w:pPr>
            <w:r>
              <w:rPr>
                <w:rFonts w:hint="eastAsia" w:ascii="宋体" w:hAnsi="宋体" w:cs="宋体"/>
                <w:b/>
                <w:kern w:val="0"/>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9"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1</w:t>
            </w:r>
          </w:p>
        </w:tc>
        <w:tc>
          <w:tcPr>
            <w:tcW w:w="1065"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价格</w:t>
            </w:r>
          </w:p>
        </w:tc>
        <w:tc>
          <w:tcPr>
            <w:tcW w:w="1111"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价格</w:t>
            </w:r>
          </w:p>
        </w:tc>
        <w:tc>
          <w:tcPr>
            <w:tcW w:w="5685" w:type="dxa"/>
            <w:vAlign w:val="center"/>
          </w:tcPr>
          <w:p>
            <w:pPr>
              <w:spacing w:line="420" w:lineRule="exact"/>
              <w:rPr>
                <w:rFonts w:ascii="宋体" w:hAnsi="宋体" w:cs="宋体"/>
                <w:szCs w:val="21"/>
                <w:highlight w:val="none"/>
              </w:rPr>
            </w:pPr>
            <w:r>
              <w:rPr>
                <w:rFonts w:hint="eastAsia" w:ascii="宋体" w:hAnsi="宋体" w:cs="宋体"/>
                <w:szCs w:val="21"/>
                <w:highlight w:val="none"/>
              </w:rPr>
              <w:t>采用低价优先法计算，即满足招标文件要求且投标价格最低的投标报价为基准价，其价格分为满分25分。其他投标人的投标报价得分计算公式如下：投标报价得分=(评标基准价／投标报价)×25（四舍五入，小数点保留两位）。</w:t>
            </w:r>
          </w:p>
        </w:tc>
        <w:tc>
          <w:tcPr>
            <w:tcW w:w="674"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9" w:type="dxa"/>
            <w:vMerge w:val="restart"/>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2</w:t>
            </w:r>
          </w:p>
        </w:tc>
        <w:tc>
          <w:tcPr>
            <w:tcW w:w="1065" w:type="dxa"/>
            <w:vMerge w:val="restart"/>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履约能力</w:t>
            </w:r>
          </w:p>
        </w:tc>
        <w:tc>
          <w:tcPr>
            <w:tcW w:w="1111"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2.1</w:t>
            </w:r>
          </w:p>
          <w:p>
            <w:pPr>
              <w:spacing w:line="420" w:lineRule="exact"/>
              <w:jc w:val="center"/>
              <w:rPr>
                <w:rFonts w:ascii="宋体" w:hAnsi="宋体" w:cs="宋体"/>
                <w:szCs w:val="21"/>
                <w:highlight w:val="none"/>
              </w:rPr>
            </w:pPr>
            <w:r>
              <w:rPr>
                <w:rFonts w:hint="eastAsia" w:ascii="宋体" w:hAnsi="宋体" w:cs="宋体"/>
                <w:szCs w:val="21"/>
                <w:highlight w:val="none"/>
              </w:rPr>
              <w:t>精品</w:t>
            </w:r>
          </w:p>
          <w:p>
            <w:pPr>
              <w:spacing w:line="420" w:lineRule="exact"/>
              <w:jc w:val="center"/>
              <w:rPr>
                <w:rFonts w:ascii="宋体" w:hAnsi="宋体" w:cs="宋体"/>
                <w:szCs w:val="21"/>
                <w:highlight w:val="none"/>
              </w:rPr>
            </w:pPr>
            <w:r>
              <w:rPr>
                <w:rFonts w:hint="eastAsia" w:ascii="宋体" w:hAnsi="宋体" w:cs="宋体"/>
                <w:szCs w:val="21"/>
                <w:highlight w:val="none"/>
              </w:rPr>
              <w:t>课程</w:t>
            </w:r>
          </w:p>
        </w:tc>
        <w:tc>
          <w:tcPr>
            <w:tcW w:w="5685" w:type="dxa"/>
            <w:vAlign w:val="center"/>
          </w:tcPr>
          <w:p>
            <w:pPr>
              <w:spacing w:line="420" w:lineRule="exact"/>
              <w:rPr>
                <w:rFonts w:ascii="宋体" w:hAnsi="宋体" w:cs="宋体"/>
                <w:szCs w:val="21"/>
                <w:highlight w:val="none"/>
              </w:rPr>
            </w:pPr>
            <w:r>
              <w:rPr>
                <w:rFonts w:hint="eastAsia" w:ascii="宋体" w:hAnsi="宋体" w:cs="宋体"/>
                <w:szCs w:val="21"/>
                <w:highlight w:val="none"/>
              </w:rPr>
              <w:t>投标人以往制作的课程获得过国家级线上一流课程（含国家精品在线开放课程）的，每提供1个得1分，本项最多得7分。（须提供合同复印件及相应教育部官网文件作为证明材料，所提供的合同可以不牵涉到金额等相关商业机密信息，但必须提供合同双方签署页及合同签署双方的完整信息）</w:t>
            </w:r>
          </w:p>
        </w:tc>
        <w:tc>
          <w:tcPr>
            <w:tcW w:w="674"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59" w:type="dxa"/>
            <w:vMerge w:val="continue"/>
            <w:vAlign w:val="center"/>
          </w:tcPr>
          <w:p>
            <w:pPr>
              <w:spacing w:line="420" w:lineRule="exact"/>
              <w:jc w:val="center"/>
              <w:rPr>
                <w:rFonts w:ascii="宋体" w:hAnsi="宋体" w:cs="宋体"/>
                <w:szCs w:val="21"/>
                <w:highlight w:val="none"/>
              </w:rPr>
            </w:pPr>
          </w:p>
        </w:tc>
        <w:tc>
          <w:tcPr>
            <w:tcW w:w="1065" w:type="dxa"/>
            <w:vMerge w:val="continue"/>
            <w:vAlign w:val="center"/>
          </w:tcPr>
          <w:p>
            <w:pPr>
              <w:pStyle w:val="4"/>
              <w:jc w:val="center"/>
              <w:rPr>
                <w:rFonts w:ascii="宋体" w:hAnsi="宋体" w:cs="宋体"/>
                <w:highlight w:val="none"/>
              </w:rPr>
            </w:pPr>
          </w:p>
        </w:tc>
        <w:tc>
          <w:tcPr>
            <w:tcW w:w="1111" w:type="dxa"/>
            <w:vAlign w:val="center"/>
          </w:tcPr>
          <w:p>
            <w:pPr>
              <w:pStyle w:val="4"/>
              <w:ind w:firstLine="0"/>
              <w:jc w:val="center"/>
              <w:rPr>
                <w:rFonts w:ascii="宋体" w:hAnsi="宋体" w:cs="宋体"/>
                <w:highlight w:val="none"/>
              </w:rPr>
            </w:pPr>
            <w:r>
              <w:rPr>
                <w:rFonts w:hint="eastAsia" w:ascii="宋体" w:hAnsi="宋体" w:cs="宋体"/>
                <w:highlight w:val="none"/>
              </w:rPr>
              <w:t>2.2</w:t>
            </w:r>
          </w:p>
          <w:p>
            <w:pPr>
              <w:pStyle w:val="4"/>
              <w:ind w:firstLine="0"/>
              <w:jc w:val="center"/>
              <w:rPr>
                <w:rFonts w:ascii="宋体" w:hAnsi="宋体" w:cs="宋体"/>
                <w:highlight w:val="none"/>
              </w:rPr>
            </w:pPr>
            <w:r>
              <w:rPr>
                <w:rFonts w:hint="eastAsia" w:ascii="宋体" w:hAnsi="宋体" w:cs="宋体"/>
                <w:highlight w:val="none"/>
              </w:rPr>
              <w:t>企业</w:t>
            </w:r>
          </w:p>
          <w:p>
            <w:pPr>
              <w:pStyle w:val="4"/>
              <w:ind w:firstLine="0"/>
              <w:jc w:val="center"/>
              <w:rPr>
                <w:rFonts w:ascii="宋体" w:hAnsi="宋体" w:cs="宋体"/>
                <w:highlight w:val="none"/>
              </w:rPr>
            </w:pPr>
            <w:r>
              <w:rPr>
                <w:rFonts w:hint="eastAsia" w:ascii="宋体" w:hAnsi="宋体" w:cs="宋体"/>
                <w:highlight w:val="none"/>
              </w:rPr>
              <w:t>资质</w:t>
            </w:r>
          </w:p>
        </w:tc>
        <w:tc>
          <w:tcPr>
            <w:tcW w:w="5685" w:type="dxa"/>
            <w:vAlign w:val="center"/>
          </w:tcPr>
          <w:p>
            <w:pPr>
              <w:numPr>
                <w:ilvl w:val="0"/>
                <w:numId w:val="3"/>
              </w:numPr>
              <w:spacing w:line="420" w:lineRule="exact"/>
              <w:rPr>
                <w:rFonts w:ascii="宋体" w:hAnsi="宋体" w:cs="宋体"/>
                <w:szCs w:val="21"/>
                <w:highlight w:val="none"/>
              </w:rPr>
            </w:pPr>
            <w:r>
              <w:rPr>
                <w:rFonts w:hint="eastAsia" w:ascii="宋体" w:hAnsi="宋体" w:cs="宋体"/>
                <w:szCs w:val="21"/>
                <w:highlight w:val="none"/>
              </w:rPr>
              <w:t>投标人企业的经营范围涵盖多媒体制作、广播电视节目制作经营，得2分，缺少任何一项均不得分（原件复印件加盖公章，原件中标后备查，复印件不加盖公章不得分。）</w:t>
            </w:r>
          </w:p>
          <w:p>
            <w:pPr>
              <w:numPr>
                <w:ilvl w:val="0"/>
                <w:numId w:val="3"/>
              </w:numPr>
              <w:spacing w:line="420" w:lineRule="exact"/>
              <w:rPr>
                <w:rFonts w:ascii="宋体" w:hAnsi="宋体" w:cs="宋体"/>
                <w:szCs w:val="21"/>
                <w:highlight w:val="none"/>
              </w:rPr>
            </w:pPr>
            <w:r>
              <w:rPr>
                <w:rFonts w:hint="eastAsia" w:ascii="宋体" w:hAnsi="宋体" w:cs="宋体"/>
                <w:szCs w:val="21"/>
                <w:highlight w:val="none"/>
              </w:rPr>
              <w:t>具有ISO27001 信息安全管理体系认证（包含教学视频制作服务）得2分</w:t>
            </w:r>
          </w:p>
          <w:p>
            <w:pPr>
              <w:numPr>
                <w:ilvl w:val="0"/>
                <w:numId w:val="3"/>
              </w:numPr>
              <w:spacing w:line="420" w:lineRule="exact"/>
              <w:rPr>
                <w:rFonts w:ascii="宋体" w:hAnsi="宋体" w:cs="宋体"/>
                <w:szCs w:val="21"/>
                <w:highlight w:val="none"/>
              </w:rPr>
            </w:pPr>
            <w:r>
              <w:rPr>
                <w:rFonts w:hint="eastAsia" w:ascii="宋体" w:hAnsi="宋体" w:cs="宋体"/>
                <w:szCs w:val="21"/>
                <w:highlight w:val="none"/>
              </w:rPr>
              <w:t>具有ISO9001质量管理体系认证（包含视频制作）得3分。</w:t>
            </w:r>
          </w:p>
          <w:p>
            <w:pPr>
              <w:numPr>
                <w:ilvl w:val="0"/>
                <w:numId w:val="3"/>
              </w:numPr>
              <w:spacing w:line="420" w:lineRule="exact"/>
              <w:rPr>
                <w:rFonts w:ascii="宋体" w:hAnsi="宋体" w:cs="宋体"/>
                <w:szCs w:val="21"/>
                <w:highlight w:val="none"/>
              </w:rPr>
            </w:pPr>
            <w:r>
              <w:rPr>
                <w:rFonts w:hint="eastAsia" w:ascii="宋体" w:hAnsi="宋体" w:cs="宋体"/>
                <w:szCs w:val="21"/>
                <w:highlight w:val="none"/>
              </w:rPr>
              <w:t>投标人具有广播电视节目制作经营许可证，得2分。</w:t>
            </w:r>
          </w:p>
          <w:p>
            <w:pPr>
              <w:spacing w:line="420" w:lineRule="exact"/>
              <w:rPr>
                <w:rFonts w:ascii="宋体" w:hAnsi="宋体" w:cs="宋体"/>
                <w:szCs w:val="21"/>
                <w:highlight w:val="none"/>
              </w:rPr>
            </w:pPr>
            <w:r>
              <w:rPr>
                <w:rFonts w:hint="eastAsia" w:ascii="宋体" w:hAnsi="宋体" w:cs="宋体"/>
                <w:szCs w:val="21"/>
                <w:highlight w:val="none"/>
              </w:rPr>
              <w:t>（以上要求涉及证书的须提供证书复印件并加盖公章，原件备查，不加盖公章不得分）</w:t>
            </w:r>
          </w:p>
        </w:tc>
        <w:tc>
          <w:tcPr>
            <w:tcW w:w="674"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59" w:type="dxa"/>
            <w:vMerge w:val="continue"/>
            <w:vAlign w:val="center"/>
          </w:tcPr>
          <w:p>
            <w:pPr>
              <w:spacing w:line="420" w:lineRule="exact"/>
              <w:jc w:val="center"/>
              <w:rPr>
                <w:rFonts w:ascii="宋体" w:hAnsi="宋体" w:cs="宋体"/>
                <w:szCs w:val="21"/>
                <w:highlight w:val="none"/>
              </w:rPr>
            </w:pPr>
          </w:p>
        </w:tc>
        <w:tc>
          <w:tcPr>
            <w:tcW w:w="1065" w:type="dxa"/>
            <w:vMerge w:val="continue"/>
            <w:vAlign w:val="center"/>
          </w:tcPr>
          <w:p>
            <w:pPr>
              <w:pStyle w:val="4"/>
              <w:jc w:val="center"/>
              <w:rPr>
                <w:rFonts w:ascii="宋体" w:hAnsi="宋体" w:cs="宋体"/>
                <w:highlight w:val="none"/>
              </w:rPr>
            </w:pPr>
          </w:p>
        </w:tc>
        <w:tc>
          <w:tcPr>
            <w:tcW w:w="1111"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2.3</w:t>
            </w:r>
          </w:p>
          <w:p>
            <w:pPr>
              <w:spacing w:line="420" w:lineRule="exact"/>
              <w:jc w:val="center"/>
              <w:rPr>
                <w:rFonts w:ascii="宋体" w:hAnsi="宋体" w:cs="宋体"/>
                <w:szCs w:val="21"/>
                <w:highlight w:val="none"/>
              </w:rPr>
            </w:pPr>
            <w:r>
              <w:rPr>
                <w:rFonts w:hint="eastAsia" w:ascii="宋体" w:hAnsi="宋体" w:cs="宋体"/>
                <w:szCs w:val="21"/>
                <w:highlight w:val="none"/>
              </w:rPr>
              <w:t>人员</w:t>
            </w:r>
          </w:p>
          <w:p>
            <w:pPr>
              <w:spacing w:line="420" w:lineRule="exact"/>
              <w:jc w:val="center"/>
              <w:rPr>
                <w:rFonts w:ascii="宋体" w:hAnsi="宋体" w:cs="宋体"/>
                <w:kern w:val="0"/>
                <w:szCs w:val="21"/>
                <w:highlight w:val="none"/>
              </w:rPr>
            </w:pPr>
            <w:r>
              <w:rPr>
                <w:rFonts w:hint="eastAsia" w:ascii="宋体" w:hAnsi="宋体" w:cs="宋体"/>
                <w:szCs w:val="21"/>
                <w:highlight w:val="none"/>
              </w:rPr>
              <w:t>配备</w:t>
            </w:r>
          </w:p>
        </w:tc>
        <w:tc>
          <w:tcPr>
            <w:tcW w:w="5685" w:type="dxa"/>
            <w:vAlign w:val="center"/>
          </w:tcPr>
          <w:p>
            <w:pPr>
              <w:spacing w:line="420" w:lineRule="exact"/>
              <w:rPr>
                <w:rFonts w:ascii="宋体" w:hAnsi="宋体" w:cs="宋体"/>
                <w:szCs w:val="21"/>
                <w:highlight w:val="none"/>
              </w:rPr>
            </w:pPr>
            <w:r>
              <w:rPr>
                <w:rFonts w:hint="eastAsia" w:ascii="宋体" w:hAnsi="宋体" w:cs="宋体"/>
                <w:szCs w:val="21"/>
                <w:highlight w:val="none"/>
              </w:rPr>
              <w:t>要求投入本项目组人数不低于9人，其中项目负责人1人、课程编导1人、摄像2人、化妆师1人，后期制作人员4人。</w:t>
            </w:r>
          </w:p>
          <w:p>
            <w:pPr>
              <w:numPr>
                <w:ilvl w:val="0"/>
                <w:numId w:val="4"/>
              </w:numPr>
              <w:spacing w:line="420" w:lineRule="exact"/>
              <w:rPr>
                <w:rFonts w:ascii="宋体" w:hAnsi="宋体" w:cs="宋体"/>
                <w:highlight w:val="none"/>
              </w:rPr>
            </w:pPr>
            <w:r>
              <w:rPr>
                <w:rFonts w:hint="eastAsia" w:ascii="宋体" w:hAnsi="宋体" w:cs="宋体"/>
                <w:highlight w:val="none"/>
              </w:rPr>
              <w:t>项目负责人具有广播电视相关专业本科级以上学历得1分；</w:t>
            </w:r>
          </w:p>
          <w:p>
            <w:pPr>
              <w:numPr>
                <w:ilvl w:val="0"/>
                <w:numId w:val="4"/>
              </w:numPr>
              <w:spacing w:line="420" w:lineRule="exact"/>
              <w:rPr>
                <w:rFonts w:ascii="宋体" w:hAnsi="宋体" w:cs="宋体"/>
                <w:szCs w:val="21"/>
                <w:highlight w:val="none"/>
              </w:rPr>
            </w:pPr>
            <w:r>
              <w:rPr>
                <w:rFonts w:hint="eastAsia" w:ascii="宋体" w:hAnsi="宋体" w:cs="宋体"/>
                <w:highlight w:val="none"/>
              </w:rPr>
              <w:t>课程编导具有广播电视编导专业本科及以上学历得1分；</w:t>
            </w:r>
          </w:p>
          <w:p>
            <w:pPr>
              <w:numPr>
                <w:ilvl w:val="0"/>
                <w:numId w:val="4"/>
              </w:numPr>
              <w:spacing w:line="420" w:lineRule="exact"/>
              <w:rPr>
                <w:rFonts w:ascii="宋体" w:hAnsi="宋体" w:cs="宋体"/>
                <w:szCs w:val="21"/>
                <w:highlight w:val="none"/>
              </w:rPr>
            </w:pPr>
            <w:r>
              <w:rPr>
                <w:rFonts w:hint="eastAsia" w:ascii="宋体" w:hAnsi="宋体" w:cs="宋体"/>
                <w:highlight w:val="none"/>
              </w:rPr>
              <w:t>拍摄人员具有本科及以上学历且具有中级及以上职称得1分；</w:t>
            </w:r>
          </w:p>
          <w:p>
            <w:pPr>
              <w:numPr>
                <w:ilvl w:val="0"/>
                <w:numId w:val="4"/>
              </w:numPr>
              <w:spacing w:line="420" w:lineRule="exact"/>
              <w:rPr>
                <w:rFonts w:ascii="宋体" w:hAnsi="宋体" w:cs="宋体"/>
                <w:szCs w:val="21"/>
                <w:highlight w:val="none"/>
              </w:rPr>
            </w:pPr>
            <w:r>
              <w:rPr>
                <w:rFonts w:hint="eastAsia" w:ascii="宋体" w:hAnsi="宋体" w:cs="宋体"/>
                <w:highlight w:val="none"/>
              </w:rPr>
              <w:t>后期制作人员为动画设计或影视多媒体等相关专业得2分。</w:t>
            </w:r>
          </w:p>
          <w:p>
            <w:pPr>
              <w:spacing w:line="420" w:lineRule="exact"/>
              <w:rPr>
                <w:rFonts w:ascii="宋体" w:hAnsi="宋体" w:cs="宋体"/>
                <w:szCs w:val="21"/>
                <w:highlight w:val="none"/>
              </w:rPr>
            </w:pPr>
            <w:r>
              <w:rPr>
                <w:rFonts w:hint="eastAsia" w:ascii="宋体" w:hAnsi="宋体" w:cs="宋体"/>
                <w:szCs w:val="21"/>
                <w:highlight w:val="none"/>
              </w:rPr>
              <w:t>（提供相关学历职称等证明文件复印件加盖公章，项目组服务人员均需提供近三个月的社保证明，不提供不得分。）</w:t>
            </w:r>
          </w:p>
        </w:tc>
        <w:tc>
          <w:tcPr>
            <w:tcW w:w="674"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59"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3</w:t>
            </w:r>
          </w:p>
        </w:tc>
        <w:tc>
          <w:tcPr>
            <w:tcW w:w="1065" w:type="dxa"/>
            <w:vMerge w:val="restart"/>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服务方案及服务承诺</w:t>
            </w:r>
          </w:p>
        </w:tc>
        <w:tc>
          <w:tcPr>
            <w:tcW w:w="1111"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3.1</w:t>
            </w:r>
          </w:p>
          <w:p>
            <w:pPr>
              <w:spacing w:line="420" w:lineRule="exact"/>
              <w:jc w:val="center"/>
              <w:rPr>
                <w:rFonts w:ascii="宋体" w:hAnsi="宋体" w:cs="宋体"/>
                <w:szCs w:val="21"/>
                <w:highlight w:val="none"/>
              </w:rPr>
            </w:pPr>
            <w:r>
              <w:rPr>
                <w:rFonts w:hint="eastAsia" w:ascii="宋体" w:hAnsi="宋体" w:cs="宋体"/>
                <w:szCs w:val="21"/>
                <w:highlight w:val="none"/>
              </w:rPr>
              <w:t>服务</w:t>
            </w:r>
          </w:p>
          <w:p>
            <w:pPr>
              <w:spacing w:line="420" w:lineRule="exact"/>
              <w:jc w:val="center"/>
              <w:rPr>
                <w:rFonts w:ascii="宋体" w:hAnsi="宋体" w:cs="宋体"/>
                <w:szCs w:val="21"/>
                <w:highlight w:val="none"/>
              </w:rPr>
            </w:pPr>
            <w:r>
              <w:rPr>
                <w:rFonts w:hint="eastAsia" w:ascii="宋体" w:hAnsi="宋体" w:cs="宋体"/>
                <w:szCs w:val="21"/>
                <w:highlight w:val="none"/>
              </w:rPr>
              <w:t>方案</w:t>
            </w:r>
          </w:p>
          <w:p>
            <w:pPr>
              <w:spacing w:line="420" w:lineRule="exact"/>
              <w:jc w:val="center"/>
              <w:rPr>
                <w:rFonts w:ascii="宋体" w:hAnsi="宋体" w:cs="宋体"/>
                <w:highlight w:val="none"/>
              </w:rPr>
            </w:pPr>
          </w:p>
        </w:tc>
        <w:tc>
          <w:tcPr>
            <w:tcW w:w="5685" w:type="dxa"/>
            <w:vAlign w:val="center"/>
          </w:tcPr>
          <w:p>
            <w:pPr>
              <w:spacing w:line="420" w:lineRule="exact"/>
              <w:rPr>
                <w:rFonts w:ascii="宋体" w:hAnsi="宋体" w:cs="宋体"/>
                <w:szCs w:val="21"/>
                <w:highlight w:val="none"/>
              </w:rPr>
            </w:pPr>
            <w:r>
              <w:rPr>
                <w:rFonts w:hint="eastAsia" w:ascii="宋体" w:hAnsi="宋体" w:cs="宋体"/>
                <w:szCs w:val="21"/>
                <w:highlight w:val="none"/>
              </w:rPr>
              <w:t>1.课程制作方案（15分）</w:t>
            </w:r>
          </w:p>
          <w:p>
            <w:pPr>
              <w:spacing w:line="420" w:lineRule="exact"/>
              <w:rPr>
                <w:rFonts w:ascii="宋体" w:hAnsi="宋体" w:cs="宋体"/>
                <w:szCs w:val="21"/>
                <w:highlight w:val="none"/>
              </w:rPr>
            </w:pPr>
            <w:r>
              <w:rPr>
                <w:rFonts w:hint="eastAsia" w:ascii="宋体" w:hAnsi="宋体" w:cs="宋体"/>
                <w:szCs w:val="21"/>
                <w:highlight w:val="none"/>
              </w:rPr>
              <w:t>根据投标人提供的针对所投包件内的所含课程各个课程的制作方案，课程拍摄工作的重点分析，服务方案是否针对所投包件，是否满足项目需求等的完整性、科学性、可行性及连续性等进行综合评审。</w:t>
            </w:r>
          </w:p>
          <w:p>
            <w:pPr>
              <w:spacing w:line="420" w:lineRule="exact"/>
              <w:rPr>
                <w:rFonts w:ascii="宋体" w:hAnsi="宋体" w:cs="宋体"/>
                <w:szCs w:val="21"/>
                <w:highlight w:val="none"/>
              </w:rPr>
            </w:pPr>
            <w:r>
              <w:rPr>
                <w:rFonts w:hint="eastAsia" w:ascii="宋体" w:hAnsi="宋体" w:cs="宋体"/>
                <w:szCs w:val="21"/>
                <w:highlight w:val="none"/>
              </w:rPr>
              <w:t>针对所投包件内的所含课程各个课程的制作方案架构清晰，合理可行，完全满足采购要求的得15分；</w:t>
            </w:r>
          </w:p>
          <w:p>
            <w:pPr>
              <w:spacing w:line="420" w:lineRule="exact"/>
              <w:rPr>
                <w:rFonts w:ascii="宋体" w:hAnsi="宋体" w:cs="宋体"/>
                <w:szCs w:val="21"/>
                <w:highlight w:val="none"/>
              </w:rPr>
            </w:pPr>
            <w:r>
              <w:rPr>
                <w:rFonts w:hint="eastAsia" w:ascii="宋体" w:hAnsi="宋体" w:cs="宋体"/>
                <w:szCs w:val="21"/>
                <w:highlight w:val="none"/>
              </w:rPr>
              <w:t>针对所投包件内的所含课程各个课程的制作方案架构较为合理，可以根据方案实施，能够满足采购要求的得12分；</w:t>
            </w:r>
          </w:p>
          <w:p>
            <w:pPr>
              <w:spacing w:line="420" w:lineRule="exact"/>
              <w:rPr>
                <w:rFonts w:ascii="宋体" w:hAnsi="宋体" w:cs="宋体"/>
                <w:szCs w:val="21"/>
                <w:highlight w:val="none"/>
              </w:rPr>
            </w:pPr>
            <w:r>
              <w:rPr>
                <w:rFonts w:hint="eastAsia" w:ascii="宋体" w:hAnsi="宋体" w:cs="宋体"/>
                <w:szCs w:val="21"/>
                <w:highlight w:val="none"/>
              </w:rPr>
              <w:t>针对所投包件内的所含课程各个课程的制作方案架构一般，基本能够满足采购要求的得9分；</w:t>
            </w:r>
          </w:p>
          <w:p>
            <w:pPr>
              <w:spacing w:line="420" w:lineRule="exact"/>
              <w:rPr>
                <w:rFonts w:ascii="宋体" w:hAnsi="宋体" w:cs="宋体"/>
                <w:szCs w:val="21"/>
                <w:highlight w:val="none"/>
              </w:rPr>
            </w:pPr>
            <w:r>
              <w:rPr>
                <w:rFonts w:hint="eastAsia" w:ascii="宋体" w:hAnsi="宋体" w:cs="宋体"/>
                <w:szCs w:val="21"/>
                <w:highlight w:val="none"/>
              </w:rPr>
              <w:t>针对所投包件内的所含课程各个课程的制作方案有瑕疵，可行性欠缺，勉强满足采购要求的得6分；</w:t>
            </w:r>
          </w:p>
          <w:p>
            <w:pPr>
              <w:spacing w:line="420" w:lineRule="exact"/>
              <w:rPr>
                <w:rFonts w:ascii="宋体" w:hAnsi="宋体" w:cs="宋体"/>
                <w:szCs w:val="21"/>
                <w:highlight w:val="none"/>
              </w:rPr>
            </w:pPr>
            <w:r>
              <w:rPr>
                <w:rFonts w:hint="eastAsia" w:ascii="宋体" w:hAnsi="宋体" w:cs="宋体"/>
                <w:szCs w:val="21"/>
                <w:highlight w:val="none"/>
              </w:rPr>
              <w:t>针对所投包件内的所含课程各个课程的制作方案粗糙，难以按方案实施，难以满足采购要求的得3分；</w:t>
            </w:r>
          </w:p>
          <w:p>
            <w:pPr>
              <w:spacing w:line="420" w:lineRule="exact"/>
              <w:rPr>
                <w:rFonts w:ascii="宋体" w:hAnsi="宋体" w:cs="宋体"/>
                <w:szCs w:val="21"/>
                <w:highlight w:val="none"/>
              </w:rPr>
            </w:pPr>
            <w:r>
              <w:rPr>
                <w:rFonts w:hint="eastAsia" w:ascii="宋体" w:hAnsi="宋体" w:cs="宋体"/>
                <w:szCs w:val="21"/>
                <w:highlight w:val="none"/>
              </w:rPr>
              <w:t>未提供全部课程制作方案的，本项不得分。</w:t>
            </w:r>
          </w:p>
          <w:p>
            <w:pPr>
              <w:spacing w:line="420" w:lineRule="exact"/>
              <w:rPr>
                <w:rFonts w:ascii="宋体" w:hAnsi="宋体" w:cs="宋体"/>
                <w:szCs w:val="21"/>
                <w:highlight w:val="none"/>
              </w:rPr>
            </w:pPr>
            <w:r>
              <w:rPr>
                <w:rFonts w:hint="eastAsia" w:ascii="宋体" w:hAnsi="宋体" w:cs="宋体"/>
                <w:szCs w:val="21"/>
                <w:highlight w:val="none"/>
              </w:rPr>
              <w:t>2.实施方案（9分）</w:t>
            </w:r>
          </w:p>
          <w:p>
            <w:pPr>
              <w:spacing w:line="420" w:lineRule="exact"/>
              <w:rPr>
                <w:rFonts w:ascii="宋体" w:hAnsi="宋体" w:cs="宋体"/>
                <w:szCs w:val="21"/>
                <w:highlight w:val="none"/>
              </w:rPr>
            </w:pPr>
            <w:r>
              <w:rPr>
                <w:rFonts w:hint="eastAsia" w:ascii="宋体" w:hAnsi="宋体" w:cs="宋体"/>
                <w:szCs w:val="21"/>
                <w:highlight w:val="none"/>
              </w:rPr>
              <w:t>各投标人针对本项目各阶段工作质量、时间的承诺，质量保证措施、内部管理方式等拟定实施方案，评委根据进度及质量承诺及质量保证措施的完整性、科学性、可行性及连续性等进行综合评审（含所有课程）。</w:t>
            </w:r>
          </w:p>
          <w:p>
            <w:pPr>
              <w:spacing w:line="420" w:lineRule="exact"/>
              <w:rPr>
                <w:rFonts w:ascii="宋体" w:hAnsi="宋体" w:cs="宋体"/>
                <w:szCs w:val="21"/>
                <w:highlight w:val="none"/>
              </w:rPr>
            </w:pPr>
            <w:r>
              <w:rPr>
                <w:rFonts w:hint="eastAsia" w:ascii="宋体" w:hAnsi="宋体" w:cs="宋体"/>
                <w:szCs w:val="21"/>
                <w:highlight w:val="none"/>
              </w:rPr>
              <w:t>进度及质量承诺及质量保证措施完整具体、科学合理、可行性强，优于采购人服务要求的得9分；</w:t>
            </w:r>
          </w:p>
          <w:p>
            <w:pPr>
              <w:spacing w:line="420" w:lineRule="exact"/>
              <w:rPr>
                <w:rFonts w:ascii="宋体" w:hAnsi="宋体" w:cs="宋体"/>
                <w:szCs w:val="21"/>
                <w:highlight w:val="none"/>
              </w:rPr>
            </w:pPr>
            <w:r>
              <w:rPr>
                <w:rFonts w:hint="eastAsia" w:ascii="宋体" w:hAnsi="宋体" w:cs="宋体"/>
                <w:szCs w:val="21"/>
                <w:highlight w:val="none"/>
              </w:rPr>
              <w:t>进度及质量承诺及质量保证措施较完整具体、科学合理、可行性较强，完全满足采购人服务要求的得6分；</w:t>
            </w:r>
          </w:p>
          <w:p>
            <w:pPr>
              <w:spacing w:line="420" w:lineRule="exact"/>
              <w:rPr>
                <w:rFonts w:ascii="宋体" w:hAnsi="宋体" w:cs="宋体"/>
                <w:szCs w:val="21"/>
                <w:highlight w:val="none"/>
              </w:rPr>
            </w:pPr>
            <w:r>
              <w:rPr>
                <w:rFonts w:hint="eastAsia" w:ascii="宋体" w:hAnsi="宋体" w:cs="宋体"/>
                <w:szCs w:val="21"/>
                <w:highlight w:val="none"/>
              </w:rPr>
              <w:t>进度及质量承诺及质量保证措施的完整性、科学合理性、可行性有不足但基本满足采购人服务要求的得3分；</w:t>
            </w:r>
          </w:p>
          <w:p>
            <w:pPr>
              <w:spacing w:line="420" w:lineRule="exact"/>
              <w:rPr>
                <w:rFonts w:ascii="宋体" w:hAnsi="宋体" w:cs="宋体"/>
                <w:szCs w:val="21"/>
                <w:highlight w:val="none"/>
              </w:rPr>
            </w:pPr>
            <w:r>
              <w:rPr>
                <w:rFonts w:hint="eastAsia" w:ascii="宋体" w:hAnsi="宋体" w:cs="宋体"/>
                <w:szCs w:val="21"/>
                <w:highlight w:val="none"/>
              </w:rPr>
              <w:t>进度及质量承诺及质量保证措施的完整性、科学合理性及可行性均明显不足的得1分。未提供方案本项不得分。</w:t>
            </w:r>
          </w:p>
          <w:p>
            <w:pPr>
              <w:spacing w:line="420" w:lineRule="exact"/>
              <w:rPr>
                <w:rFonts w:ascii="宋体" w:hAnsi="宋体" w:cs="宋体"/>
                <w:szCs w:val="21"/>
                <w:highlight w:val="none"/>
              </w:rPr>
            </w:pPr>
            <w:r>
              <w:rPr>
                <w:rFonts w:hint="eastAsia" w:ascii="宋体" w:hAnsi="宋体" w:cs="宋体"/>
                <w:szCs w:val="21"/>
                <w:highlight w:val="none"/>
              </w:rPr>
              <w:t>3.推广及运行方案（6分）</w:t>
            </w:r>
          </w:p>
          <w:p>
            <w:pPr>
              <w:spacing w:line="420" w:lineRule="exact"/>
              <w:rPr>
                <w:rFonts w:ascii="宋体" w:hAnsi="宋体" w:cs="宋体"/>
                <w:szCs w:val="21"/>
                <w:highlight w:val="none"/>
              </w:rPr>
            </w:pPr>
            <w:r>
              <w:rPr>
                <w:rFonts w:hint="eastAsia" w:ascii="宋体" w:hAnsi="宋体" w:cs="宋体"/>
                <w:szCs w:val="21"/>
                <w:highlight w:val="none"/>
              </w:rPr>
              <w:t>各投标人提供为学校所制作课程的后续推广及运行服务方案，由评委根据方案的科学合理性、针对性进行评审。</w:t>
            </w:r>
          </w:p>
          <w:p>
            <w:pPr>
              <w:spacing w:line="420" w:lineRule="exact"/>
              <w:rPr>
                <w:rFonts w:ascii="宋体" w:hAnsi="宋体" w:cs="宋体"/>
                <w:szCs w:val="21"/>
                <w:highlight w:val="none"/>
              </w:rPr>
            </w:pPr>
            <w:r>
              <w:rPr>
                <w:rFonts w:hint="eastAsia" w:ascii="宋体" w:hAnsi="宋体" w:cs="宋体"/>
                <w:szCs w:val="21"/>
                <w:highlight w:val="none"/>
              </w:rPr>
              <w:t>方案架构清晰，合理可行，完全满足采购要求的得6分；</w:t>
            </w:r>
          </w:p>
          <w:p>
            <w:pPr>
              <w:spacing w:line="420" w:lineRule="exact"/>
              <w:rPr>
                <w:rFonts w:ascii="宋体" w:hAnsi="宋体" w:cs="宋体"/>
                <w:szCs w:val="21"/>
                <w:highlight w:val="none"/>
              </w:rPr>
            </w:pPr>
            <w:r>
              <w:rPr>
                <w:rFonts w:hint="eastAsia" w:ascii="宋体" w:hAnsi="宋体" w:cs="宋体"/>
                <w:szCs w:val="21"/>
                <w:highlight w:val="none"/>
              </w:rPr>
              <w:t>方案略有瑕疵，可行性欠缺，基本满足采购要求的得3分；方案粗糙，难以实施，无法满足采购要求的得1分；</w:t>
            </w:r>
          </w:p>
          <w:p>
            <w:pPr>
              <w:spacing w:line="420" w:lineRule="exact"/>
              <w:rPr>
                <w:rFonts w:ascii="宋体" w:hAnsi="宋体" w:cs="宋体"/>
                <w:highlight w:val="none"/>
              </w:rPr>
            </w:pPr>
            <w:r>
              <w:rPr>
                <w:rFonts w:hint="eastAsia" w:ascii="宋体" w:hAnsi="宋体" w:cs="宋体"/>
                <w:szCs w:val="21"/>
                <w:highlight w:val="none"/>
              </w:rPr>
              <w:t>未提供推广及运行方案的本项不得分。</w:t>
            </w:r>
          </w:p>
        </w:tc>
        <w:tc>
          <w:tcPr>
            <w:tcW w:w="674"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59" w:type="dxa"/>
            <w:vAlign w:val="center"/>
          </w:tcPr>
          <w:p>
            <w:pPr>
              <w:spacing w:line="420" w:lineRule="exact"/>
              <w:jc w:val="center"/>
              <w:rPr>
                <w:rFonts w:ascii="宋体" w:hAnsi="宋体" w:cs="宋体"/>
                <w:szCs w:val="21"/>
                <w:highlight w:val="none"/>
              </w:rPr>
            </w:pPr>
          </w:p>
        </w:tc>
        <w:tc>
          <w:tcPr>
            <w:tcW w:w="1065" w:type="dxa"/>
            <w:vMerge w:val="continue"/>
            <w:vAlign w:val="center"/>
          </w:tcPr>
          <w:p>
            <w:pPr>
              <w:pStyle w:val="4"/>
              <w:jc w:val="center"/>
              <w:rPr>
                <w:rFonts w:ascii="宋体" w:hAnsi="宋体" w:cs="宋体"/>
                <w:highlight w:val="none"/>
              </w:rPr>
            </w:pPr>
          </w:p>
        </w:tc>
        <w:tc>
          <w:tcPr>
            <w:tcW w:w="1111" w:type="dxa"/>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3.2</w:t>
            </w:r>
          </w:p>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服务</w:t>
            </w:r>
          </w:p>
          <w:p>
            <w:pPr>
              <w:spacing w:line="420" w:lineRule="exact"/>
              <w:jc w:val="center"/>
              <w:rPr>
                <w:rFonts w:ascii="宋体" w:hAnsi="宋体" w:cs="宋体"/>
                <w:kern w:val="0"/>
                <w:szCs w:val="21"/>
                <w:highlight w:val="none"/>
              </w:rPr>
            </w:pPr>
            <w:r>
              <w:rPr>
                <w:rFonts w:hint="eastAsia" w:ascii="宋体" w:hAnsi="宋体" w:cs="宋体"/>
                <w:color w:val="000000"/>
                <w:szCs w:val="21"/>
                <w:highlight w:val="none"/>
              </w:rPr>
              <w:t>承诺</w:t>
            </w:r>
          </w:p>
        </w:tc>
        <w:tc>
          <w:tcPr>
            <w:tcW w:w="5685" w:type="dxa"/>
            <w:vAlign w:val="center"/>
          </w:tcPr>
          <w:p>
            <w:pPr>
              <w:spacing w:line="420" w:lineRule="exact"/>
              <w:rPr>
                <w:rFonts w:ascii="宋体" w:hAnsi="宋体" w:cs="宋体"/>
                <w:szCs w:val="21"/>
                <w:highlight w:val="none"/>
              </w:rPr>
            </w:pPr>
            <w:r>
              <w:rPr>
                <w:rFonts w:hint="eastAsia" w:ascii="宋体" w:hAnsi="宋体" w:cs="宋体"/>
                <w:szCs w:val="21"/>
                <w:highlight w:val="none"/>
              </w:rPr>
              <w:t>2.投标人承诺提供全程驻场服务，并承诺不随意更换项目负责人及驻场人员的得1分。（需提供拟项目负责人及驻场人员名单）</w:t>
            </w:r>
          </w:p>
          <w:p>
            <w:pPr>
              <w:spacing w:line="420" w:lineRule="exact"/>
              <w:rPr>
                <w:rFonts w:ascii="宋体" w:hAnsi="宋体" w:cs="宋体"/>
                <w:szCs w:val="21"/>
                <w:highlight w:val="none"/>
              </w:rPr>
            </w:pPr>
            <w:r>
              <w:rPr>
                <w:rFonts w:hint="eastAsia" w:ascii="宋体" w:hAnsi="宋体" w:cs="宋体"/>
                <w:szCs w:val="21"/>
                <w:highlight w:val="none"/>
              </w:rPr>
              <w:t>以上服务承诺投标人须提供相应的服务承诺书，加盖投标人公章，不提供不得分。</w:t>
            </w:r>
          </w:p>
        </w:tc>
        <w:tc>
          <w:tcPr>
            <w:tcW w:w="674"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59"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4</w:t>
            </w:r>
          </w:p>
        </w:tc>
        <w:tc>
          <w:tcPr>
            <w:tcW w:w="2176" w:type="dxa"/>
            <w:gridSpan w:val="2"/>
            <w:vAlign w:val="center"/>
          </w:tcPr>
          <w:p>
            <w:pPr>
              <w:pStyle w:val="4"/>
              <w:ind w:firstLine="0"/>
              <w:jc w:val="center"/>
              <w:rPr>
                <w:rFonts w:ascii="宋体" w:hAnsi="宋体" w:cs="宋体"/>
                <w:highlight w:val="none"/>
              </w:rPr>
            </w:pPr>
            <w:r>
              <w:rPr>
                <w:rFonts w:hint="eastAsia" w:ascii="宋体" w:hAnsi="宋体" w:cs="宋体"/>
                <w:highlight w:val="none"/>
              </w:rPr>
              <w:t>同类业绩</w:t>
            </w:r>
          </w:p>
        </w:tc>
        <w:tc>
          <w:tcPr>
            <w:tcW w:w="5685" w:type="dxa"/>
            <w:vAlign w:val="center"/>
          </w:tcPr>
          <w:p>
            <w:pPr>
              <w:spacing w:line="420" w:lineRule="exact"/>
              <w:rPr>
                <w:rFonts w:ascii="宋体" w:hAnsi="宋体" w:cs="宋体"/>
                <w:szCs w:val="21"/>
                <w:highlight w:val="none"/>
              </w:rPr>
            </w:pPr>
            <w:r>
              <w:rPr>
                <w:rFonts w:hint="eastAsia" w:ascii="宋体" w:hAnsi="宋体" w:cs="宋体"/>
                <w:szCs w:val="21"/>
                <w:highlight w:val="none"/>
              </w:rPr>
              <w:t>根据本次立项课程类别占比及我校专业特色，将此次项目课程分为理学类、工科类、文管类三个分类。投标人每提供一个自2017年6月1月（含）至今的开放课程制作业绩并与本项目课程清单类似业绩得1分，每个分类最多得4分，此项最多得12分，须提供合同复印件并加盖公章，所提供的合同可以不牵涉到金额等相关商业机密信息，但必须提供合同双方签署页及合同签署双方的完整信息，未提供的不得分（原件备查）。</w:t>
            </w:r>
          </w:p>
        </w:tc>
        <w:tc>
          <w:tcPr>
            <w:tcW w:w="674"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59"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5</w:t>
            </w:r>
          </w:p>
        </w:tc>
        <w:tc>
          <w:tcPr>
            <w:tcW w:w="2176" w:type="dxa"/>
            <w:gridSpan w:val="2"/>
            <w:vAlign w:val="center"/>
          </w:tcPr>
          <w:p>
            <w:pPr>
              <w:pStyle w:val="4"/>
              <w:jc w:val="center"/>
              <w:rPr>
                <w:rFonts w:ascii="宋体" w:hAnsi="宋体" w:cs="宋体"/>
                <w:highlight w:val="none"/>
              </w:rPr>
            </w:pPr>
            <w:r>
              <w:rPr>
                <w:rFonts w:hint="eastAsia" w:ascii="宋体" w:hAnsi="宋体" w:cs="宋体"/>
                <w:highlight w:val="none"/>
              </w:rPr>
              <w:t>演示</w:t>
            </w:r>
          </w:p>
          <w:p>
            <w:pPr>
              <w:pStyle w:val="4"/>
              <w:jc w:val="center"/>
              <w:rPr>
                <w:rFonts w:ascii="宋体" w:hAnsi="宋体" w:cs="宋体"/>
                <w:highlight w:val="none"/>
              </w:rPr>
            </w:pPr>
            <w:r>
              <w:rPr>
                <w:rFonts w:hint="eastAsia" w:ascii="宋体" w:hAnsi="宋体" w:cs="宋体"/>
                <w:highlight w:val="none"/>
              </w:rPr>
              <w:t>（U盘单独密封，随投标文件一起寄送，</w:t>
            </w:r>
            <w:r>
              <w:rPr>
                <w:rFonts w:hint="eastAsia" w:ascii="宋体" w:hAnsi="宋体" w:cs="宋体"/>
                <w:szCs w:val="21"/>
                <w:highlight w:val="none"/>
              </w:rPr>
              <w:t>演示时间不得超过8分钟，未提供演示为无效标</w:t>
            </w:r>
            <w:r>
              <w:rPr>
                <w:rFonts w:hint="eastAsia" w:ascii="宋体" w:hAnsi="宋体" w:cs="宋体"/>
                <w:highlight w:val="none"/>
              </w:rPr>
              <w:t>）</w:t>
            </w:r>
          </w:p>
          <w:p>
            <w:pPr>
              <w:pStyle w:val="4"/>
              <w:jc w:val="center"/>
              <w:rPr>
                <w:rFonts w:ascii="宋体" w:hAnsi="宋体" w:cs="宋体"/>
                <w:highlight w:val="none"/>
              </w:rPr>
            </w:pPr>
          </w:p>
        </w:tc>
        <w:tc>
          <w:tcPr>
            <w:tcW w:w="5685" w:type="dxa"/>
            <w:vAlign w:val="center"/>
          </w:tcPr>
          <w:p>
            <w:pPr>
              <w:pStyle w:val="5"/>
              <w:spacing w:line="420" w:lineRule="exact"/>
              <w:rPr>
                <w:rFonts w:ascii="宋体" w:hAnsi="宋体" w:cs="宋体"/>
                <w:sz w:val="21"/>
                <w:szCs w:val="21"/>
                <w:highlight w:val="none"/>
              </w:rPr>
            </w:pPr>
            <w:r>
              <w:rPr>
                <w:rFonts w:hint="eastAsia" w:ascii="宋体" w:hAnsi="宋体" w:cs="宋体"/>
                <w:sz w:val="21"/>
                <w:szCs w:val="21"/>
                <w:highlight w:val="none"/>
              </w:rPr>
              <w:t>投标单位需要提供演示视频（U盘寄送，未寄送演示视频视为无效投标）</w:t>
            </w:r>
          </w:p>
          <w:p>
            <w:pPr>
              <w:pStyle w:val="5"/>
              <w:spacing w:line="420" w:lineRule="exact"/>
              <w:rPr>
                <w:rFonts w:ascii="宋体" w:hAnsi="宋体" w:cs="宋体"/>
                <w:sz w:val="21"/>
                <w:szCs w:val="21"/>
                <w:highlight w:val="none"/>
              </w:rPr>
            </w:pPr>
            <w:r>
              <w:rPr>
                <w:rFonts w:hint="eastAsia" w:ascii="宋体" w:hAnsi="宋体" w:cs="宋体"/>
                <w:sz w:val="21"/>
                <w:szCs w:val="21"/>
                <w:highlight w:val="none"/>
              </w:rPr>
              <w:t>投标人须严格按照学校所招标课程类别（理学类、工科类、文管类）演示由投标人制作的英文课程视频，由评审专家根据课程视频制作页面布局、课程内容及效果综合打分，演示时间不得超过8分钟。</w:t>
            </w:r>
          </w:p>
          <w:p>
            <w:pPr>
              <w:pStyle w:val="5"/>
              <w:spacing w:line="420" w:lineRule="exact"/>
              <w:rPr>
                <w:rFonts w:ascii="宋体" w:hAnsi="宋体" w:cs="宋体"/>
                <w:sz w:val="21"/>
                <w:szCs w:val="21"/>
                <w:highlight w:val="none"/>
              </w:rPr>
            </w:pPr>
            <w:r>
              <w:rPr>
                <w:rFonts w:hint="eastAsia" w:ascii="宋体" w:hAnsi="宋体" w:cs="宋体"/>
                <w:sz w:val="21"/>
                <w:szCs w:val="21"/>
                <w:highlight w:val="none"/>
              </w:rPr>
              <w:t>页面布局精美、内容丰富且课程效果显著得9分；</w:t>
            </w:r>
          </w:p>
          <w:p>
            <w:pPr>
              <w:pStyle w:val="5"/>
              <w:spacing w:line="420" w:lineRule="exact"/>
              <w:rPr>
                <w:rFonts w:ascii="宋体" w:hAnsi="宋体" w:cs="宋体"/>
                <w:sz w:val="21"/>
                <w:szCs w:val="21"/>
                <w:highlight w:val="none"/>
              </w:rPr>
            </w:pPr>
            <w:r>
              <w:rPr>
                <w:rFonts w:hint="eastAsia" w:ascii="宋体" w:hAnsi="宋体" w:cs="宋体"/>
                <w:sz w:val="21"/>
                <w:szCs w:val="21"/>
                <w:highlight w:val="none"/>
              </w:rPr>
              <w:t>页面布局较精美、内容较丰富且课程效果良好得5分；</w:t>
            </w:r>
          </w:p>
          <w:p>
            <w:pPr>
              <w:pStyle w:val="5"/>
              <w:spacing w:line="420" w:lineRule="exact"/>
              <w:rPr>
                <w:rFonts w:ascii="宋体" w:hAnsi="宋体" w:cs="宋体"/>
                <w:sz w:val="21"/>
                <w:szCs w:val="21"/>
                <w:highlight w:val="none"/>
              </w:rPr>
            </w:pPr>
            <w:r>
              <w:rPr>
                <w:rFonts w:hint="eastAsia" w:ascii="宋体" w:hAnsi="宋体" w:cs="宋体"/>
                <w:sz w:val="21"/>
                <w:szCs w:val="21"/>
                <w:highlight w:val="none"/>
              </w:rPr>
              <w:t>页面布局、内容及课程效果均有明显不足得2分。</w:t>
            </w:r>
          </w:p>
          <w:p>
            <w:pPr>
              <w:pStyle w:val="5"/>
              <w:rPr>
                <w:rFonts w:ascii="宋体" w:hAnsi="宋体" w:cs="宋体"/>
                <w:sz w:val="21"/>
                <w:szCs w:val="21"/>
                <w:highlight w:val="none"/>
              </w:rPr>
            </w:pPr>
            <w:r>
              <w:rPr>
                <w:rFonts w:hint="eastAsia" w:ascii="宋体" w:hAnsi="宋体" w:cs="宋体"/>
                <w:sz w:val="21"/>
                <w:szCs w:val="21"/>
                <w:highlight w:val="none"/>
              </w:rPr>
              <w:t>若演示课程视频，不符合课程类别，或不是英文课程的，每缺少一类扣3分。</w:t>
            </w:r>
          </w:p>
        </w:tc>
        <w:tc>
          <w:tcPr>
            <w:tcW w:w="674"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59"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6</w:t>
            </w:r>
          </w:p>
        </w:tc>
        <w:tc>
          <w:tcPr>
            <w:tcW w:w="2176" w:type="dxa"/>
            <w:gridSpan w:val="2"/>
            <w:vAlign w:val="center"/>
          </w:tcPr>
          <w:p>
            <w:pPr>
              <w:pStyle w:val="4"/>
              <w:jc w:val="center"/>
              <w:rPr>
                <w:rFonts w:ascii="宋体" w:hAnsi="宋体" w:cs="宋体"/>
                <w:highlight w:val="none"/>
              </w:rPr>
            </w:pPr>
            <w:r>
              <w:rPr>
                <w:rFonts w:hint="eastAsia" w:ascii="宋体" w:hAnsi="宋体" w:cs="宋体"/>
                <w:highlight w:val="none"/>
              </w:rPr>
              <w:t>投标文件制作</w:t>
            </w:r>
          </w:p>
        </w:tc>
        <w:tc>
          <w:tcPr>
            <w:tcW w:w="5685" w:type="dxa"/>
            <w:vAlign w:val="center"/>
          </w:tcPr>
          <w:p>
            <w:pPr>
              <w:pStyle w:val="8"/>
              <w:adjustRightInd w:val="0"/>
              <w:snapToGrid w:val="0"/>
              <w:spacing w:after="0" w:line="360" w:lineRule="auto"/>
              <w:ind w:left="0" w:leftChars="0" w:right="0" w:rightChars="0" w:firstLine="420" w:firstLineChars="200"/>
              <w:rPr>
                <w:rFonts w:ascii="宋体" w:hAnsi="宋体" w:cs="宋体"/>
                <w:szCs w:val="21"/>
                <w:highlight w:val="none"/>
              </w:rPr>
            </w:pPr>
            <w:r>
              <w:rPr>
                <w:rFonts w:hint="eastAsia" w:ascii="宋体" w:hAnsi="宋体" w:cs="宋体"/>
                <w:szCs w:val="21"/>
                <w:highlight w:val="none"/>
              </w:rPr>
              <w:t>文件内容完备，格式规范，封装整齐，目录、页码齐全，目录与页码能准确对应，满足招标文件要求得2分，否则不得分。未经胶封（如文件夹或订书机等）此项不得分。</w:t>
            </w:r>
          </w:p>
          <w:p>
            <w:pPr>
              <w:pStyle w:val="5"/>
              <w:rPr>
                <w:rFonts w:ascii="宋体" w:hAnsi="宋体" w:cs="宋体"/>
                <w:sz w:val="21"/>
                <w:szCs w:val="21"/>
                <w:highlight w:val="none"/>
              </w:rPr>
            </w:pPr>
          </w:p>
        </w:tc>
        <w:tc>
          <w:tcPr>
            <w:tcW w:w="674"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520" w:type="dxa"/>
            <w:gridSpan w:val="4"/>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合计</w:t>
            </w:r>
          </w:p>
        </w:tc>
        <w:tc>
          <w:tcPr>
            <w:tcW w:w="674"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100</w:t>
            </w:r>
          </w:p>
        </w:tc>
      </w:tr>
    </w:tbl>
    <w:p>
      <w:pPr>
        <w:pStyle w:val="4"/>
        <w:ind w:firstLine="0"/>
        <w:rPr>
          <w:highlight w:val="none"/>
        </w:rPr>
      </w:pPr>
    </w:p>
    <w:p>
      <w:pPr>
        <w:spacing w:line="360" w:lineRule="auto"/>
        <w:rPr>
          <w:b/>
          <w:sz w:val="28"/>
          <w:szCs w:val="28"/>
          <w:highlight w:val="none"/>
        </w:rPr>
      </w:pPr>
    </w:p>
    <w:p>
      <w:pPr>
        <w:spacing w:line="360" w:lineRule="auto"/>
        <w:rPr>
          <w:b/>
          <w:sz w:val="28"/>
          <w:szCs w:val="28"/>
          <w:highlight w:val="none"/>
        </w:rPr>
      </w:pPr>
    </w:p>
    <w:p>
      <w:pPr>
        <w:pStyle w:val="3"/>
        <w:widowControl/>
        <w:numPr>
          <w:ilvl w:val="0"/>
          <w:numId w:val="0"/>
        </w:numPr>
        <w:rPr>
          <w:rFonts w:hint="eastAsia" w:ascii="宋体" w:hAnsi="宋体" w:eastAsia="宋体" w:cs="宋体"/>
          <w:b/>
          <w:bCs w:val="0"/>
          <w:kern w:val="2"/>
          <w:sz w:val="28"/>
          <w:szCs w:val="28"/>
          <w:highlight w:val="none"/>
        </w:rPr>
      </w:pPr>
      <w:r>
        <w:rPr>
          <w:rFonts w:hint="eastAsia" w:ascii="宋体" w:hAnsi="宋体" w:cs="宋体"/>
          <w:b/>
          <w:bCs w:val="0"/>
          <w:kern w:val="2"/>
          <w:sz w:val="28"/>
          <w:szCs w:val="28"/>
          <w:highlight w:val="none"/>
          <w:lang w:val="en-US" w:eastAsia="zh-CN"/>
        </w:rPr>
        <w:t>附件6：</w:t>
      </w:r>
      <w:r>
        <w:rPr>
          <w:rFonts w:hint="eastAsia" w:ascii="宋体" w:hAnsi="宋体" w:eastAsia="宋体" w:cs="宋体"/>
          <w:b/>
          <w:bCs w:val="0"/>
          <w:kern w:val="2"/>
          <w:sz w:val="28"/>
          <w:szCs w:val="28"/>
          <w:highlight w:val="none"/>
        </w:rPr>
        <w:t xml:space="preserve"> 合同文本</w:t>
      </w: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kern w:val="2"/>
          <w:sz w:val="21"/>
          <w:szCs w:val="21"/>
          <w:highlight w:val="none"/>
        </w:rPr>
      </w:pPr>
      <w:r>
        <w:rPr>
          <w:rFonts w:hint="eastAsia" w:ascii="微软雅黑" w:hAnsi="微软雅黑" w:eastAsia="微软雅黑" w:cs="微软雅黑"/>
          <w:b/>
          <w:bCs/>
          <w:kern w:val="2"/>
          <w:sz w:val="21"/>
          <w:szCs w:val="21"/>
          <w:highlight w:val="none"/>
          <w:lang w:val="en-US" w:eastAsia="zh-CN" w:bidi="ar"/>
        </w:rPr>
        <w:t>（此合同仅作范本，但对已明确约定的内容不得进行实质性改动。最终文本将根据招标需求、投标承诺进行修改，并以采购人合同审核部门最终审核意见为准。）</w:t>
      </w:r>
    </w:p>
    <w:p>
      <w:pPr>
        <w:pStyle w:val="10"/>
        <w:widowControl/>
        <w:snapToGrid w:val="0"/>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项目名称</w:t>
      </w:r>
      <w:r>
        <w:rPr>
          <w:rFonts w:hint="eastAsia" w:hAnsi="宋体" w:cs="宋体"/>
          <w:kern w:val="2"/>
          <w:sz w:val="21"/>
          <w:szCs w:val="21"/>
          <w:highlight w:val="none"/>
          <w:lang w:eastAsia="zh-CN"/>
        </w:rPr>
        <w:t>：</w:t>
      </w:r>
      <w:r>
        <w:rPr>
          <w:rFonts w:hint="eastAsia" w:ascii="宋体" w:hAnsi="宋体" w:eastAsia="宋体" w:cs="宋体"/>
          <w:kern w:val="2"/>
          <w:sz w:val="21"/>
          <w:szCs w:val="21"/>
          <w:highlight w:val="none"/>
        </w:rPr>
        <w:t xml:space="preserve">                                   项目编号：</w:t>
      </w:r>
    </w:p>
    <w:p>
      <w:pPr>
        <w:pStyle w:val="10"/>
        <w:widowControl/>
        <w:snapToGrid w:val="0"/>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甲方：（买方）________</w:t>
      </w:r>
    </w:p>
    <w:p>
      <w:pPr>
        <w:pStyle w:val="10"/>
        <w:widowControl/>
        <w:snapToGrid w:val="0"/>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乙方：（卖方）_________</w:t>
      </w:r>
    </w:p>
    <w:p>
      <w:pPr>
        <w:pStyle w:val="10"/>
        <w:widowControl/>
        <w:snapToGrid w:val="0"/>
        <w:spacing w:line="360" w:lineRule="auto"/>
        <w:rPr>
          <w:rFonts w:hint="eastAsia" w:ascii="宋体" w:hAnsi="宋体" w:eastAsia="宋体" w:cs="宋体"/>
          <w:kern w:val="2"/>
          <w:sz w:val="21"/>
          <w:szCs w:val="21"/>
          <w:highlight w:val="none"/>
        </w:rPr>
      </w:pPr>
      <w:r>
        <w:rPr>
          <w:rFonts w:hint="eastAsia" w:ascii="宋体" w:hAnsi="宋体" w:eastAsia="宋体" w:cs="宋体"/>
          <w:b/>
          <w:bCs w:val="0"/>
          <w:kern w:val="2"/>
          <w:sz w:val="21"/>
          <w:szCs w:val="21"/>
          <w:highlight w:val="none"/>
        </w:rPr>
        <w:t xml:space="preserve">   </w:t>
      </w:r>
      <w:r>
        <w:rPr>
          <w:rFonts w:hint="eastAsia" w:ascii="宋体" w:hAnsi="宋体" w:eastAsia="宋体" w:cs="宋体"/>
          <w:kern w:val="2"/>
          <w:sz w:val="21"/>
          <w:szCs w:val="21"/>
          <w:highlight w:val="none"/>
        </w:rPr>
        <w:t>甲、乙双方根据南京信息工程大学招标办</w:t>
      </w:r>
      <w:r>
        <w:rPr>
          <w:rFonts w:hint="eastAsia" w:ascii="宋体" w:hAnsi="宋体" w:eastAsia="宋体" w:cs="宋体"/>
          <w:kern w:val="2"/>
          <w:sz w:val="21"/>
          <w:szCs w:val="21"/>
          <w:highlight w:val="none"/>
          <w:u w:val="single"/>
        </w:rPr>
        <w:t xml:space="preserve">         </w:t>
      </w:r>
      <w:r>
        <w:rPr>
          <w:rFonts w:hint="eastAsia" w:ascii="宋体" w:hAnsi="宋体" w:eastAsia="宋体" w:cs="宋体"/>
          <w:kern w:val="2"/>
          <w:sz w:val="21"/>
          <w:szCs w:val="21"/>
          <w:highlight w:val="none"/>
        </w:rPr>
        <w:t>项目公开招标的结果，签署本合同，并共同遵守。</w:t>
      </w:r>
    </w:p>
    <w:p>
      <w:pPr>
        <w:pStyle w:val="10"/>
        <w:widowControl/>
        <w:spacing w:line="360" w:lineRule="auto"/>
        <w:jc w:val="left"/>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rPr>
        <w:t>一、合同内容：</w:t>
      </w:r>
    </w:p>
    <w:p>
      <w:pPr>
        <w:pStyle w:val="10"/>
        <w:widowControl/>
        <w:spacing w:line="360" w:lineRule="auto"/>
        <w:ind w:left="0" w:firstLine="42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1．乙方负责完成甲方的</w:t>
      </w:r>
      <w:r>
        <w:rPr>
          <w:rFonts w:hint="eastAsia" w:ascii="宋体" w:hAnsi="宋体" w:eastAsia="宋体" w:cs="宋体"/>
          <w:kern w:val="2"/>
          <w:sz w:val="21"/>
          <w:szCs w:val="21"/>
          <w:highlight w:val="none"/>
          <w:u w:val="single"/>
        </w:rPr>
        <w:t xml:space="preserve">                             </w:t>
      </w:r>
      <w:r>
        <w:rPr>
          <w:rFonts w:hint="eastAsia" w:ascii="宋体" w:hAnsi="宋体" w:eastAsia="宋体" w:cs="宋体"/>
          <w:kern w:val="2"/>
          <w:sz w:val="21"/>
          <w:szCs w:val="21"/>
          <w:highlight w:val="none"/>
        </w:rPr>
        <w:t>，详见乙方的投标（响应）文件。</w:t>
      </w:r>
    </w:p>
    <w:p>
      <w:pPr>
        <w:keepNext w:val="0"/>
        <w:keepLines w:val="0"/>
        <w:widowControl/>
        <w:suppressLineNumbers w:val="0"/>
        <w:spacing w:before="0" w:beforeAutospacing="0" w:after="0" w:afterAutospacing="0" w:line="360" w:lineRule="auto"/>
        <w:ind w:left="0" w:right="0" w:firstLine="371" w:firstLineChars="177"/>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2．下列文件为本合同不可分割部分，与本合同具有同等法律效力：</w:t>
      </w:r>
    </w:p>
    <w:p>
      <w:pPr>
        <w:pStyle w:val="10"/>
        <w:widowControl/>
        <w:spacing w:line="360" w:lineRule="auto"/>
        <w:ind w:left="-53" w:leftChars="-202" w:hanging="371" w:hangingChars="177"/>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      （1）中标（成交）通知书；</w:t>
      </w:r>
    </w:p>
    <w:p>
      <w:pPr>
        <w:pStyle w:val="10"/>
        <w:widowControl/>
        <w:spacing w:line="360" w:lineRule="auto"/>
        <w:ind w:left="-53" w:leftChars="-202" w:hanging="371" w:hangingChars="177"/>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      （2）甲方的招标（采购）文件及其它补充文件；</w:t>
      </w:r>
    </w:p>
    <w:p>
      <w:pPr>
        <w:pStyle w:val="10"/>
        <w:widowControl/>
        <w:spacing w:line="360" w:lineRule="auto"/>
        <w:ind w:left="-53" w:leftChars="-202" w:hanging="371" w:hangingChars="177"/>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      （3）乙方投标（响应）文件及其它补充文件；</w:t>
      </w:r>
    </w:p>
    <w:p>
      <w:pPr>
        <w:pStyle w:val="10"/>
        <w:widowControl/>
        <w:spacing w:line="360" w:lineRule="auto"/>
        <w:ind w:left="-53" w:leftChars="-202" w:hanging="371" w:hangingChars="177"/>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      （4）乙方在采购过程中所作的其它书面承诺、声明、澄清等。</w:t>
      </w:r>
    </w:p>
    <w:p>
      <w:pPr>
        <w:pStyle w:val="10"/>
        <w:widowControl/>
        <w:spacing w:line="360" w:lineRule="auto"/>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rPr>
        <w:t>二、服务费与支付：</w:t>
      </w:r>
    </w:p>
    <w:p>
      <w:pPr>
        <w:keepNext w:val="0"/>
        <w:keepLines w:val="0"/>
        <w:widowControl w:val="0"/>
        <w:suppressLineNumbers w:val="0"/>
        <w:spacing w:before="0" w:beforeAutospacing="0" w:after="0" w:afterAutospacing="0" w:line="360" w:lineRule="auto"/>
        <w:ind w:left="0" w:right="0" w:firstLine="5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1.合同总金额为人民币 </w:t>
      </w:r>
      <w:r>
        <w:rPr>
          <w:rFonts w:hint="eastAsia" w:ascii="宋体" w:hAnsi="宋体" w:eastAsia="宋体" w:cs="宋体"/>
          <w:kern w:val="2"/>
          <w:sz w:val="21"/>
          <w:szCs w:val="21"/>
          <w:highlight w:val="none"/>
          <w:u w:val="single"/>
          <w:lang w:val="en-US" w:eastAsia="zh-CN" w:bidi="ar"/>
        </w:rPr>
        <w:t>（大写）            （小写</w:t>
      </w:r>
      <w:r>
        <w:rPr>
          <w:rFonts w:hint="default" w:ascii="Lucida Sans Unicode" w:hAnsi="Lucida Sans Unicode" w:eastAsia="Lucida Sans Unicode" w:cs="Lucida Sans Unicode"/>
          <w:kern w:val="2"/>
          <w:sz w:val="21"/>
          <w:szCs w:val="21"/>
          <w:highlight w:val="none"/>
          <w:u w:val="single"/>
          <w:lang w:val="en-US" w:eastAsia="zh-CN" w:bidi="ar"/>
        </w:rPr>
        <w:t>¥</w:t>
      </w:r>
      <w:r>
        <w:rPr>
          <w:rFonts w:hint="eastAsia" w:ascii="宋体" w:hAnsi="宋体" w:eastAsia="宋体" w:cs="宋体"/>
          <w:kern w:val="2"/>
          <w:sz w:val="21"/>
          <w:szCs w:val="21"/>
          <w:highlight w:val="none"/>
          <w:u w:val="single"/>
          <w:lang w:val="en-US" w:eastAsia="zh-CN" w:bidi="ar"/>
        </w:rPr>
        <w:t xml:space="preserve">           ） </w:t>
      </w:r>
      <w:r>
        <w:rPr>
          <w:rFonts w:hint="eastAsia" w:ascii="宋体" w:hAnsi="宋体" w:eastAsia="宋体" w:cs="宋体"/>
          <w:kern w:val="2"/>
          <w:sz w:val="21"/>
          <w:szCs w:val="21"/>
          <w:highlight w:val="none"/>
          <w:lang w:val="en-US" w:eastAsia="zh-CN" w:bidi="ar"/>
        </w:rPr>
        <w:t>，包括项目实施所有费用（包含工资、福利、保险、劳保等人员费用、相关货物费用、专利技术及相关所发生的全部费用）以及供应商企业利润、税金和政策性文件规定及合同包含的所有风险、责任等各项应有费用，还包括乙方应当提供的伴随服务/售后服务费用。除非因特殊原因并经甲乙双方协商同意，乙方不得再要求追加任何费用。同时，除非合同条款中另有规定，否则，乙方所报价格在合同实施期间不因市场变化因素而变动。</w:t>
      </w:r>
    </w:p>
    <w:p>
      <w:pPr>
        <w:keepNext w:val="0"/>
        <w:keepLines w:val="0"/>
        <w:widowControl w:val="0"/>
        <w:suppressLineNumbers w:val="0"/>
        <w:spacing w:before="0" w:beforeAutospacing="0" w:after="0" w:afterAutospacing="0" w:line="360" w:lineRule="auto"/>
        <w:ind w:left="0" w:right="0" w:firstLine="500"/>
        <w:jc w:val="both"/>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2．付款比例及时间约定：针对本项目，签订合同后，20日内预付合同金额的30%，全部服务完成并验收合格后，凭验收凭证等文件20内支付至合同金额的100%。</w:t>
      </w:r>
    </w:p>
    <w:p>
      <w:pPr>
        <w:keepNext w:val="0"/>
        <w:keepLines w:val="0"/>
        <w:widowControl w:val="0"/>
        <w:suppressLineNumbers w:val="0"/>
        <w:spacing w:before="0" w:beforeAutospacing="0" w:after="0" w:afterAutospacing="0" w:line="360" w:lineRule="auto"/>
        <w:ind w:left="0" w:right="0" w:firstLine="5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3.乙方（卖方）账户信息：</w:t>
      </w:r>
    </w:p>
    <w:p>
      <w:pPr>
        <w:keepNext w:val="0"/>
        <w:keepLines w:val="0"/>
        <w:widowControl w:val="0"/>
        <w:suppressLineNumbers w:val="0"/>
        <w:spacing w:before="0" w:beforeAutospacing="0" w:after="0" w:afterAutospacing="0" w:line="360" w:lineRule="auto"/>
        <w:ind w:left="0" w:right="0" w:firstLine="5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lang w:val="en-US" w:eastAsia="zh-CN" w:bidi="ar"/>
        </w:rPr>
        <w:t>乙方（卖方）户名：</w:t>
      </w:r>
      <w:r>
        <w:rPr>
          <w:rFonts w:hint="eastAsia" w:ascii="宋体" w:hAnsi="宋体" w:eastAsia="宋体" w:cs="宋体"/>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5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乙方（卖方）账号：</w:t>
      </w:r>
      <w:r>
        <w:rPr>
          <w:rFonts w:hint="eastAsia" w:ascii="宋体" w:hAnsi="宋体" w:eastAsia="宋体" w:cs="宋体"/>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5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乙方（卖方）开户行：</w:t>
      </w:r>
      <w:r>
        <w:rPr>
          <w:rFonts w:hint="eastAsia" w:ascii="宋体" w:hAnsi="宋体" w:eastAsia="宋体" w:cs="宋体"/>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 税费：本合同执行中相关的一切税费均由乙方负担。</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5. 支付方式：银行转帐。</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
          <w:bCs/>
          <w:kern w:val="2"/>
          <w:sz w:val="21"/>
          <w:szCs w:val="21"/>
          <w:highlight w:val="none"/>
        </w:rPr>
      </w:pPr>
      <w:r>
        <w:rPr>
          <w:rFonts w:hint="eastAsia" w:ascii="宋体" w:hAnsi="宋体" w:eastAsia="宋体" w:cs="宋体"/>
          <w:kern w:val="2"/>
          <w:sz w:val="21"/>
          <w:szCs w:val="21"/>
          <w:highlight w:val="none"/>
          <w:lang w:val="en-US" w:eastAsia="zh-CN" w:bidi="ar"/>
        </w:rPr>
        <w:t>6. 服务期内，甲方提出的非架构性追加需求，乙方应无条件免费满足。服务期满后，甲方需追加与合同标的相同的服务的，在不改变合同其它条款的前提下，可以与乙方签订补充合同，但所有补充合同的采购金额不得超过原合同采购金额的</w:t>
      </w:r>
      <w:r>
        <w:rPr>
          <w:rFonts w:hint="default" w:ascii="Times New Roman" w:hAnsi="Times New Roman" w:eastAsia="宋体" w:cs="Times New Roman"/>
          <w:kern w:val="2"/>
          <w:sz w:val="21"/>
          <w:szCs w:val="21"/>
          <w:highlight w:val="none"/>
          <w:lang w:val="en-US" w:eastAsia="zh-CN" w:bidi="ar"/>
        </w:rPr>
        <w:t>10%</w:t>
      </w:r>
      <w:r>
        <w:rPr>
          <w:rFonts w:hint="eastAsia" w:ascii="宋体" w:hAnsi="宋体" w:eastAsia="宋体" w:cs="宋体"/>
          <w:kern w:val="2"/>
          <w:sz w:val="21"/>
          <w:szCs w:val="21"/>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7.如果甲方要求扩大服务项目范围，或因甲方改变已经议定的项目内容导致乙方需重复进行项目步骤，对于增加的工作部分，双方应及时协商，无论服务费是否发生变更，均须签署补充协议作为依据。</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三、履约保证金</w:t>
      </w:r>
    </w:p>
    <w:p>
      <w:pPr>
        <w:spacing w:line="360" w:lineRule="auto"/>
        <w:ind w:firstLine="411" w:firstLineChars="196"/>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1．乙方在签订本合同之前，须向甲方交纳</w:t>
      </w:r>
      <w:r>
        <w:rPr>
          <w:rFonts w:hint="eastAsia" w:ascii="宋体" w:hAnsi="宋体" w:eastAsia="宋体" w:cs="宋体"/>
          <w:kern w:val="2"/>
          <w:sz w:val="21"/>
          <w:szCs w:val="21"/>
          <w:highlight w:val="none"/>
          <w:u w:val="single"/>
          <w:lang w:val="en-US" w:eastAsia="zh-CN" w:bidi="ar"/>
        </w:rPr>
        <w:t>中标金额10%的</w:t>
      </w:r>
      <w:r>
        <w:rPr>
          <w:rFonts w:hint="eastAsia" w:ascii="宋体" w:hAnsi="宋体" w:eastAsia="宋体" w:cs="宋体"/>
          <w:kern w:val="2"/>
          <w:sz w:val="21"/>
          <w:szCs w:val="21"/>
          <w:highlight w:val="none"/>
          <w:lang w:val="en-US" w:eastAsia="zh-CN" w:bidi="ar"/>
        </w:rPr>
        <w:t>的履约保证金，甲方在全部服务验收合格无异议后无息返还50%履约保证金，另50%履约保证金转为质量保证金。</w:t>
      </w: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2.若乙方有未能履行合同约定义务的情形，甲方有权不予退还全部或部分履约保证金作为补偿：</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bidi="ar"/>
        </w:rPr>
        <w:t>四、项目实施：</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bCs/>
          <w:kern w:val="2"/>
          <w:sz w:val="21"/>
          <w:szCs w:val="21"/>
          <w:highlight w:val="none"/>
          <w:lang w:val="en-US" w:eastAsia="zh-CN" w:bidi="ar"/>
        </w:rPr>
        <w:t>1.服务期限：</w:t>
      </w:r>
      <w:r>
        <w:rPr>
          <w:rFonts w:hint="eastAsia" w:ascii="宋体" w:hAnsi="宋体" w:eastAsia="宋体" w:cs="宋体"/>
          <w:bCs/>
          <w:kern w:val="2"/>
          <w:sz w:val="21"/>
          <w:szCs w:val="21"/>
          <w:highlight w:val="none"/>
          <w:u w:val="single"/>
          <w:lang w:val="en-US" w:eastAsia="zh-CN" w:bidi="ar"/>
        </w:rPr>
        <w:tab/>
      </w:r>
      <w:r>
        <w:rPr>
          <w:rFonts w:hint="eastAsia" w:ascii="宋体" w:hAnsi="宋体" w:eastAsia="宋体" w:cs="宋体"/>
          <w:bCs/>
          <w:kern w:val="2"/>
          <w:sz w:val="21"/>
          <w:szCs w:val="21"/>
          <w:highlight w:val="none"/>
          <w:u w:val="single"/>
          <w:lang w:val="en-US" w:eastAsia="zh-CN" w:bidi="ar"/>
        </w:rPr>
        <w:tab/>
      </w:r>
      <w:r>
        <w:rPr>
          <w:rFonts w:hint="eastAsia" w:ascii="宋体" w:hAnsi="宋体" w:eastAsia="宋体" w:cs="宋体"/>
          <w:bCs/>
          <w:kern w:val="2"/>
          <w:sz w:val="21"/>
          <w:szCs w:val="21"/>
          <w:highlight w:val="none"/>
          <w:u w:val="single"/>
          <w:lang w:val="en-US" w:eastAsia="zh-CN" w:bidi="ar"/>
        </w:rPr>
        <w:tab/>
      </w:r>
      <w:r>
        <w:rPr>
          <w:rFonts w:hint="eastAsia" w:ascii="宋体" w:hAnsi="宋体" w:eastAsia="宋体" w:cs="宋体"/>
          <w:bCs/>
          <w:kern w:val="2"/>
          <w:sz w:val="21"/>
          <w:szCs w:val="21"/>
          <w:highlight w:val="none"/>
          <w:u w:val="single"/>
          <w:lang w:val="en-US" w:eastAsia="zh-CN" w:bidi="ar"/>
        </w:rPr>
        <w:tab/>
      </w:r>
      <w:r>
        <w:rPr>
          <w:rFonts w:hint="eastAsia" w:ascii="宋体" w:hAnsi="宋体" w:eastAsia="宋体" w:cs="宋体"/>
          <w:bCs/>
          <w:kern w:val="2"/>
          <w:sz w:val="21"/>
          <w:szCs w:val="21"/>
          <w:highlight w:val="none"/>
          <w:u w:val="single"/>
          <w:lang w:val="en-US" w:eastAsia="zh-CN" w:bidi="ar"/>
        </w:rPr>
        <w:tab/>
      </w:r>
      <w:r>
        <w:rPr>
          <w:rFonts w:hint="eastAsia" w:ascii="宋体" w:hAnsi="宋体" w:eastAsia="宋体" w:cs="宋体"/>
          <w:kern w:val="2"/>
          <w:sz w:val="21"/>
          <w:szCs w:val="21"/>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bCs/>
          <w:kern w:val="2"/>
          <w:sz w:val="21"/>
          <w:szCs w:val="21"/>
          <w:highlight w:val="none"/>
          <w:lang w:val="en-US" w:eastAsia="zh-CN" w:bidi="ar"/>
        </w:rPr>
        <w:t>2.服务地点：</w:t>
      </w:r>
      <w:r>
        <w:rPr>
          <w:rFonts w:hint="eastAsia" w:ascii="宋体" w:hAnsi="宋体" w:eastAsia="宋体" w:cs="宋体"/>
          <w:kern w:val="2"/>
          <w:sz w:val="21"/>
          <w:szCs w:val="21"/>
          <w:highlight w:val="none"/>
          <w:u w:val="single"/>
          <w:lang w:val="en-US" w:eastAsia="zh-CN" w:bidi="ar"/>
        </w:rPr>
        <w:tab/>
      </w:r>
      <w:r>
        <w:rPr>
          <w:rFonts w:hint="eastAsia" w:ascii="宋体" w:hAnsi="宋体" w:eastAsia="宋体" w:cs="宋体"/>
          <w:kern w:val="2"/>
          <w:sz w:val="21"/>
          <w:szCs w:val="21"/>
          <w:highlight w:val="none"/>
          <w:u w:val="single"/>
          <w:lang w:val="en-US" w:eastAsia="zh-CN" w:bidi="ar"/>
        </w:rPr>
        <w:tab/>
      </w:r>
      <w:r>
        <w:rPr>
          <w:rFonts w:hint="eastAsia" w:ascii="宋体" w:hAnsi="宋体" w:eastAsia="宋体" w:cs="宋体"/>
          <w:kern w:val="2"/>
          <w:sz w:val="21"/>
          <w:szCs w:val="21"/>
          <w:highlight w:val="none"/>
          <w:u w:val="single"/>
          <w:lang w:val="en-US" w:eastAsia="zh-CN" w:bidi="ar"/>
        </w:rPr>
        <w:tab/>
      </w:r>
      <w:r>
        <w:rPr>
          <w:rFonts w:hint="eastAsia" w:ascii="宋体" w:hAnsi="宋体" w:eastAsia="宋体" w:cs="宋体"/>
          <w:kern w:val="2"/>
          <w:sz w:val="21"/>
          <w:szCs w:val="21"/>
          <w:highlight w:val="none"/>
          <w:u w:val="single"/>
          <w:lang w:val="en-US" w:eastAsia="zh-CN" w:bidi="ar"/>
        </w:rPr>
        <w:tab/>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lang w:val="en-US" w:eastAsia="zh-CN" w:bidi="ar"/>
        </w:rPr>
        <w:t>3.甲方联系人：</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 xml:space="preserve"> 所在单位：</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电话：</w:t>
      </w:r>
      <w:r>
        <w:rPr>
          <w:rFonts w:hint="eastAsia" w:ascii="宋体" w:hAnsi="宋体" w:eastAsia="宋体" w:cs="宋体"/>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lang w:val="en-US" w:eastAsia="zh-CN" w:bidi="ar"/>
        </w:rPr>
        <w:t xml:space="preserve">  乙方联系人：</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 xml:space="preserve">  电话：</w:t>
      </w:r>
      <w:r>
        <w:rPr>
          <w:rFonts w:hint="eastAsia" w:ascii="宋体" w:hAnsi="宋体" w:eastAsia="宋体" w:cs="宋体"/>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bidi="ar"/>
        </w:rPr>
        <w:t>五、甲方权利和义务：</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lang w:val="en-US" w:eastAsia="zh-CN" w:bidi="ar"/>
        </w:rPr>
        <w:t>1.根据甲方服务管理要求及乙方的相关承诺，对乙方提供的服务及履行本合同情况实行验收考核。验收考核方式为：</w:t>
      </w:r>
      <w:r>
        <w:rPr>
          <w:rFonts w:hint="eastAsia" w:ascii="宋体" w:hAnsi="宋体" w:eastAsia="宋体" w:cs="宋体"/>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2.甲方有义务在适当的范围内公开考核结果。</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3.因突发情况，甲方需调动乙方人员和器材设备时，乙方应服从安排,予以配合。</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4.甲方有权根据国家政策或法律法规的变动对服务的需求标准和质量做出相应变动。</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bidi="ar"/>
        </w:rPr>
        <w:t>六、乙方权利和义务：</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1.乙方根据国家标准、行业标准和规范要求、招标（采购）文件规定的服务质量标准和有关要求及投标（响应）文件所作的承诺，积极主动保质保量地完成服务工作。</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2.乙方应配备具有相应资质、特定经验的工作人员负责项目实施，按照合同约定的标准、要求和时间完成项目。</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3.乙方接受并主动配合甲方及行业主管部门的检查，对甲方指出的问题，应及时做出合理解释或予以纠正。</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4.对服务范围之外的突击性、突发性工作，乙方须服从甲方的安排，不得无故拖延。</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5.对因乙方管理不善而损坏的硬件设施，乙方应负责及时修复，或照价赔偿。</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6.乙方承诺，根据本合同提供的服务及相关的软件和技术资料，均已取得有关知识产权的权利人的合法授权，如发生侵权等争议，乙方负责处理并承担由此引发的全部责任。</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7.乙方应做好详细的管理台账，建立管理档案，并按双方约定将管理情况汇总报送甲方。</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bidi="ar"/>
        </w:rPr>
        <w:t>七、服务管理基本要求：</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1.为确保服务质量，乙方须安排管理人员进行监督管理。</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2.服务过程中，乙方必须采取周密的安全措施，以避免对人身和财产的损害。如因乙方原因而造成人身伤害或财产损失的，由乙方承担全部责任。</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3.乙方服务期间由于服务工作不能及时完成，且造成较大影响的，</w:t>
      </w:r>
      <w:r>
        <w:rPr>
          <w:rFonts w:hint="eastAsia" w:ascii="宋体" w:hAnsi="宋体" w:cs="宋体"/>
          <w:bCs/>
          <w:color w:val="auto"/>
          <w:highlight w:val="none"/>
        </w:rPr>
        <w:t>或乙方拒绝配合甲方工作检查或不予以改正的，</w:t>
      </w:r>
      <w:r>
        <w:rPr>
          <w:rFonts w:hint="eastAsia" w:ascii="宋体" w:hAnsi="宋体" w:cs="宋体"/>
          <w:color w:val="auto"/>
          <w:highlight w:val="none"/>
        </w:rPr>
        <w:t>甲方有权通过扣除服务费用进行处罚。</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bidi="ar"/>
        </w:rPr>
        <w:t>八、不可抗力事件处理：</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 “不可抗力”是指所有超出本合同双方控制范围的事件，该事件应不可预见，或虽然可以预见，但通过合理努力无法阻止或避免其发生，且这类事件发生于本合同签字之后，并且阻止任何一方全部或部分履行本合同。</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2.因不可抗力不能履行合同的，根据不可抗力的影响，双方协商合同是否继续履行与责任承担。但合同一方迟延履行后发生严重后果的，不能免除责任。</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3.合同一方因不可抗力不能履行合同的，应当及时通知对方，以减轻可能给对方造成的损失，并应当在合理期限内提供证明，按事件对本合同的影响程度，双方协商是否终止本合同，或部分免除本合同的义务。</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bidi="ar"/>
        </w:rPr>
        <w:t>九、违约责任：</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合同一方不履行合同义务或者履行合同义务不符合约定的，应当承担继续履行、采取补救措施或者赔偿损失等违约责任。</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 在合同生效后，甲方</w:t>
      </w:r>
      <w:r>
        <w:rPr>
          <w:rFonts w:hint="eastAsia" w:ascii="宋体" w:hAnsi="宋体" w:cs="宋体"/>
          <w:kern w:val="2"/>
          <w:sz w:val="21"/>
          <w:szCs w:val="21"/>
          <w:highlight w:val="none"/>
          <w:lang w:val="en-US" w:eastAsia="zh-CN" w:bidi="ar"/>
        </w:rPr>
        <w:t>无正当理由</w:t>
      </w:r>
      <w:r>
        <w:rPr>
          <w:rFonts w:hint="eastAsia" w:ascii="宋体" w:hAnsi="宋体" w:eastAsia="宋体" w:cs="宋体"/>
          <w:kern w:val="2"/>
          <w:sz w:val="21"/>
          <w:szCs w:val="21"/>
          <w:highlight w:val="none"/>
          <w:lang w:val="en-US" w:eastAsia="zh-CN" w:bidi="ar"/>
        </w:rPr>
        <w:t>要求取消服务的，应按合同总价款的</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向乙方偿付违约金，违约金不足以补偿损失的，乙方有权要求甲方补足。</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2.乙方不能按时、按质提供服务的，甲方有权解除合同，乙方应按合同总价款的</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%向甲方偿付违约金，违约金不足以补偿损失的，甲方有权要求乙方补足。</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cs="宋体"/>
          <w:bCs/>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3.乙方提供的服务不符合本合同规定内容的，甲方有权拒收，且乙方须向甲方支付本合同金额</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%的违约金（</w:t>
      </w:r>
      <w:r>
        <w:rPr>
          <w:rFonts w:hint="eastAsia" w:ascii="宋体" w:hAnsi="宋体" w:eastAsia="宋体" w:cs="宋体"/>
          <w:bCs/>
          <w:kern w:val="2"/>
          <w:sz w:val="21"/>
          <w:szCs w:val="21"/>
          <w:highlight w:val="none"/>
          <w:lang w:val="en-US" w:eastAsia="zh-CN" w:bidi="ar"/>
        </w:rPr>
        <w:t>违约金不超过合同总金额的30%）。</w:t>
      </w:r>
      <w:r>
        <w:rPr>
          <w:rFonts w:hint="eastAsia" w:ascii="宋体" w:hAnsi="宋体" w:cs="宋体"/>
          <w:bCs/>
          <w:kern w:val="2"/>
          <w:sz w:val="21"/>
          <w:szCs w:val="21"/>
          <w:highlight w:val="none"/>
          <w:lang w:val="en-US" w:eastAsia="zh-CN" w:bidi="ar"/>
        </w:rPr>
        <w:t>甲方另行委托第三方提供服务的，由此产生的费用由乙方全部承担。</w:t>
      </w:r>
    </w:p>
    <w:p>
      <w:pPr>
        <w:pStyle w:val="2"/>
        <w:ind w:firstLine="420" w:firstLineChars="200"/>
        <w:rPr>
          <w:rFonts w:hint="default" w:ascii="宋体" w:hAnsi="宋体" w:eastAsia="宋体" w:cs="宋体"/>
          <w:b w:val="0"/>
          <w:kern w:val="2"/>
          <w:sz w:val="21"/>
          <w:szCs w:val="21"/>
          <w:highlight w:val="none"/>
          <w:lang w:val="en-US" w:eastAsia="zh-CN" w:bidi="ar"/>
        </w:rPr>
      </w:pPr>
      <w:r>
        <w:rPr>
          <w:rFonts w:hint="eastAsia" w:ascii="宋体" w:hAnsi="宋体" w:eastAsia="宋体" w:cs="宋体"/>
          <w:b w:val="0"/>
          <w:kern w:val="2"/>
          <w:sz w:val="21"/>
          <w:szCs w:val="21"/>
          <w:highlight w:val="none"/>
          <w:lang w:val="en-US" w:eastAsia="zh-CN" w:bidi="ar"/>
        </w:rPr>
        <w:t>4. 乙方应保证甲方在享受乙方提供的产品及服务过程中，不会受到第三方的关于产权、知识产权、担保物权等侵权指控。否则，乙方应承担全部法律及赔偿责任。</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highlight w:val="none"/>
        </w:rPr>
      </w:pPr>
      <w:r>
        <w:rPr>
          <w:rFonts w:hint="eastAsia" w:ascii="宋体" w:hAnsi="宋体" w:eastAsia="宋体" w:cs="宋体"/>
          <w:b/>
          <w:bCs/>
          <w:kern w:val="2"/>
          <w:sz w:val="24"/>
          <w:szCs w:val="24"/>
          <w:highlight w:val="none"/>
          <w:lang w:val="en-US" w:eastAsia="zh-CN" w:bidi="ar"/>
        </w:rPr>
        <w:t>十、合同生效：</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
          <w:bCs/>
          <w:kern w:val="2"/>
          <w:sz w:val="21"/>
          <w:szCs w:val="21"/>
          <w:highlight w:val="none"/>
        </w:rPr>
      </w:pPr>
      <w:r>
        <w:rPr>
          <w:rFonts w:hint="eastAsia" w:ascii="宋体" w:hAnsi="宋体" w:eastAsia="宋体" w:cs="宋体"/>
          <w:kern w:val="2"/>
          <w:sz w:val="21"/>
          <w:szCs w:val="21"/>
          <w:highlight w:val="none"/>
          <w:lang w:val="en-US" w:eastAsia="zh-CN" w:bidi="ar"/>
        </w:rPr>
        <w:t xml:space="preserve"> 合同经双方法定代表人或授权代表签字并加盖单位公章或合同专用章后生效。</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bidi="ar"/>
        </w:rPr>
        <w:t>十一、合同的解除和转让：</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1.甲方和乙方协商一致，可以解除合同。</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2．有下列情形之一，合同一方可以解除合同：</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（1）因不可抗力致使不能实现合同目的，未受不可抗力影响的一方有权解除合同；</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（2）因合同一方违约导致合同不能履行，另一方有权解除合同。</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（3）甲方有权在出现以下情形时，单独解除合同，合同解除自书面解除通知到达乙方时生效：</w:t>
      </w:r>
    </w:p>
    <w:p>
      <w:pPr>
        <w:keepNext w:val="0"/>
        <w:keepLines w:val="0"/>
        <w:widowControl w:val="0"/>
        <w:suppressLineNumbers w:val="0"/>
        <w:spacing w:before="0" w:beforeAutospacing="0" w:after="0" w:afterAutospacing="0" w:line="360" w:lineRule="auto"/>
        <w:ind w:left="0" w:right="0" w:firstLine="495" w:firstLineChars="236"/>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（a）乙方逾期未完成约定义务超过</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日。</w:t>
      </w:r>
    </w:p>
    <w:p>
      <w:pPr>
        <w:keepNext w:val="0"/>
        <w:keepLines w:val="0"/>
        <w:widowControl w:val="0"/>
        <w:suppressLineNumbers w:val="0"/>
        <w:spacing w:before="0" w:beforeAutospacing="0" w:after="0" w:afterAutospacing="0" w:line="360" w:lineRule="auto"/>
        <w:ind w:left="0" w:right="0" w:firstLine="495" w:firstLineChars="236"/>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（b）乙方履行本合同约定义务时，未达到甲方要求，修改或整改超过</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次仍然无法达到甲方要求。</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3.双方除非事先得到对方的书面同意或本合同另有约定，任何一方不得将本合同项下的任何权利、义务、责任转让或分包给任何第三方。</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4.乙方应对甲方提供的资料具有保密义务，未经甲方同意，不得将与本合同的相关内容资料提供给其他单位和个人。如发生以上情况，甲方有权向乙方索赔一切损失。</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bidi="ar"/>
        </w:rPr>
        <w:t>十二、争议解决：</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甲乙双方因合同发生争议，签约双方应友好协商解决。协商不成，任何一方可以向合同签订地法院起诉，合同签订地在此约定为南京市。</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bidi="ar"/>
        </w:rPr>
        <w:t>十三、合同生效及其它：</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kern w:val="2"/>
          <w:sz w:val="21"/>
          <w:szCs w:val="21"/>
          <w:highlight w:val="none"/>
        </w:rPr>
      </w:pPr>
      <w:r>
        <w:rPr>
          <w:rFonts w:hint="eastAsia" w:ascii="宋体" w:hAnsi="宋体" w:eastAsia="宋体" w:cs="宋体"/>
          <w:kern w:val="2"/>
          <w:sz w:val="21"/>
          <w:szCs w:val="21"/>
          <w:highlight w:val="none"/>
          <w:lang w:val="en-US" w:eastAsia="zh-CN" w:bidi="ar"/>
        </w:rPr>
        <w:t>1.本合同未尽事宜，遵照《中华人民共和国民法典》有关条文执行。对本合同内容的任何修改和变更须由甲乙双方协商后达成书面补充协议，并经双方签字并加盖单位公章或合同专用章后生效。补充协议</w:t>
      </w:r>
      <w:r>
        <w:rPr>
          <w:rFonts w:hint="eastAsia" w:ascii="宋体" w:hAnsi="宋体" w:eastAsia="宋体" w:cs="宋体"/>
          <w:bCs/>
          <w:kern w:val="2"/>
          <w:sz w:val="21"/>
          <w:szCs w:val="21"/>
          <w:highlight w:val="none"/>
          <w:lang w:val="en-US" w:eastAsia="zh-CN" w:bidi="ar"/>
        </w:rPr>
        <w:t>与本合同具有同等法律效力。</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bCs/>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合同份数：本合同一式</w:t>
      </w:r>
      <w:r>
        <w:rPr>
          <w:rFonts w:hint="eastAsia" w:ascii="宋体" w:hAnsi="宋体" w:eastAsia="宋体" w:cs="宋体"/>
          <w:kern w:val="2"/>
          <w:sz w:val="21"/>
          <w:szCs w:val="21"/>
          <w:highlight w:val="none"/>
          <w:u w:val="single"/>
          <w:lang w:val="en-US" w:eastAsia="zh-CN" w:bidi="ar"/>
        </w:rPr>
        <w:tab/>
      </w:r>
      <w:r>
        <w:rPr>
          <w:rFonts w:hint="eastAsia" w:ascii="宋体" w:hAnsi="宋体" w:eastAsia="宋体" w:cs="宋体"/>
          <w:kern w:val="2"/>
          <w:sz w:val="21"/>
          <w:szCs w:val="21"/>
          <w:highlight w:val="none"/>
          <w:u w:val="single"/>
          <w:lang w:val="en-US" w:eastAsia="zh-CN" w:bidi="ar"/>
        </w:rPr>
        <w:tab/>
      </w:r>
      <w:r>
        <w:rPr>
          <w:rFonts w:hint="eastAsia" w:ascii="宋体" w:hAnsi="宋体" w:eastAsia="宋体" w:cs="宋体"/>
          <w:kern w:val="2"/>
          <w:sz w:val="21"/>
          <w:szCs w:val="21"/>
          <w:highlight w:val="none"/>
          <w:lang w:val="en-US" w:eastAsia="zh-CN" w:bidi="ar"/>
        </w:rPr>
        <w:t>份，具备同等法律效力。甲方执</w:t>
      </w:r>
      <w:r>
        <w:rPr>
          <w:rFonts w:hint="eastAsia" w:ascii="宋体" w:hAnsi="宋体" w:eastAsia="宋体" w:cs="宋体"/>
          <w:kern w:val="2"/>
          <w:sz w:val="21"/>
          <w:szCs w:val="21"/>
          <w:highlight w:val="none"/>
          <w:u w:val="single"/>
          <w:lang w:val="en-US" w:eastAsia="zh-CN" w:bidi="ar"/>
        </w:rPr>
        <w:tab/>
      </w:r>
      <w:r>
        <w:rPr>
          <w:rFonts w:hint="eastAsia" w:ascii="宋体" w:hAnsi="宋体" w:eastAsia="宋体" w:cs="宋体"/>
          <w:kern w:val="2"/>
          <w:sz w:val="21"/>
          <w:szCs w:val="21"/>
          <w:highlight w:val="none"/>
          <w:u w:val="single"/>
          <w:lang w:val="en-US" w:eastAsia="zh-CN" w:bidi="ar"/>
        </w:rPr>
        <w:tab/>
      </w:r>
      <w:r>
        <w:rPr>
          <w:rFonts w:hint="eastAsia" w:ascii="宋体" w:hAnsi="宋体" w:eastAsia="宋体" w:cs="宋体"/>
          <w:kern w:val="2"/>
          <w:sz w:val="21"/>
          <w:szCs w:val="21"/>
          <w:highlight w:val="none"/>
          <w:lang w:val="en-US" w:eastAsia="zh-CN" w:bidi="ar"/>
        </w:rPr>
        <w:t>份，乙方执</w:t>
      </w:r>
      <w:r>
        <w:rPr>
          <w:rFonts w:hint="eastAsia" w:ascii="宋体" w:hAnsi="宋体" w:eastAsia="宋体" w:cs="宋体"/>
          <w:kern w:val="2"/>
          <w:sz w:val="21"/>
          <w:szCs w:val="21"/>
          <w:highlight w:val="none"/>
          <w:u w:val="single"/>
          <w:lang w:val="en-US" w:eastAsia="zh-CN" w:bidi="ar"/>
        </w:rPr>
        <w:tab/>
      </w:r>
      <w:r>
        <w:rPr>
          <w:rFonts w:hint="eastAsia" w:ascii="宋体" w:hAnsi="宋体" w:eastAsia="宋体" w:cs="宋体"/>
          <w:kern w:val="2"/>
          <w:sz w:val="21"/>
          <w:szCs w:val="21"/>
          <w:highlight w:val="none"/>
          <w:u w:val="single"/>
          <w:lang w:val="en-US" w:eastAsia="zh-CN" w:bidi="ar"/>
        </w:rPr>
        <w:tab/>
      </w:r>
      <w:r>
        <w:rPr>
          <w:rFonts w:hint="eastAsia" w:ascii="宋体" w:hAnsi="宋体" w:eastAsia="宋体" w:cs="宋体"/>
          <w:kern w:val="2"/>
          <w:sz w:val="21"/>
          <w:szCs w:val="21"/>
          <w:highlight w:val="none"/>
          <w:lang w:val="en-US" w:eastAsia="zh-CN" w:bidi="ar"/>
        </w:rPr>
        <w:t>份。</w:t>
      </w:r>
    </w:p>
    <w:p>
      <w:pPr>
        <w:keepNext w:val="0"/>
        <w:keepLines w:val="0"/>
        <w:widowControl w:val="0"/>
        <w:suppressLineNumbers w:val="0"/>
        <w:spacing w:before="0" w:beforeAutospacing="0" w:after="0" w:afterAutospacing="0" w:line="360" w:lineRule="auto"/>
        <w:ind w:left="0" w:right="0" w:firstLine="420" w:firstLineChars="200"/>
        <w:jc w:val="left"/>
        <w:rPr>
          <w:rFonts w:hint="default" w:ascii="Times New Roman" w:hAnsi="宋体" w:cs="Times New Roman"/>
          <w:kern w:val="2"/>
          <w:sz w:val="21"/>
          <w:szCs w:val="21"/>
          <w:highlight w:val="none"/>
        </w:rPr>
      </w:pPr>
      <w:r>
        <w:rPr>
          <w:rFonts w:hint="default" w:ascii="Times New Roman" w:hAnsi="Times New Roman" w:eastAsia="宋体" w:cs="Times New Roman"/>
          <w:kern w:val="2"/>
          <w:sz w:val="21"/>
          <w:szCs w:val="21"/>
          <w:highlight w:val="none"/>
          <w:lang w:val="en-US" w:eastAsia="zh-CN" w:bidi="ar"/>
        </w:rPr>
        <w:t>3</w:t>
      </w:r>
      <w:r>
        <w:rPr>
          <w:rFonts w:hint="eastAsia" w:ascii="宋体" w:hAnsi="宋体" w:eastAsia="宋体" w:cs="宋体"/>
          <w:bCs/>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其它约定：</w:t>
      </w:r>
    </w:p>
    <w:p>
      <w:pPr>
        <w:keepNext w:val="0"/>
        <w:keepLines w:val="0"/>
        <w:widowControl w:val="0"/>
        <w:suppressLineNumbers w:val="0"/>
        <w:spacing w:before="0" w:beforeAutospacing="0" w:after="0" w:afterAutospacing="0" w:line="360" w:lineRule="auto"/>
        <w:ind w:left="0" w:right="0"/>
        <w:jc w:val="left"/>
        <w:rPr>
          <w:rFonts w:hint="default" w:ascii="Times New Roman" w:hAnsi="宋体" w:cs="Times New Roman"/>
          <w:kern w:val="2"/>
          <w:sz w:val="21"/>
          <w:szCs w:val="21"/>
          <w:highlight w:val="none"/>
        </w:rPr>
      </w:pPr>
      <w:r>
        <w:rPr>
          <w:rFonts w:hint="default" w:ascii="Times New Roman" w:hAnsi="宋体" w:eastAsia="宋体" w:cs="Times New Roman"/>
          <w:kern w:val="2"/>
          <w:sz w:val="21"/>
          <w:szCs w:val="21"/>
          <w:highlight w:val="none"/>
          <w:lang w:val="en-US" w:eastAsia="zh-CN" w:bidi="ar"/>
        </w:rPr>
        <w:t xml:space="preserve"> </w:t>
      </w:r>
    </w:p>
    <w:p>
      <w:pPr>
        <w:pStyle w:val="10"/>
        <w:widowControl/>
        <w:snapToGrid w:val="0"/>
        <w:spacing w:line="360" w:lineRule="auto"/>
        <w:ind w:left="420" w:hanging="420" w:hanging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甲方：                              乙方： </w:t>
      </w:r>
    </w:p>
    <w:p>
      <w:pPr>
        <w:pStyle w:val="10"/>
        <w:widowControl/>
        <w:snapToGrid w:val="0"/>
        <w:spacing w:line="360" w:lineRule="auto"/>
        <w:ind w:left="4725" w:hanging="4725" w:hangingChars="225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地址：                              地址：</w:t>
      </w:r>
    </w:p>
    <w:p>
      <w:pPr>
        <w:pStyle w:val="10"/>
        <w:widowControl/>
        <w:snapToGrid w:val="0"/>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法定代表人或授权代表                法定代表人或授权代表</w:t>
      </w:r>
    </w:p>
    <w:p>
      <w:pPr>
        <w:pStyle w:val="10"/>
        <w:widowControl/>
        <w:snapToGrid w:val="0"/>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（签字、盖章）：                    （签字、盖章）：</w:t>
      </w:r>
    </w:p>
    <w:p>
      <w:pPr>
        <w:pStyle w:val="10"/>
        <w:widowControl/>
        <w:snapToGrid w:val="0"/>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 </w:t>
      </w:r>
    </w:p>
    <w:p>
      <w:pPr>
        <w:pStyle w:val="10"/>
        <w:widowControl/>
        <w:snapToGrid w:val="0"/>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纳税人识别号：                      纳税人识别号</w:t>
      </w:r>
    </w:p>
    <w:p>
      <w:pPr>
        <w:pStyle w:val="10"/>
        <w:widowControl/>
        <w:snapToGrid w:val="0"/>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开户行及账号：                      开户行及账号</w:t>
      </w:r>
    </w:p>
    <w:p>
      <w:pPr>
        <w:pStyle w:val="10"/>
        <w:widowControl/>
        <w:snapToGrid w:val="0"/>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联系电话：                          联系电话：</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pPr>
        <w:pStyle w:val="3"/>
        <w:widowControl/>
        <w:spacing w:line="420" w:lineRule="exact"/>
        <w:rPr>
          <w:rFonts w:cs="仿宋"/>
          <w:sz w:val="24"/>
          <w:highlight w:val="none"/>
        </w:rPr>
      </w:pPr>
      <w:r>
        <w:rPr>
          <w:rFonts w:hint="default" w:ascii="楷体_GB2312" w:hAnsi="宋体" w:eastAsia="楷体_GB2312" w:cs="楷体_GB2312"/>
          <w:kern w:val="2"/>
          <w:sz w:val="21"/>
          <w:szCs w:val="21"/>
          <w:highlight w:val="none"/>
        </w:rPr>
        <w:t>签订日期：</w:t>
      </w:r>
      <w:r>
        <w:rPr>
          <w:rFonts w:hint="eastAsia" w:ascii="宋体" w:hAnsi="宋体" w:eastAsia="楷体_GB2312" w:cs="宋体"/>
          <w:kern w:val="2"/>
          <w:sz w:val="21"/>
          <w:szCs w:val="21"/>
          <w:highlight w:val="none"/>
        </w:rPr>
        <w:t xml:space="preserve">      </w:t>
      </w:r>
      <w:r>
        <w:rPr>
          <w:rFonts w:hint="default" w:ascii="楷体_GB2312" w:hAnsi="宋体" w:eastAsia="楷体_GB2312" w:cs="楷体_GB2312"/>
          <w:kern w:val="2"/>
          <w:sz w:val="21"/>
          <w:szCs w:val="21"/>
          <w:highlight w:val="none"/>
        </w:rPr>
        <w:t>年</w:t>
      </w:r>
      <w:r>
        <w:rPr>
          <w:rFonts w:hint="eastAsia" w:ascii="宋体" w:hAnsi="宋体" w:eastAsia="楷体_GB2312" w:cs="宋体"/>
          <w:kern w:val="2"/>
          <w:sz w:val="21"/>
          <w:szCs w:val="21"/>
          <w:highlight w:val="none"/>
        </w:rPr>
        <w:t xml:space="preserve">   </w:t>
      </w:r>
      <w:r>
        <w:rPr>
          <w:rFonts w:hint="default" w:ascii="楷体_GB2312" w:hAnsi="宋体" w:eastAsia="楷体_GB2312" w:cs="楷体_GB2312"/>
          <w:kern w:val="2"/>
          <w:sz w:val="21"/>
          <w:szCs w:val="21"/>
          <w:highlight w:val="none"/>
        </w:rPr>
        <w:t>月</w:t>
      </w:r>
      <w:r>
        <w:rPr>
          <w:rFonts w:hint="eastAsia" w:ascii="宋体" w:hAnsi="宋体" w:eastAsia="楷体_GB2312" w:cs="宋体"/>
          <w:kern w:val="2"/>
          <w:sz w:val="21"/>
          <w:szCs w:val="21"/>
          <w:highlight w:val="none"/>
        </w:rPr>
        <w:t xml:space="preserve">  </w:t>
      </w:r>
      <w:bookmarkStart w:id="11" w:name="_GoBack"/>
      <w:bookmarkEnd w:id="11"/>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SFEIH+StoneSans">
    <w:altName w:val="新宋体"/>
    <w:panose1 w:val="00000000000000000000"/>
    <w:charset w:val="86"/>
    <w:family w:val="swiss"/>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Open Sans Light">
    <w:altName w:val="Segoe Print"/>
    <w:panose1 w:val="00000000000000000000"/>
    <w:charset w:val="00"/>
    <w:family w:val="swiss"/>
    <w:pitch w:val="default"/>
    <w:sig w:usb0="00000000" w:usb1="00000000" w:usb2="00000028" w:usb3="00000000" w:csb0="000001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Lucida Sans Unicode">
    <w:panose1 w:val="020B0602030504020204"/>
    <w:charset w:val="00"/>
    <w:family w:val="swiss"/>
    <w:pitch w:val="default"/>
    <w:sig w:usb0="80001AFF" w:usb1="0000396B" w:usb2="00000000" w:usb3="00000000" w:csb0="200000BF" w:csb1="D7F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25</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26</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rPr>
      <w:t>2年招标文件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33779"/>
    <w:multiLevelType w:val="multilevel"/>
    <w:tmpl w:val="13D3377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234DF4AC"/>
    <w:multiLevelType w:val="singleLevel"/>
    <w:tmpl w:val="234DF4AC"/>
    <w:lvl w:ilvl="0" w:tentative="0">
      <w:start w:val="1"/>
      <w:numFmt w:val="decimal"/>
      <w:suff w:val="nothing"/>
      <w:lvlText w:val="%1、"/>
      <w:lvlJc w:val="left"/>
    </w:lvl>
  </w:abstractNum>
  <w:abstractNum w:abstractNumId="2">
    <w:nsid w:val="65B3604B"/>
    <w:multiLevelType w:val="multilevel"/>
    <w:tmpl w:val="65B3604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444A7CD"/>
    <w:multiLevelType w:val="singleLevel"/>
    <w:tmpl w:val="7444A7CD"/>
    <w:lvl w:ilvl="0" w:tentative="0">
      <w:start w:val="1"/>
      <w:numFmt w:val="decimal"/>
      <w:lvlText w:val="%1."/>
      <w:lvlJc w:val="left"/>
      <w:pPr>
        <w:tabs>
          <w:tab w:val="left" w:pos="312"/>
        </w:tabs>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MTlkYWQ1MDQxY2M5NTRlNzE5NDZkZmRiZWE0ZjEifQ=="/>
  </w:docVars>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145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40C4"/>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28AA"/>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371E"/>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E5E2D"/>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08B5"/>
    <w:rsid w:val="00531000"/>
    <w:rsid w:val="0053114F"/>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2AA"/>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0F8A"/>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2EA8"/>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D38"/>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024"/>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4D9F"/>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3AF"/>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3019"/>
    <w:rsid w:val="00DC414F"/>
    <w:rsid w:val="00DC43B5"/>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1E62"/>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107"/>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18204A8"/>
    <w:rsid w:val="036159EE"/>
    <w:rsid w:val="05B517B2"/>
    <w:rsid w:val="0666393D"/>
    <w:rsid w:val="078D73D6"/>
    <w:rsid w:val="07D33D16"/>
    <w:rsid w:val="09637941"/>
    <w:rsid w:val="0B675B31"/>
    <w:rsid w:val="0BDF51D7"/>
    <w:rsid w:val="0C3615C8"/>
    <w:rsid w:val="0C4861BD"/>
    <w:rsid w:val="0C7E7AA1"/>
    <w:rsid w:val="0CFE3A2E"/>
    <w:rsid w:val="0D3F7CB2"/>
    <w:rsid w:val="0D873213"/>
    <w:rsid w:val="0D9425DE"/>
    <w:rsid w:val="0D99361C"/>
    <w:rsid w:val="107D340A"/>
    <w:rsid w:val="10EB4170"/>
    <w:rsid w:val="10F05838"/>
    <w:rsid w:val="113C24CA"/>
    <w:rsid w:val="119D0D41"/>
    <w:rsid w:val="11D57EAE"/>
    <w:rsid w:val="12162C3B"/>
    <w:rsid w:val="130F1D58"/>
    <w:rsid w:val="145263CB"/>
    <w:rsid w:val="146723C1"/>
    <w:rsid w:val="14896182"/>
    <w:rsid w:val="155010AB"/>
    <w:rsid w:val="15572C10"/>
    <w:rsid w:val="15737A45"/>
    <w:rsid w:val="1584594C"/>
    <w:rsid w:val="15907301"/>
    <w:rsid w:val="15A069B5"/>
    <w:rsid w:val="15A90346"/>
    <w:rsid w:val="15B24E31"/>
    <w:rsid w:val="162D4D4B"/>
    <w:rsid w:val="16AA09BD"/>
    <w:rsid w:val="175B0ACD"/>
    <w:rsid w:val="17652C65"/>
    <w:rsid w:val="17833DE3"/>
    <w:rsid w:val="19775424"/>
    <w:rsid w:val="1A241EC0"/>
    <w:rsid w:val="1AE96A89"/>
    <w:rsid w:val="1C121D57"/>
    <w:rsid w:val="1C4A137C"/>
    <w:rsid w:val="1C524BB8"/>
    <w:rsid w:val="1C8F1DE9"/>
    <w:rsid w:val="1DA871CA"/>
    <w:rsid w:val="1F11313D"/>
    <w:rsid w:val="1F354D1E"/>
    <w:rsid w:val="1F956998"/>
    <w:rsid w:val="1FA31BDA"/>
    <w:rsid w:val="20DC5C02"/>
    <w:rsid w:val="20DE7ECC"/>
    <w:rsid w:val="20FE711F"/>
    <w:rsid w:val="21241474"/>
    <w:rsid w:val="21A70E96"/>
    <w:rsid w:val="223236E9"/>
    <w:rsid w:val="225E4DAF"/>
    <w:rsid w:val="22891E2D"/>
    <w:rsid w:val="22A743B8"/>
    <w:rsid w:val="22D33607"/>
    <w:rsid w:val="23FD2509"/>
    <w:rsid w:val="243943F8"/>
    <w:rsid w:val="24E05430"/>
    <w:rsid w:val="267A7579"/>
    <w:rsid w:val="272231F7"/>
    <w:rsid w:val="27961F1E"/>
    <w:rsid w:val="27AD7C03"/>
    <w:rsid w:val="285451EF"/>
    <w:rsid w:val="28C46277"/>
    <w:rsid w:val="29062B05"/>
    <w:rsid w:val="29127A38"/>
    <w:rsid w:val="2A582A8B"/>
    <w:rsid w:val="2AAA7342"/>
    <w:rsid w:val="2AB43BC5"/>
    <w:rsid w:val="2B556F15"/>
    <w:rsid w:val="2B7F4BC3"/>
    <w:rsid w:val="2C327498"/>
    <w:rsid w:val="2CE81BAF"/>
    <w:rsid w:val="2CE81CFA"/>
    <w:rsid w:val="2DAC05D8"/>
    <w:rsid w:val="2DE728EA"/>
    <w:rsid w:val="2E726843"/>
    <w:rsid w:val="2EDC02FF"/>
    <w:rsid w:val="2EE87C86"/>
    <w:rsid w:val="2EEC5388"/>
    <w:rsid w:val="3172033E"/>
    <w:rsid w:val="3227588C"/>
    <w:rsid w:val="325F6558"/>
    <w:rsid w:val="331653E5"/>
    <w:rsid w:val="341C30A3"/>
    <w:rsid w:val="351529A9"/>
    <w:rsid w:val="355A74E9"/>
    <w:rsid w:val="35FD1F7A"/>
    <w:rsid w:val="36616918"/>
    <w:rsid w:val="366D672C"/>
    <w:rsid w:val="3676129B"/>
    <w:rsid w:val="36E3150F"/>
    <w:rsid w:val="3836614A"/>
    <w:rsid w:val="384A4707"/>
    <w:rsid w:val="385D644E"/>
    <w:rsid w:val="38F33167"/>
    <w:rsid w:val="39C83C69"/>
    <w:rsid w:val="39CE5E1D"/>
    <w:rsid w:val="3A9701E9"/>
    <w:rsid w:val="3B4244C5"/>
    <w:rsid w:val="3C003247"/>
    <w:rsid w:val="3C8E6F2D"/>
    <w:rsid w:val="3D107E76"/>
    <w:rsid w:val="3D6145DC"/>
    <w:rsid w:val="3E206FD9"/>
    <w:rsid w:val="3E495BEB"/>
    <w:rsid w:val="3E4D47B1"/>
    <w:rsid w:val="3E5E0082"/>
    <w:rsid w:val="3EDB4EA4"/>
    <w:rsid w:val="3F9F3463"/>
    <w:rsid w:val="3FC31914"/>
    <w:rsid w:val="405D6728"/>
    <w:rsid w:val="40FD6FDA"/>
    <w:rsid w:val="41110191"/>
    <w:rsid w:val="414A37BB"/>
    <w:rsid w:val="41B45A04"/>
    <w:rsid w:val="42643A73"/>
    <w:rsid w:val="42AA1012"/>
    <w:rsid w:val="43FB66E3"/>
    <w:rsid w:val="44DC7F4B"/>
    <w:rsid w:val="45651876"/>
    <w:rsid w:val="45CC523B"/>
    <w:rsid w:val="466F6CEB"/>
    <w:rsid w:val="46AA377D"/>
    <w:rsid w:val="48384CA3"/>
    <w:rsid w:val="49363676"/>
    <w:rsid w:val="49713AA7"/>
    <w:rsid w:val="499A2688"/>
    <w:rsid w:val="49D47D5A"/>
    <w:rsid w:val="49F62026"/>
    <w:rsid w:val="4A4B48E3"/>
    <w:rsid w:val="4B1A7369"/>
    <w:rsid w:val="4B5137BF"/>
    <w:rsid w:val="4D774E55"/>
    <w:rsid w:val="4DA86B45"/>
    <w:rsid w:val="4E3720DD"/>
    <w:rsid w:val="4F2A1DC2"/>
    <w:rsid w:val="4F510F39"/>
    <w:rsid w:val="4FAF38AA"/>
    <w:rsid w:val="51497070"/>
    <w:rsid w:val="51E025FE"/>
    <w:rsid w:val="52922F88"/>
    <w:rsid w:val="52AA4A52"/>
    <w:rsid w:val="52FD675A"/>
    <w:rsid w:val="532B7AD5"/>
    <w:rsid w:val="53D80FA7"/>
    <w:rsid w:val="542D758B"/>
    <w:rsid w:val="5448002A"/>
    <w:rsid w:val="5473349C"/>
    <w:rsid w:val="549E05E7"/>
    <w:rsid w:val="54A3797A"/>
    <w:rsid w:val="54B6223B"/>
    <w:rsid w:val="54BB3E3A"/>
    <w:rsid w:val="54E15A0F"/>
    <w:rsid w:val="55344B23"/>
    <w:rsid w:val="56732DC5"/>
    <w:rsid w:val="56C21B98"/>
    <w:rsid w:val="57360F05"/>
    <w:rsid w:val="581F495D"/>
    <w:rsid w:val="58484116"/>
    <w:rsid w:val="58592954"/>
    <w:rsid w:val="58DA78C0"/>
    <w:rsid w:val="58E017CC"/>
    <w:rsid w:val="5A770570"/>
    <w:rsid w:val="5AC643F3"/>
    <w:rsid w:val="5AC859BF"/>
    <w:rsid w:val="5B4C17F1"/>
    <w:rsid w:val="5BCB750F"/>
    <w:rsid w:val="5C0F2072"/>
    <w:rsid w:val="5CFC1D50"/>
    <w:rsid w:val="5D61217D"/>
    <w:rsid w:val="5E6C25B6"/>
    <w:rsid w:val="5E84123F"/>
    <w:rsid w:val="5F0028BB"/>
    <w:rsid w:val="5F2528F6"/>
    <w:rsid w:val="5F6B47AC"/>
    <w:rsid w:val="5F9764C2"/>
    <w:rsid w:val="603300A7"/>
    <w:rsid w:val="607E0927"/>
    <w:rsid w:val="60D968DA"/>
    <w:rsid w:val="60F41422"/>
    <w:rsid w:val="619D5BCC"/>
    <w:rsid w:val="62107539"/>
    <w:rsid w:val="6233128F"/>
    <w:rsid w:val="62635DDC"/>
    <w:rsid w:val="62FE3555"/>
    <w:rsid w:val="63D7368B"/>
    <w:rsid w:val="63EA24F1"/>
    <w:rsid w:val="657A0549"/>
    <w:rsid w:val="66521231"/>
    <w:rsid w:val="665A104A"/>
    <w:rsid w:val="66ED444E"/>
    <w:rsid w:val="67484273"/>
    <w:rsid w:val="68A603CF"/>
    <w:rsid w:val="68AA7E13"/>
    <w:rsid w:val="69D32689"/>
    <w:rsid w:val="69E27B06"/>
    <w:rsid w:val="69EA623B"/>
    <w:rsid w:val="6A0F3694"/>
    <w:rsid w:val="6A5445FC"/>
    <w:rsid w:val="6A5C1E75"/>
    <w:rsid w:val="6AB76CFB"/>
    <w:rsid w:val="6ABA08C1"/>
    <w:rsid w:val="6BC1702A"/>
    <w:rsid w:val="6C282248"/>
    <w:rsid w:val="6CBD55AC"/>
    <w:rsid w:val="6DE636A7"/>
    <w:rsid w:val="6DE86594"/>
    <w:rsid w:val="6E5C2511"/>
    <w:rsid w:val="6FDA02F7"/>
    <w:rsid w:val="718764FD"/>
    <w:rsid w:val="725831A5"/>
    <w:rsid w:val="733E5017"/>
    <w:rsid w:val="73567625"/>
    <w:rsid w:val="73607DE9"/>
    <w:rsid w:val="73711235"/>
    <w:rsid w:val="753E278B"/>
    <w:rsid w:val="75BE6EB5"/>
    <w:rsid w:val="7815375E"/>
    <w:rsid w:val="790D6252"/>
    <w:rsid w:val="7AE40810"/>
    <w:rsid w:val="7B0749C7"/>
    <w:rsid w:val="7BBB6C68"/>
    <w:rsid w:val="7C574749"/>
    <w:rsid w:val="7C8E2CF6"/>
    <w:rsid w:val="7C967B8B"/>
    <w:rsid w:val="7CD015B7"/>
    <w:rsid w:val="7E4931C0"/>
    <w:rsid w:val="7E7248EE"/>
    <w:rsid w:val="7EEF6C2A"/>
    <w:rsid w:val="7F074C20"/>
    <w:rsid w:val="7F363A3A"/>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99"/>
    <w:pPr>
      <w:keepNext/>
      <w:keepLines/>
      <w:spacing w:before="340" w:after="330" w:line="578" w:lineRule="auto"/>
      <w:outlineLvl w:val="0"/>
    </w:pPr>
    <w:rPr>
      <w:b/>
      <w:kern w:val="44"/>
      <w:sz w:val="44"/>
      <w:szCs w:val="20"/>
    </w:rPr>
  </w:style>
  <w:style w:type="paragraph" w:styleId="2">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locked/>
    <w:uiPriority w:val="0"/>
    <w:pPr>
      <w:ind w:firstLine="420"/>
    </w:pPr>
  </w:style>
  <w:style w:type="paragraph" w:styleId="5">
    <w:name w:val="annotation text"/>
    <w:basedOn w:val="1"/>
    <w:link w:val="24"/>
    <w:qFormat/>
    <w:uiPriority w:val="99"/>
    <w:pPr>
      <w:jc w:val="left"/>
    </w:pPr>
    <w:rPr>
      <w:sz w:val="24"/>
      <w:szCs w:val="20"/>
    </w:rPr>
  </w:style>
  <w:style w:type="paragraph" w:styleId="6">
    <w:name w:val="Body Text"/>
    <w:basedOn w:val="1"/>
    <w:link w:val="43"/>
    <w:unhideWhenUsed/>
    <w:qFormat/>
    <w:locked/>
    <w:uiPriority w:val="99"/>
    <w:pPr>
      <w:spacing w:after="120"/>
    </w:pPr>
  </w:style>
  <w:style w:type="paragraph" w:styleId="7">
    <w:name w:val="Body Text Indent"/>
    <w:basedOn w:val="1"/>
    <w:link w:val="25"/>
    <w:qFormat/>
    <w:uiPriority w:val="99"/>
    <w:pPr>
      <w:ind w:firstLine="575" w:firstLineChars="274"/>
    </w:pPr>
    <w:rPr>
      <w:rFonts w:ascii="等线" w:eastAsia="等线"/>
      <w:sz w:val="22"/>
      <w:szCs w:val="20"/>
    </w:rPr>
  </w:style>
  <w:style w:type="paragraph" w:styleId="8">
    <w:name w:val="Block Text"/>
    <w:basedOn w:val="1"/>
    <w:unhideWhenUsed/>
    <w:qFormat/>
    <w:locked/>
    <w:uiPriority w:val="99"/>
    <w:pPr>
      <w:spacing w:after="120"/>
      <w:ind w:left="1440" w:leftChars="700" w:right="1440" w:rightChars="700"/>
    </w:p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26"/>
    <w:qFormat/>
    <w:uiPriority w:val="0"/>
    <w:rPr>
      <w:rFonts w:ascii="宋体" w:hAnsi="Courier New"/>
      <w:szCs w:val="20"/>
    </w:rPr>
  </w:style>
  <w:style w:type="paragraph" w:styleId="11">
    <w:name w:val="Date"/>
    <w:basedOn w:val="1"/>
    <w:next w:val="1"/>
    <w:link w:val="27"/>
    <w:qFormat/>
    <w:uiPriority w:val="99"/>
    <w:pPr>
      <w:ind w:left="100" w:leftChars="2500"/>
    </w:pPr>
    <w:rPr>
      <w:sz w:val="24"/>
      <w:szCs w:val="20"/>
    </w:rPr>
  </w:style>
  <w:style w:type="paragraph" w:styleId="12">
    <w:name w:val="Balloon Text"/>
    <w:basedOn w:val="1"/>
    <w:link w:val="28"/>
    <w:semiHidden/>
    <w:qFormat/>
    <w:uiPriority w:val="99"/>
    <w:rPr>
      <w:kern w:val="0"/>
      <w:sz w:val="2"/>
      <w:szCs w:val="20"/>
    </w:rPr>
  </w:style>
  <w:style w:type="paragraph" w:styleId="13">
    <w:name w:val="footer"/>
    <w:basedOn w:val="1"/>
    <w:link w:val="29"/>
    <w:qFormat/>
    <w:uiPriority w:val="99"/>
    <w:pPr>
      <w:tabs>
        <w:tab w:val="center" w:pos="4153"/>
        <w:tab w:val="right" w:pos="8306"/>
      </w:tabs>
      <w:snapToGrid w:val="0"/>
      <w:jc w:val="left"/>
    </w:pPr>
    <w:rPr>
      <w:kern w:val="0"/>
      <w:sz w:val="18"/>
      <w:szCs w:val="18"/>
    </w:rPr>
  </w:style>
  <w:style w:type="paragraph" w:styleId="14">
    <w:name w:val="header"/>
    <w:basedOn w:val="1"/>
    <w:link w:val="30"/>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5"/>
    <w:next w:val="5"/>
    <w:link w:val="31"/>
    <w:qFormat/>
    <w:uiPriority w:val="99"/>
    <w:rPr>
      <w:b/>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locked/>
    <w:uiPriority w:val="0"/>
  </w:style>
  <w:style w:type="character" w:styleId="21">
    <w:name w:val="Hyperlink"/>
    <w:qFormat/>
    <w:uiPriority w:val="99"/>
    <w:rPr>
      <w:rFonts w:cs="Times New Roman"/>
      <w:color w:val="0563C1"/>
      <w:u w:val="single"/>
    </w:rPr>
  </w:style>
  <w:style w:type="character" w:styleId="22">
    <w:name w:val="annotation reference"/>
    <w:basedOn w:val="19"/>
    <w:qFormat/>
    <w:uiPriority w:val="99"/>
    <w:rPr>
      <w:rFonts w:cs="Times New Roman"/>
      <w:sz w:val="21"/>
    </w:rPr>
  </w:style>
  <w:style w:type="character" w:customStyle="1" w:styleId="23">
    <w:name w:val="标题 1 字符"/>
    <w:link w:val="3"/>
    <w:qFormat/>
    <w:locked/>
    <w:uiPriority w:val="99"/>
    <w:rPr>
      <w:rFonts w:cs="Times New Roman"/>
      <w:b/>
      <w:kern w:val="44"/>
      <w:sz w:val="44"/>
    </w:rPr>
  </w:style>
  <w:style w:type="character" w:customStyle="1" w:styleId="24">
    <w:name w:val="批注文字 字符"/>
    <w:link w:val="5"/>
    <w:qFormat/>
    <w:locked/>
    <w:uiPriority w:val="99"/>
    <w:rPr>
      <w:rFonts w:cs="Times New Roman"/>
      <w:kern w:val="2"/>
      <w:sz w:val="24"/>
    </w:rPr>
  </w:style>
  <w:style w:type="character" w:customStyle="1" w:styleId="25">
    <w:name w:val="正文文本缩进 字符"/>
    <w:link w:val="7"/>
    <w:qFormat/>
    <w:locked/>
    <w:uiPriority w:val="99"/>
    <w:rPr>
      <w:rFonts w:ascii="等线" w:eastAsia="等线" w:cs="Times New Roman"/>
      <w:kern w:val="2"/>
      <w:sz w:val="22"/>
    </w:rPr>
  </w:style>
  <w:style w:type="character" w:customStyle="1" w:styleId="26">
    <w:name w:val="纯文本 字符"/>
    <w:link w:val="10"/>
    <w:qFormat/>
    <w:locked/>
    <w:uiPriority w:val="0"/>
    <w:rPr>
      <w:rFonts w:ascii="宋体" w:hAnsi="Courier New" w:cs="Times New Roman"/>
      <w:kern w:val="2"/>
      <w:sz w:val="21"/>
    </w:rPr>
  </w:style>
  <w:style w:type="character" w:customStyle="1" w:styleId="27">
    <w:name w:val="日期 字符"/>
    <w:link w:val="11"/>
    <w:qFormat/>
    <w:locked/>
    <w:uiPriority w:val="99"/>
    <w:rPr>
      <w:rFonts w:cs="Times New Roman"/>
      <w:kern w:val="2"/>
      <w:sz w:val="24"/>
    </w:rPr>
  </w:style>
  <w:style w:type="character" w:customStyle="1" w:styleId="28">
    <w:name w:val="批注框文本 字符"/>
    <w:link w:val="12"/>
    <w:semiHidden/>
    <w:qFormat/>
    <w:locked/>
    <w:uiPriority w:val="99"/>
    <w:rPr>
      <w:rFonts w:cs="Times New Roman"/>
      <w:sz w:val="2"/>
    </w:rPr>
  </w:style>
  <w:style w:type="character" w:customStyle="1" w:styleId="29">
    <w:name w:val="页脚 字符"/>
    <w:link w:val="13"/>
    <w:semiHidden/>
    <w:qFormat/>
    <w:locked/>
    <w:uiPriority w:val="99"/>
    <w:rPr>
      <w:rFonts w:cs="Times New Roman"/>
      <w:sz w:val="18"/>
      <w:szCs w:val="18"/>
    </w:rPr>
  </w:style>
  <w:style w:type="character" w:customStyle="1" w:styleId="30">
    <w:name w:val="页眉 字符"/>
    <w:link w:val="14"/>
    <w:qFormat/>
    <w:locked/>
    <w:uiPriority w:val="99"/>
    <w:rPr>
      <w:rFonts w:cs="Times New Roman"/>
      <w:kern w:val="2"/>
      <w:sz w:val="18"/>
    </w:rPr>
  </w:style>
  <w:style w:type="character" w:customStyle="1" w:styleId="31">
    <w:name w:val="批注主题 字符"/>
    <w:link w:val="16"/>
    <w:qFormat/>
    <w:locked/>
    <w:uiPriority w:val="99"/>
    <w:rPr>
      <w:rFonts w:cs="Times New Roman"/>
      <w:b/>
      <w:kern w:val="2"/>
      <w:sz w:val="24"/>
    </w:rPr>
  </w:style>
  <w:style w:type="paragraph" w:customStyle="1" w:styleId="32">
    <w:name w:val="Char"/>
    <w:basedOn w:val="1"/>
    <w:qFormat/>
    <w:uiPriority w:val="99"/>
    <w:pPr>
      <w:tabs>
        <w:tab w:val="left" w:pos="360"/>
      </w:tabs>
    </w:pPr>
    <w:rPr>
      <w:sz w:val="24"/>
    </w:rPr>
  </w:style>
  <w:style w:type="character" w:customStyle="1" w:styleId="33">
    <w:name w:val="列表段落 字符"/>
    <w:link w:val="34"/>
    <w:qFormat/>
    <w:locked/>
    <w:uiPriority w:val="0"/>
  </w:style>
  <w:style w:type="paragraph" w:styleId="34">
    <w:name w:val="List Paragraph"/>
    <w:basedOn w:val="1"/>
    <w:link w:val="33"/>
    <w:qFormat/>
    <w:uiPriority w:val="34"/>
    <w:pPr>
      <w:widowControl/>
      <w:ind w:firstLine="420" w:firstLineChars="200"/>
      <w:jc w:val="left"/>
    </w:pPr>
    <w:rPr>
      <w:kern w:val="0"/>
      <w:sz w:val="20"/>
      <w:szCs w:val="20"/>
    </w:rPr>
  </w:style>
  <w:style w:type="table" w:customStyle="1" w:styleId="35">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Placeholder Text"/>
    <w:semiHidden/>
    <w:qFormat/>
    <w:uiPriority w:val="99"/>
    <w:rPr>
      <w:rFonts w:cs="Times New Roman"/>
      <w:color w:val="808080"/>
    </w:rPr>
  </w:style>
  <w:style w:type="paragraph" w:customStyle="1" w:styleId="37">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8">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9">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0">
    <w:name w:val="列出段落2"/>
    <w:basedOn w:val="1"/>
    <w:qFormat/>
    <w:uiPriority w:val="99"/>
    <w:pPr>
      <w:ind w:firstLine="420" w:firstLineChars="200"/>
    </w:pPr>
    <w:rPr>
      <w:rFonts w:ascii="Calibri" w:hAnsi="Calibri"/>
      <w:szCs w:val="22"/>
    </w:rPr>
  </w:style>
  <w:style w:type="character" w:customStyle="1" w:styleId="41">
    <w:name w:val="标题 2 Char Char Char"/>
    <w:qFormat/>
    <w:uiPriority w:val="99"/>
    <w:rPr>
      <w:rFonts w:ascii="Arial" w:hAnsi="Arial" w:eastAsia="黑体"/>
      <w:b/>
      <w:kern w:val="2"/>
      <w:sz w:val="32"/>
      <w:lang w:val="en-US" w:eastAsia="zh-CN"/>
    </w:rPr>
  </w:style>
  <w:style w:type="paragraph" w:customStyle="1" w:styleId="42">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3">
    <w:name w:val="正文文本 字符"/>
    <w:link w:val="6"/>
    <w:qFormat/>
    <w:uiPriority w:val="99"/>
    <w:rPr>
      <w:kern w:val="2"/>
      <w:sz w:val="21"/>
      <w:szCs w:val="24"/>
    </w:rPr>
  </w:style>
  <w:style w:type="paragraph" w:customStyle="1" w:styleId="44">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5">
    <w:name w:val="正文2"/>
    <w:basedOn w:val="1"/>
    <w:qFormat/>
    <w:uiPriority w:val="0"/>
    <w:pPr>
      <w:spacing w:before="156" w:line="360" w:lineRule="auto"/>
      <w:ind w:firstLine="510" w:firstLineChars="200"/>
    </w:pPr>
    <w:rPr>
      <w:sz w:val="24"/>
    </w:rPr>
  </w:style>
  <w:style w:type="paragraph" w:customStyle="1" w:styleId="46">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7">
    <w:name w:val="A9"/>
    <w:qFormat/>
    <w:uiPriority w:val="0"/>
    <w:rPr>
      <w:rFonts w:cs="PSFEIH+StoneSans"/>
      <w:color w:val="262424"/>
      <w:sz w:val="20"/>
      <w:szCs w:val="20"/>
    </w:rPr>
  </w:style>
  <w:style w:type="paragraph" w:customStyle="1" w:styleId="48">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9">
    <w:name w:val="A14"/>
    <w:qFormat/>
    <w:uiPriority w:val="99"/>
    <w:rPr>
      <w:rFonts w:cs="Open Sans Light"/>
      <w:color w:val="FFFFFF"/>
      <w:sz w:val="13"/>
      <w:szCs w:val="13"/>
    </w:rPr>
  </w:style>
  <w:style w:type="paragraph" w:customStyle="1" w:styleId="50">
    <w:name w:val="表格文字"/>
    <w:basedOn w:val="1"/>
    <w:next w:val="6"/>
    <w:qFormat/>
    <w:uiPriority w:val="0"/>
    <w:rPr>
      <w:sz w:val="24"/>
    </w:rPr>
  </w:style>
  <w:style w:type="paragraph" w:customStyle="1" w:styleId="51">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2">
    <w:name w:val="DAS正文"/>
    <w:basedOn w:val="1"/>
    <w:qFormat/>
    <w:uiPriority w:val="0"/>
    <w:pPr>
      <w:spacing w:line="360" w:lineRule="auto"/>
      <w:ind w:right="181" w:firstLine="480"/>
    </w:pPr>
    <w:rPr>
      <w:rFonts w:ascii="Verdana" w:hAnsi="Verdan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6FB1F6-A00B-4BEF-B17B-0F168849D80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15798</Words>
  <Characters>16663</Characters>
  <Lines>124</Lines>
  <Paragraphs>35</Paragraphs>
  <TotalTime>8</TotalTime>
  <ScaleCrop>false</ScaleCrop>
  <LinksUpToDate>false</LinksUpToDate>
  <CharactersWithSpaces>17414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2020-07-15T09:22:00Z</dcterms:created>
  <dc:creator>微软用户</dc:creator>
  <cp:lastModifiedBy>Administrator</cp:lastModifiedBy>
  <cp:lastPrinted>2019-11-22T01:53:00Z</cp:lastPrinted>
  <dcterms:modified xsi:type="dcterms:W3CDTF">2022-06-10T07:01:23Z</dcterms:modified>
  <dc:title>淮海工学院A8-10号楼学生宿舍家具招标书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7FBDF63D27554338BB8BC1E9614956A8</vt:lpwstr>
  </property>
</Properties>
</file>