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44"/>
          <w:szCs w:val="44"/>
          <w:highlight w:val="none"/>
        </w:rPr>
      </w:pPr>
      <w:bookmarkStart w:id="9" w:name="_GoBack"/>
      <w:bookmarkEnd w:id="9"/>
      <w:r>
        <w:rPr>
          <w:rFonts w:hint="eastAsia"/>
          <w:b/>
          <w:color w:val="auto"/>
          <w:sz w:val="44"/>
          <w:szCs w:val="44"/>
          <w:highlight w:val="none"/>
          <w:lang w:val="en-US" w:eastAsia="zh-CN"/>
        </w:rPr>
        <w:t>南京信息工程大学</w:t>
      </w:r>
      <w:r>
        <w:rPr>
          <w:rFonts w:hint="eastAsia"/>
          <w:b/>
          <w:color w:val="auto"/>
          <w:sz w:val="44"/>
          <w:szCs w:val="44"/>
          <w:highlight w:val="none"/>
        </w:rPr>
        <w:t>金牛湖产教融合园区实验中心维保服务</w:t>
      </w:r>
      <w:r>
        <w:rPr>
          <w:rFonts w:hint="eastAsia" w:ascii="宋体" w:hAnsi="宋体"/>
          <w:b/>
          <w:color w:val="auto"/>
          <w:sz w:val="44"/>
          <w:szCs w:val="44"/>
          <w:highlight w:val="none"/>
        </w:rPr>
        <w:t>采购</w:t>
      </w:r>
      <w:r>
        <w:rPr>
          <w:rFonts w:hint="eastAsia"/>
          <w:b/>
          <w:color w:val="auto"/>
          <w:sz w:val="44"/>
          <w:szCs w:val="44"/>
          <w:highlight w:val="none"/>
        </w:rPr>
        <w:t>项目</w:t>
      </w:r>
      <w:r>
        <w:rPr>
          <w:b/>
          <w:color w:val="auto"/>
          <w:sz w:val="44"/>
          <w:szCs w:val="44"/>
          <w:highlight w:val="none"/>
        </w:rPr>
        <w:t>招标文件</w:t>
      </w:r>
    </w:p>
    <w:p>
      <w:pPr>
        <w:pStyle w:val="10"/>
        <w:ind w:left="1470" w:right="1470"/>
        <w:rPr>
          <w:color w:val="auto"/>
          <w:highlight w:val="none"/>
        </w:rPr>
      </w:pPr>
    </w:p>
    <w:p>
      <w:pPr>
        <w:adjustRightInd w:val="0"/>
        <w:snapToGrid w:val="0"/>
        <w:spacing w:line="360" w:lineRule="auto"/>
        <w:jc w:val="center"/>
        <w:rPr>
          <w:rFonts w:ascii="宋体" w:hAnsi="宋体" w:cs="仿宋"/>
          <w:color w:val="auto"/>
          <w:sz w:val="28"/>
          <w:szCs w:val="28"/>
          <w:highlight w:val="none"/>
        </w:rPr>
      </w:pPr>
      <w:r>
        <w:rPr>
          <w:rFonts w:hint="eastAsia" w:ascii="宋体" w:hAnsi="宋体" w:cs="仿宋"/>
          <w:color w:val="auto"/>
          <w:sz w:val="28"/>
          <w:szCs w:val="28"/>
          <w:highlight w:val="none"/>
        </w:rPr>
        <w:t>（招标编号：</w:t>
      </w:r>
      <w:r>
        <w:rPr>
          <w:rFonts w:hint="eastAsia" w:ascii="宋体" w:hAnsi="宋体" w:cs="仿宋"/>
          <w:color w:val="auto"/>
          <w:sz w:val="28"/>
          <w:szCs w:val="28"/>
          <w:highlight w:val="none"/>
          <w:u w:val="single"/>
        </w:rPr>
        <w:t xml:space="preserve">  JZCG-2022-00101   </w:t>
      </w:r>
      <w:r>
        <w:rPr>
          <w:rFonts w:hint="eastAsia" w:ascii="宋体" w:hAnsi="宋体" w:cs="仿宋"/>
          <w:color w:val="auto"/>
          <w:sz w:val="28"/>
          <w:szCs w:val="28"/>
          <w:highlight w:val="none"/>
        </w:rPr>
        <w:t xml:space="preserve"> ）</w:t>
      </w:r>
    </w:p>
    <w:p>
      <w:pPr>
        <w:adjustRightInd w:val="0"/>
        <w:snapToGrid w:val="0"/>
        <w:spacing w:line="360" w:lineRule="auto"/>
        <w:jc w:val="center"/>
        <w:rPr>
          <w:rFonts w:ascii="宋体" w:cs="仿宋"/>
          <w:color w:val="auto"/>
          <w:sz w:val="28"/>
          <w:szCs w:val="28"/>
          <w:highlight w:val="none"/>
        </w:rPr>
      </w:pP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w:t>
      </w:r>
      <w:r>
        <w:rPr>
          <w:rFonts w:ascii="宋体" w:hAnsi="宋体" w:cs="仿宋"/>
          <w:color w:val="auto"/>
          <w:sz w:val="28"/>
          <w:szCs w:val="28"/>
          <w:highlight w:val="none"/>
          <w:u w:val="single"/>
        </w:rPr>
        <w:t>2</w:t>
      </w:r>
      <w:r>
        <w:rPr>
          <w:rFonts w:hint="eastAsia" w:ascii="宋体" w:hAnsi="宋体" w:cs="仿宋"/>
          <w:color w:val="auto"/>
          <w:sz w:val="28"/>
          <w:szCs w:val="28"/>
          <w:highlight w:val="none"/>
          <w:u w:val="single"/>
        </w:rPr>
        <w:t xml:space="preserve">年 </w:t>
      </w:r>
      <w:r>
        <w:rPr>
          <w:rFonts w:hint="eastAsia" w:ascii="宋体" w:hAnsi="宋体" w:cs="仿宋"/>
          <w:color w:val="auto"/>
          <w:sz w:val="28"/>
          <w:szCs w:val="28"/>
          <w:highlight w:val="none"/>
          <w:u w:val="single"/>
          <w:lang w:val="en-US" w:eastAsia="zh-CN"/>
        </w:rPr>
        <w:t>10</w:t>
      </w:r>
      <w:r>
        <w:rPr>
          <w:rFonts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rPr>
        <w:t>月</w:t>
      </w:r>
      <w:r>
        <w:rPr>
          <w:rFonts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lang w:val="en-US" w:eastAsia="zh-CN"/>
        </w:rPr>
        <w:t>12</w:t>
      </w:r>
      <w:r>
        <w:rPr>
          <w:rFonts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rPr>
        <w:t>日</w:t>
      </w:r>
      <w:r>
        <w:rPr>
          <w:rFonts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lang w:val="en-US" w:eastAsia="zh-CN"/>
        </w:rPr>
        <w:t>12:00</w:t>
      </w:r>
      <w:r>
        <w:rPr>
          <w:rFonts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rPr>
        <w:t>定标发标版</w:t>
      </w:r>
      <w:r>
        <w:rPr>
          <w:rFonts w:ascii="宋体" w:hAnsi="宋体" w:cs="仿宋"/>
          <w:color w:val="auto"/>
          <w:sz w:val="28"/>
          <w:szCs w:val="28"/>
          <w:highlight w:val="none"/>
        </w:rPr>
        <w:t>)</w:t>
      </w:r>
    </w:p>
    <w:p>
      <w:pPr>
        <w:jc w:val="center"/>
        <w:rPr>
          <w:b/>
          <w:color w:val="auto"/>
          <w:sz w:val="28"/>
          <w:szCs w:val="28"/>
          <w:highlight w:val="none"/>
        </w:rPr>
      </w:pP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为满足学校相关</w:t>
      </w:r>
      <w:r>
        <w:rPr>
          <w:rFonts w:hint="eastAsia" w:ascii="宋体" w:hAnsi="宋体"/>
          <w:color w:val="auto"/>
          <w:sz w:val="28"/>
          <w:szCs w:val="28"/>
          <w:highlight w:val="none"/>
        </w:rPr>
        <w:t>教学</w:t>
      </w:r>
      <w:r>
        <w:rPr>
          <w:rFonts w:ascii="宋体" w:hAnsi="宋体"/>
          <w:color w:val="auto"/>
          <w:sz w:val="28"/>
          <w:szCs w:val="28"/>
          <w:highlight w:val="none"/>
        </w:rPr>
        <w:t>科研工作需要，受校</w:t>
      </w:r>
      <w:r>
        <w:rPr>
          <w:rFonts w:hint="eastAsia" w:ascii="宋体" w:hAnsi="宋体"/>
          <w:color w:val="auto"/>
          <w:sz w:val="28"/>
          <w:szCs w:val="28"/>
          <w:highlight w:val="none"/>
        </w:rPr>
        <w:t>金牛湖产教融合园区</w:t>
      </w:r>
      <w:r>
        <w:rPr>
          <w:rFonts w:hint="eastAsia" w:ascii="宋体" w:hAnsi="宋体"/>
          <w:color w:val="auto"/>
          <w:sz w:val="28"/>
          <w:szCs w:val="28"/>
          <w:highlight w:val="none"/>
          <w:lang w:val="en-US" w:eastAsia="zh-CN"/>
        </w:rPr>
        <w:t>管委会</w:t>
      </w:r>
      <w:r>
        <w:rPr>
          <w:rFonts w:ascii="宋体" w:hAnsi="宋体"/>
          <w:color w:val="auto"/>
          <w:sz w:val="28"/>
          <w:szCs w:val="28"/>
          <w:highlight w:val="none"/>
        </w:rPr>
        <w:t>委托，就</w:t>
      </w:r>
      <w:r>
        <w:rPr>
          <w:rFonts w:hint="eastAsia" w:ascii="宋体" w:hAnsi="宋体"/>
          <w:color w:val="auto"/>
          <w:sz w:val="28"/>
          <w:szCs w:val="28"/>
          <w:highlight w:val="none"/>
        </w:rPr>
        <w:t>金牛湖产教融合园区实验中心维保服务项目</w:t>
      </w:r>
      <w:r>
        <w:rPr>
          <w:rFonts w:ascii="宋体" w:hAnsi="宋体"/>
          <w:color w:val="auto"/>
          <w:sz w:val="28"/>
          <w:szCs w:val="28"/>
          <w:highlight w:val="none"/>
        </w:rPr>
        <w:t>进行公开招标，欢迎符合条件的供应商报名投标，现将有关情况说明如下：</w:t>
      </w:r>
    </w:p>
    <w:p>
      <w:pPr>
        <w:spacing w:line="360" w:lineRule="auto"/>
        <w:ind w:firstLine="480" w:firstLineChars="200"/>
        <w:rPr>
          <w:color w:val="auto"/>
          <w:sz w:val="24"/>
          <w:highlight w:val="none"/>
        </w:rPr>
      </w:pPr>
    </w:p>
    <w:p>
      <w:pPr>
        <w:pStyle w:val="36"/>
        <w:spacing w:line="360" w:lineRule="auto"/>
        <w:ind w:firstLine="0" w:firstLineChars="0"/>
        <w:jc w:val="center"/>
        <w:rPr>
          <w:rFonts w:ascii="宋体" w:hAnsi="宋体" w:cs="仿宋"/>
          <w:b/>
          <w:bCs/>
          <w:color w:val="auto"/>
          <w:kern w:val="2"/>
          <w:sz w:val="28"/>
          <w:szCs w:val="28"/>
          <w:highlight w:val="none"/>
        </w:rPr>
      </w:pPr>
      <w:r>
        <w:rPr>
          <w:rFonts w:hint="eastAsia" w:ascii="宋体" w:hAnsi="宋体" w:cs="仿宋"/>
          <w:b/>
          <w:bCs/>
          <w:color w:val="auto"/>
          <w:kern w:val="2"/>
          <w:sz w:val="28"/>
          <w:szCs w:val="28"/>
          <w:highlight w:val="none"/>
        </w:rPr>
        <w:t>一、招标项目名称及简要说明</w:t>
      </w:r>
    </w:p>
    <w:p>
      <w:pPr>
        <w:pStyle w:val="36"/>
        <w:spacing w:line="360" w:lineRule="auto"/>
        <w:ind w:firstLine="560"/>
        <w:rPr>
          <w:rFonts w:ascii="宋体" w:hAnsi="宋体"/>
          <w:color w:val="auto"/>
          <w:kern w:val="2"/>
          <w:sz w:val="28"/>
          <w:szCs w:val="28"/>
          <w:highlight w:val="none"/>
        </w:rPr>
      </w:pPr>
      <w:r>
        <w:rPr>
          <w:rFonts w:ascii="宋体" w:hAnsi="宋体"/>
          <w:color w:val="auto"/>
          <w:kern w:val="2"/>
          <w:sz w:val="28"/>
          <w:szCs w:val="28"/>
          <w:highlight w:val="none"/>
        </w:rPr>
        <w:t>1. 项目名称：</w:t>
      </w:r>
      <w:r>
        <w:rPr>
          <w:rFonts w:hint="eastAsia" w:ascii="宋体" w:hAnsi="宋体"/>
          <w:color w:val="auto"/>
          <w:kern w:val="2"/>
          <w:sz w:val="28"/>
          <w:szCs w:val="28"/>
          <w:highlight w:val="none"/>
          <w:lang w:val="en-US" w:eastAsia="zh-CN"/>
        </w:rPr>
        <w:t>南京信息工程大学</w:t>
      </w:r>
      <w:r>
        <w:rPr>
          <w:rFonts w:hint="eastAsia" w:ascii="宋体" w:hAnsi="宋体"/>
          <w:color w:val="auto"/>
          <w:sz w:val="28"/>
          <w:szCs w:val="28"/>
          <w:highlight w:val="none"/>
        </w:rPr>
        <w:t>金牛湖产教融合园区实验中心维保服务项目</w:t>
      </w:r>
      <w:r>
        <w:rPr>
          <w:rFonts w:ascii="宋体" w:hAnsi="宋体"/>
          <w:color w:val="auto"/>
          <w:kern w:val="2"/>
          <w:sz w:val="28"/>
          <w:szCs w:val="28"/>
          <w:highlight w:val="none"/>
        </w:rPr>
        <w:t>。</w:t>
      </w:r>
    </w:p>
    <w:p>
      <w:pPr>
        <w:spacing w:line="300" w:lineRule="auto"/>
        <w:ind w:firstLine="560" w:firstLineChars="200"/>
        <w:rPr>
          <w:rFonts w:ascii="宋体" w:hAnsi="宋体"/>
          <w:color w:val="auto"/>
          <w:sz w:val="28"/>
          <w:szCs w:val="28"/>
          <w:highlight w:val="none"/>
        </w:rPr>
      </w:pPr>
      <w:r>
        <w:rPr>
          <w:rFonts w:ascii="宋体" w:hAnsi="宋体"/>
          <w:color w:val="auto"/>
          <w:sz w:val="28"/>
          <w:szCs w:val="28"/>
          <w:highlight w:val="none"/>
        </w:rPr>
        <w:t xml:space="preserve">2. </w:t>
      </w:r>
      <w:r>
        <w:rPr>
          <w:rFonts w:hint="eastAsia" w:ascii="宋体" w:hAnsi="宋体" w:cs="仿宋"/>
          <w:color w:val="auto"/>
          <w:sz w:val="28"/>
          <w:szCs w:val="28"/>
          <w:highlight w:val="none"/>
        </w:rPr>
        <w:t>项目说明：</w:t>
      </w:r>
      <w:r>
        <w:rPr>
          <w:rFonts w:hint="eastAsia" w:ascii="宋体" w:hAnsi="宋体"/>
          <w:color w:val="auto"/>
          <w:sz w:val="28"/>
          <w:szCs w:val="28"/>
          <w:highlight w:val="none"/>
        </w:rPr>
        <w:t>南京信息工程大学金牛湖产教融合园区内，本次招标</w:t>
      </w:r>
      <w:r>
        <w:rPr>
          <w:rFonts w:hint="eastAsia" w:ascii="宋体" w:hAnsi="宋体" w:cs="仿宋"/>
          <w:color w:val="auto"/>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color w:val="auto"/>
          <w:sz w:val="28"/>
          <w:szCs w:val="28"/>
          <w:highlight w:val="none"/>
        </w:rPr>
      </w:pPr>
      <w:r>
        <w:rPr>
          <w:rFonts w:ascii="宋体" w:hAnsi="宋体"/>
          <w:color w:val="auto"/>
          <w:sz w:val="28"/>
          <w:szCs w:val="28"/>
          <w:highlight w:val="none"/>
        </w:rPr>
        <w:t>3</w:t>
      </w:r>
      <w:bookmarkStart w:id="0" w:name="_Hlk9865971"/>
      <w:r>
        <w:rPr>
          <w:rFonts w:hint="eastAsia" w:ascii="宋体" w:hAnsi="宋体"/>
          <w:color w:val="auto"/>
          <w:sz w:val="28"/>
          <w:szCs w:val="28"/>
          <w:highlight w:val="none"/>
        </w:rPr>
        <w:t>.本次招标采取公开招标方式，不承诺最低价（最高价）中标。招标公告和中标公示信息均在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24"/>
          <w:b/>
          <w:color w:val="auto"/>
          <w:sz w:val="24"/>
          <w:highlight w:val="none"/>
        </w:rPr>
        <w:t>https://bulletin.nuist.edu.cn/779/lis</w:t>
      </w:r>
      <w:r>
        <w:rPr>
          <w:rStyle w:val="24"/>
          <w:color w:val="auto"/>
          <w:sz w:val="24"/>
          <w:highlight w:val="none"/>
        </w:rPr>
        <w:t>t.htm</w:t>
      </w:r>
      <w:r>
        <w:rPr>
          <w:rStyle w:val="24"/>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b/>
          <w:color w:val="auto"/>
          <w:sz w:val="24"/>
          <w:szCs w:val="28"/>
          <w:highlight w:val="none"/>
          <w:u w:val="single"/>
        </w:rPr>
        <w:t>zbc.nuist.edu.cn</w:t>
      </w:r>
      <w:r>
        <w:rPr>
          <w:rFonts w:ascii="宋体" w:hAnsi="宋体"/>
          <w:b/>
          <w:color w:val="auto"/>
          <w:sz w:val="24"/>
          <w:szCs w:val="28"/>
          <w:highlight w:val="none"/>
          <w:u w:val="singl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p>
    <w:bookmarkEnd w:id="0"/>
    <w:p>
      <w:pPr>
        <w:spacing w:line="360" w:lineRule="auto"/>
        <w:ind w:firstLine="570"/>
        <w:jc w:val="left"/>
        <w:rPr>
          <w:rFonts w:ascii="宋体" w:hAnsi="宋体" w:cs="宋体"/>
          <w:color w:val="auto"/>
          <w:sz w:val="28"/>
          <w:szCs w:val="28"/>
          <w:highlight w:val="none"/>
        </w:rPr>
      </w:pPr>
      <w:r>
        <w:rPr>
          <w:rFonts w:ascii="宋体" w:hAnsi="宋体"/>
          <w:color w:val="auto"/>
          <w:sz w:val="28"/>
          <w:szCs w:val="28"/>
          <w:highlight w:val="none"/>
        </w:rPr>
        <w:t>4</w:t>
      </w:r>
      <w:bookmarkStart w:id="1" w:name="_Hlk9866054"/>
      <w:r>
        <w:rPr>
          <w:rFonts w:hint="eastAsia" w:ascii="宋体" w:hAnsi="宋体"/>
          <w:color w:val="auto"/>
          <w:sz w:val="28"/>
          <w:szCs w:val="28"/>
          <w:highlight w:val="none"/>
        </w:rPr>
        <w:t>.招标文件由我校采购人、项目归口管理部门和招标办联合起草；经学校相关职能部门会审通过形成正式招标文件。同时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p>
    <w:bookmarkEnd w:id="1"/>
    <w:p>
      <w:pPr>
        <w:spacing w:line="360" w:lineRule="auto"/>
        <w:ind w:firstLine="570"/>
        <w:jc w:val="left"/>
        <w:rPr>
          <w:rFonts w:ascii="宋体" w:hAnsi="宋体" w:cs="宋体"/>
          <w:color w:val="auto"/>
          <w:sz w:val="28"/>
          <w:szCs w:val="28"/>
          <w:highlight w:val="none"/>
        </w:rPr>
      </w:pPr>
      <w:r>
        <w:rPr>
          <w:rFonts w:hint="eastAsia" w:ascii="宋体" w:hAnsi="宋体" w:cs="宋体"/>
          <w:color w:val="auto"/>
          <w:sz w:val="28"/>
          <w:szCs w:val="28"/>
          <w:highlight w:val="none"/>
        </w:rPr>
        <w:t>5.正式的答疑回复文件也按上述方式处理留存。</w:t>
      </w:r>
    </w:p>
    <w:p>
      <w:pPr>
        <w:spacing w:line="360" w:lineRule="auto"/>
        <w:ind w:firstLine="570"/>
        <w:jc w:val="left"/>
        <w:rPr>
          <w:rFonts w:ascii="宋体" w:hAnsi="宋体" w:cs="宋体"/>
          <w:color w:val="auto"/>
          <w:sz w:val="28"/>
          <w:szCs w:val="28"/>
          <w:highlight w:val="none"/>
        </w:rPr>
      </w:pPr>
      <w:r>
        <w:rPr>
          <w:rFonts w:hint="eastAsia" w:ascii="宋体" w:hAnsi="宋体" w:cs="宋体"/>
          <w:color w:val="auto"/>
          <w:sz w:val="28"/>
          <w:szCs w:val="28"/>
          <w:highlight w:val="none"/>
        </w:rPr>
        <w:t>6.投标有效期：自开标之日起90天内投标有效。</w:t>
      </w:r>
    </w:p>
    <w:p>
      <w:pPr>
        <w:spacing w:line="360" w:lineRule="auto"/>
        <w:ind w:firstLine="570"/>
        <w:jc w:val="left"/>
        <w:rPr>
          <w:rFonts w:ascii="宋体" w:hAnsi="宋体" w:cs="宋体"/>
          <w:color w:val="auto"/>
          <w:sz w:val="28"/>
          <w:szCs w:val="28"/>
          <w:highlight w:val="none"/>
        </w:rPr>
      </w:pPr>
      <w:r>
        <w:rPr>
          <w:rFonts w:hint="eastAsia" w:ascii="宋体" w:hAnsi="宋体" w:cs="宋体"/>
          <w:color w:val="auto"/>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color w:val="auto"/>
          <w:kern w:val="0"/>
          <w:sz w:val="28"/>
          <w:szCs w:val="28"/>
          <w:highlight w:val="none"/>
          <w:u w:val="single"/>
        </w:rPr>
      </w:pPr>
      <w:r>
        <w:rPr>
          <w:rFonts w:hint="eastAsia" w:ascii="宋体" w:hAnsi="宋体" w:cs="Arial"/>
          <w:i/>
          <w:iCs/>
          <w:color w:val="auto"/>
          <w:sz w:val="28"/>
          <w:szCs w:val="28"/>
          <w:highlight w:val="none"/>
          <w:u w:val="single"/>
        </w:rPr>
        <w:t>（一）参加政府采购的供应商应当具备政府采购法</w:t>
      </w:r>
      <w:r>
        <w:rPr>
          <w:rFonts w:ascii="宋体" w:hAnsi="宋体" w:cs="Arial"/>
          <w:i/>
          <w:iCs/>
          <w:color w:val="auto"/>
          <w:sz w:val="28"/>
          <w:szCs w:val="28"/>
          <w:highlight w:val="none"/>
          <w:u w:val="single"/>
        </w:rPr>
        <w:t>第二十二条</w:t>
      </w:r>
      <w:r>
        <w:rPr>
          <w:rFonts w:hint="eastAsia" w:ascii="宋体" w:hAnsi="宋体" w:cs="Arial"/>
          <w:i/>
          <w:iCs/>
          <w:color w:val="auto"/>
          <w:sz w:val="28"/>
          <w:szCs w:val="28"/>
          <w:highlight w:val="none"/>
          <w:u w:val="single"/>
        </w:rPr>
        <w:t>第一款</w:t>
      </w:r>
      <w:r>
        <w:rPr>
          <w:rFonts w:ascii="宋体" w:hAnsi="宋体" w:cs="Arial"/>
          <w:i/>
          <w:iCs/>
          <w:color w:val="auto"/>
          <w:sz w:val="28"/>
          <w:szCs w:val="28"/>
          <w:highlight w:val="none"/>
          <w:u w:val="single"/>
        </w:rPr>
        <w:t>规定</w:t>
      </w:r>
      <w:r>
        <w:rPr>
          <w:rFonts w:hint="eastAsia" w:ascii="宋体" w:hAnsi="宋体" w:cs="Arial"/>
          <w:i/>
          <w:iCs/>
          <w:color w:val="auto"/>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8.本项目拒绝下述供应商参加本次采购活动的情形：</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color w:val="auto"/>
          <w:sz w:val="28"/>
          <w:szCs w:val="28"/>
          <w:highlight w:val="none"/>
        </w:rPr>
      </w:pPr>
      <w:r>
        <w:rPr>
          <w:rFonts w:hint="eastAsia" w:ascii="宋体" w:hAnsi="宋体" w:cs="宋体"/>
          <w:bCs/>
          <w:color w:val="auto"/>
          <w:sz w:val="28"/>
          <w:szCs w:val="28"/>
          <w:highlight w:val="none"/>
        </w:rPr>
        <w:t>（3）供应商被“信用中国”网站（www.creditchina.gov.cn）、“中国政府采</w:t>
      </w:r>
      <w:r>
        <w:rPr>
          <w:rFonts w:hint="eastAsia" w:ascii="宋体" w:hAnsi="宋体" w:cs="宋体"/>
          <w:color w:val="auto"/>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9.本项目不接受联合体投标。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w:t>
      </w:r>
      <w:r>
        <w:rPr>
          <w:rFonts w:ascii="宋体" w:hAnsi="宋体" w:cs="宋体"/>
          <w:color w:val="auto"/>
          <w:sz w:val="28"/>
          <w:szCs w:val="28"/>
          <w:highlight w:val="none"/>
        </w:rPr>
        <w:t>2</w:t>
      </w:r>
      <w:r>
        <w:rPr>
          <w:rFonts w:hint="eastAsia" w:ascii="宋体" w:hAnsi="宋体" w:cs="宋体"/>
          <w:color w:val="auto"/>
          <w:sz w:val="28"/>
          <w:szCs w:val="28"/>
          <w:highlight w:val="none"/>
        </w:rPr>
        <w:t>、附件</w:t>
      </w:r>
      <w:r>
        <w:rPr>
          <w:rFonts w:ascii="宋体" w:hAnsi="宋体" w:cs="宋体"/>
          <w:color w:val="auto"/>
          <w:sz w:val="28"/>
          <w:szCs w:val="28"/>
          <w:highlight w:val="none"/>
        </w:rPr>
        <w:t>3</w:t>
      </w:r>
      <w:r>
        <w:rPr>
          <w:rFonts w:hint="eastAsia" w:ascii="宋体" w:hAnsi="宋体" w:cs="宋体"/>
          <w:color w:val="auto"/>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六、本项目预算价为</w:t>
      </w:r>
      <w:r>
        <w:rPr>
          <w:rFonts w:ascii="宋体" w:hAnsi="宋体" w:cs="宋体"/>
          <w:color w:val="auto"/>
          <w:sz w:val="28"/>
          <w:szCs w:val="28"/>
          <w:highlight w:val="none"/>
        </w:rPr>
        <w:t>25</w:t>
      </w:r>
      <w:r>
        <w:rPr>
          <w:rFonts w:hint="eastAsia" w:ascii="宋体" w:hAnsi="宋体" w:cs="宋体"/>
          <w:color w:val="auto"/>
          <w:sz w:val="28"/>
          <w:szCs w:val="28"/>
          <w:highlight w:val="none"/>
        </w:rPr>
        <w:t>万元，本项目只接受人民币报价。</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2" w:name="_Hlk9866140"/>
      <w:r>
        <w:rPr>
          <w:rFonts w:hint="eastAsia" w:ascii="黑体" w:hAnsi="黑体" w:eastAsia="黑体" w:cs="宋体"/>
          <w:color w:val="auto"/>
          <w:sz w:val="28"/>
          <w:szCs w:val="28"/>
          <w:highlight w:val="none"/>
        </w:rPr>
        <w:t>三、对投标文件的要求</w:t>
      </w:r>
    </w:p>
    <w:p>
      <w:pPr>
        <w:snapToGrid w:val="0"/>
        <w:spacing w:line="538" w:lineRule="exact"/>
        <w:ind w:firstLine="560" w:firstLineChars="200"/>
        <w:rPr>
          <w:rFonts w:ascii="宋体" w:hAnsi="宋体" w:cs="宋体"/>
          <w:bCs/>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w:t>
      </w:r>
      <w:r>
        <w:rPr>
          <w:rFonts w:hint="eastAsia" w:ascii="宋体" w:hAnsi="宋体" w:cs="宋体"/>
          <w:bCs/>
          <w:color w:val="auto"/>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color w:val="auto"/>
          <w:sz w:val="28"/>
          <w:szCs w:val="28"/>
          <w:highlight w:val="none"/>
        </w:rPr>
      </w:pPr>
      <w:r>
        <w:rPr>
          <w:rFonts w:hint="eastAsia" w:ascii="宋体" w:hAnsi="宋体" w:cs="宋体"/>
          <w:color w:val="auto"/>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）投标价格明细表（附件</w:t>
      </w:r>
      <w:r>
        <w:rPr>
          <w:rFonts w:ascii="宋体" w:hAnsi="宋体" w:cs="宋体"/>
          <w:color w:val="auto"/>
          <w:sz w:val="28"/>
          <w:szCs w:val="28"/>
          <w:highlight w:val="none"/>
        </w:rPr>
        <w:t>3</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）授权委托书、被委托人身份证复印件；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）产品（或服务，下同）技术性能参数的详细描述一览表（投标文件在对投标标的物进行技术和商务描述时，必须完全按照招标文件附件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中的章节顺序依次逐条响应，不得颠倒顺序，不得有漏项，不得原封不动地引用招标文件附件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）产品技术和商务指标偏差表；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）产品服务方案；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9</w:t>
      </w:r>
      <w:r>
        <w:rPr>
          <w:rFonts w:hint="eastAsia" w:ascii="宋体" w:hAnsi="宋体" w:cs="宋体"/>
          <w:color w:val="auto"/>
          <w:sz w:val="28"/>
          <w:szCs w:val="28"/>
          <w:highlight w:val="none"/>
        </w:rPr>
        <w:t>）产品销售授权书或代理证书（如系代理公司的）；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rPr>
        <w:t xml:space="preserve"> 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）产品质量检测报告、质保、认证等证书；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12</w:t>
      </w:r>
      <w:r>
        <w:rPr>
          <w:rFonts w:hint="eastAsia" w:ascii="宋体" w:hAnsi="宋体" w:cs="宋体"/>
          <w:color w:val="auto"/>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13</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14</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15</w:t>
      </w:r>
      <w:r>
        <w:rPr>
          <w:rFonts w:hint="eastAsia" w:ascii="宋体" w:hAnsi="宋体" w:cs="宋体"/>
          <w:color w:val="auto"/>
          <w:sz w:val="28"/>
          <w:szCs w:val="28"/>
          <w:highlight w:val="none"/>
        </w:rPr>
        <w:t>）</w:t>
      </w:r>
      <w:r>
        <w:rPr>
          <w:rFonts w:hint="eastAsia"/>
          <w:color w:val="auto"/>
          <w:sz w:val="28"/>
          <w:szCs w:val="28"/>
          <w:highlight w:val="none"/>
        </w:rPr>
        <w:t>投标人必须投本标书所有标段的设备，不允许分标段投标；标书中服务器标段必须满足所有参数要求，其余标段标</w:t>
      </w:r>
      <w:r>
        <w:rPr>
          <w:rFonts w:hint="eastAsia" w:ascii="宋体" w:hAnsi="宋体" w:cs="Arial"/>
          <w:color w:val="auto"/>
          <w:kern w:val="0"/>
          <w:sz w:val="18"/>
          <w:szCs w:val="18"/>
          <w:highlight w:val="none"/>
        </w:rPr>
        <w:t>★</w:t>
      </w:r>
      <w:r>
        <w:rPr>
          <w:rFonts w:hint="eastAsia"/>
          <w:color w:val="auto"/>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投标人在投标文件中应承诺对如下内容已完全理解，如不承诺，视为认可：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p>
    <w:bookmarkEnd w:id="2"/>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3" w:name="_Hlk9866206"/>
      <w:r>
        <w:rPr>
          <w:rFonts w:hint="eastAsia" w:ascii="黑体" w:hAnsi="黑体" w:eastAsia="黑体" w:cs="宋体"/>
          <w:color w:val="auto"/>
          <w:sz w:val="28"/>
          <w:szCs w:val="28"/>
          <w:highlight w:val="none"/>
        </w:rPr>
        <w:t>四、开标程序</w:t>
      </w:r>
    </w:p>
    <w:bookmarkEnd w:id="3"/>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hAnsi="宋体" w:cs="宋体"/>
          <w:b/>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w:t>
      </w:r>
      <w:r>
        <w:rPr>
          <w:rFonts w:hint="eastAsia" w:ascii="仿宋" w:hAnsi="仿宋" w:eastAsia="仿宋" w:cs="仿宋"/>
          <w:b/>
          <w:bCs/>
          <w:i w:val="0"/>
          <w:iCs w:val="0"/>
          <w:caps w:val="0"/>
          <w:color w:val="auto"/>
          <w:spacing w:val="0"/>
          <w:kern w:val="0"/>
          <w:sz w:val="28"/>
          <w:szCs w:val="28"/>
          <w:highlight w:val="none"/>
          <w:lang w:val="en-US" w:eastAsia="zh-CN" w:bidi="ar"/>
        </w:rPr>
        <w:t>JZCG-2022-00101</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10.</w:t>
      </w:r>
      <w:r>
        <w:rPr>
          <w:rFonts w:hint="eastAsia" w:ascii="宋体" w:hAnsi="宋体" w:cs="宋体"/>
          <w:color w:val="auto"/>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p>
    <w:p>
      <w:pPr>
        <w:spacing w:line="360" w:lineRule="auto"/>
        <w:ind w:firstLine="548" w:firstLineChars="196"/>
        <w:rPr>
          <w:rFonts w:hint="eastAsia" w:ascii="宋体" w:hAnsi="宋体" w:eastAsia="宋体" w:cs="宋体"/>
          <w:color w:val="auto"/>
          <w:sz w:val="28"/>
          <w:szCs w:val="28"/>
          <w:highlight w:val="none"/>
          <w:lang w:eastAsia="zh-CN"/>
        </w:rPr>
      </w:pPr>
      <w:r>
        <w:rPr>
          <w:rFonts w:ascii="宋体" w:hAnsi="宋体" w:cs="宋体"/>
          <w:color w:val="auto"/>
          <w:sz w:val="28"/>
          <w:szCs w:val="28"/>
          <w:highlight w:val="none"/>
        </w:rPr>
        <w:t>2.</w:t>
      </w:r>
      <w:r>
        <w:rPr>
          <w:rFonts w:hint="eastAsia" w:ascii="宋体" w:hAnsi="宋体" w:cs="宋体"/>
          <w:color w:val="auto"/>
          <w:sz w:val="28"/>
          <w:szCs w:val="28"/>
          <w:highlight w:val="none"/>
        </w:rPr>
        <w:t>为保证招标质量，在评标办法中设核心指标。每个分包的核心指标不超过</w:t>
      </w:r>
      <w:r>
        <w:rPr>
          <w:rFonts w:ascii="宋体" w:hAnsi="宋体" w:cs="宋体"/>
          <w:color w:val="auto"/>
          <w:sz w:val="28"/>
          <w:szCs w:val="28"/>
          <w:highlight w:val="none"/>
        </w:rPr>
        <w:t>5</w:t>
      </w:r>
      <w:r>
        <w:rPr>
          <w:rFonts w:hint="eastAsia" w:ascii="宋体" w:hAnsi="宋体" w:cs="宋体"/>
          <w:color w:val="auto"/>
          <w:sz w:val="28"/>
          <w:szCs w:val="28"/>
          <w:highlight w:val="none"/>
        </w:rPr>
        <w:t>个。</w:t>
      </w:r>
    </w:p>
    <w:p>
      <w:pPr>
        <w:pStyle w:val="2"/>
        <w:rPr>
          <w:rFonts w:hint="eastAsia"/>
          <w:color w:val="auto"/>
          <w:highlight w:val="none"/>
          <w:lang w:eastAsia="zh-CN"/>
        </w:rPr>
      </w:pP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个工作日内，中标单位须及时缴纳中标价的10%作为履约保证金并前来我校领取《中标通知书》（一式二份），服务完成后无息退还。</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6"/>
        <w:rPr>
          <w:color w:val="auto"/>
          <w:highlight w:val="none"/>
        </w:rPr>
      </w:pPr>
      <w:r>
        <w:rPr>
          <w:rFonts w:hint="eastAsia" w:ascii="宋体" w:hAnsi="宋体" w:cs="宋体"/>
          <w:color w:val="auto"/>
          <w:sz w:val="28"/>
          <w:szCs w:val="28"/>
          <w:highlight w:val="none"/>
        </w:rPr>
        <w:t>（3）附件6合同仅为参考样本，最终以通过我校审核后签署的合同为准。</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签订合同后，从服务开始2个月，经校方初验合格，预付合同金额的5</w:t>
      </w:r>
      <w:r>
        <w:rPr>
          <w:rFonts w:ascii="宋体" w:hAnsi="宋体" w:cs="宋体"/>
          <w:color w:val="auto"/>
          <w:sz w:val="28"/>
          <w:szCs w:val="28"/>
          <w:highlight w:val="none"/>
        </w:rPr>
        <w:t>0</w:t>
      </w:r>
      <w:r>
        <w:rPr>
          <w:rFonts w:hint="eastAsia" w:ascii="宋体" w:hAnsi="宋体" w:cs="宋体"/>
          <w:color w:val="auto"/>
          <w:sz w:val="28"/>
          <w:szCs w:val="28"/>
          <w:highlight w:val="none"/>
        </w:rPr>
        <w:t>%，服务期满最终验收合格后，支付至合同金额的100%。</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w:t>
      </w:r>
      <w:r>
        <w:rPr>
          <w:rFonts w:hint="eastAsia" w:ascii="宋体" w:hAnsi="宋体" w:cs="宋体"/>
          <w:b/>
          <w:bCs/>
          <w:color w:val="auto"/>
          <w:sz w:val="28"/>
          <w:szCs w:val="28"/>
          <w:highlight w:val="none"/>
        </w:rPr>
        <w:t>户名：南京信息工程大学；账号：</w:t>
      </w:r>
      <w:r>
        <w:rPr>
          <w:rFonts w:ascii="宋体" w:hAnsi="宋体" w:cs="宋体"/>
          <w:b/>
          <w:bCs/>
          <w:color w:val="auto"/>
          <w:sz w:val="28"/>
          <w:szCs w:val="28"/>
          <w:highlight w:val="none"/>
        </w:rPr>
        <w:t>10115401040000228</w:t>
      </w:r>
      <w:r>
        <w:rPr>
          <w:rFonts w:hint="eastAsia" w:ascii="宋体" w:hAnsi="宋体" w:cs="宋体"/>
          <w:b/>
          <w:bCs/>
          <w:color w:val="auto"/>
          <w:sz w:val="28"/>
          <w:szCs w:val="28"/>
          <w:highlight w:val="none"/>
        </w:rPr>
        <w:t>；开户银行：中国农业银行南京盘城支行</w:t>
      </w:r>
      <w:r>
        <w:rPr>
          <w:rFonts w:hint="eastAsia" w:ascii="宋体" w:hAnsi="宋体" w:cs="宋体"/>
          <w:color w:val="auto"/>
          <w:sz w:val="28"/>
          <w:szCs w:val="28"/>
          <w:highlight w:val="none"/>
        </w:rPr>
        <w:t>。请各投标人务必在转账留言栏备注填写</w:t>
      </w:r>
      <w:r>
        <w:rPr>
          <w:rFonts w:hint="eastAsia" w:ascii="宋体" w:hAnsi="宋体" w:cs="宋体"/>
          <w:b/>
          <w:color w:val="auto"/>
          <w:sz w:val="28"/>
          <w:szCs w:val="28"/>
          <w:highlight w:val="none"/>
        </w:rPr>
        <w:t>“</w:t>
      </w:r>
      <w:r>
        <w:rPr>
          <w:rFonts w:hint="eastAsia" w:ascii="仿宋" w:hAnsi="仿宋" w:eastAsia="仿宋" w:cs="仿宋"/>
          <w:b/>
          <w:bCs/>
          <w:i w:val="0"/>
          <w:iCs w:val="0"/>
          <w:caps w:val="0"/>
          <w:color w:val="auto"/>
          <w:spacing w:val="0"/>
          <w:kern w:val="0"/>
          <w:sz w:val="28"/>
          <w:szCs w:val="28"/>
          <w:highlight w:val="none"/>
          <w:lang w:val="en-US" w:eastAsia="zh-CN" w:bidi="ar"/>
        </w:rPr>
        <w:t>JZCG-2022-00101</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履约保证金：中标价10%。</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r>
        <w:rPr>
          <w:rFonts w:hint="eastAsia" w:ascii="宋体" w:hAnsi="宋体" w:cs="宋体"/>
          <w:b/>
          <w:bCs/>
          <w:color w:val="auto"/>
          <w:sz w:val="28"/>
          <w:szCs w:val="28"/>
          <w:highlight w:val="none"/>
        </w:rPr>
        <w:t>户名：南京信息工程大学；账号：</w:t>
      </w:r>
      <w:r>
        <w:rPr>
          <w:rFonts w:ascii="宋体" w:hAnsi="宋体" w:cs="宋体"/>
          <w:b/>
          <w:bCs/>
          <w:color w:val="auto"/>
          <w:sz w:val="28"/>
          <w:szCs w:val="28"/>
          <w:highlight w:val="none"/>
        </w:rPr>
        <w:t>10115401040000228</w:t>
      </w:r>
      <w:r>
        <w:rPr>
          <w:rFonts w:hint="eastAsia" w:ascii="宋体" w:hAnsi="宋体" w:cs="宋体"/>
          <w:b/>
          <w:bCs/>
          <w:color w:val="auto"/>
          <w:sz w:val="28"/>
          <w:szCs w:val="28"/>
          <w:highlight w:val="none"/>
        </w:rPr>
        <w:t>；开户银行：中国农业银行南京盘城支行</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质保：参照附件4服务要求</w:t>
      </w:r>
    </w:p>
    <w:p>
      <w:pPr>
        <w:spacing w:before="312" w:beforeLines="100" w:after="312" w:afterLines="100" w:line="360" w:lineRule="auto"/>
        <w:jc w:val="center"/>
        <w:rPr>
          <w:rFonts w:ascii="黑体" w:hAnsi="黑体" w:eastAsia="黑体"/>
          <w:color w:val="auto"/>
          <w:sz w:val="28"/>
          <w:szCs w:val="28"/>
          <w:highlight w:val="none"/>
        </w:rPr>
      </w:pPr>
      <w:bookmarkStart w:id="4"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 xml:space="preserve">答疑时间：          </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w:t>
      </w:r>
      <w:r>
        <w:rPr>
          <w:rFonts w:hint="eastAsia" w:ascii="宋体" w:hAnsi="宋体"/>
          <w:b/>
          <w:color w:val="auto"/>
          <w:sz w:val="28"/>
          <w:szCs w:val="28"/>
          <w:highlight w:val="none"/>
          <w:u w:val="single"/>
          <w:lang w:val="en-US" w:eastAsia="zh-CN"/>
        </w:rPr>
        <w:t>2</w:t>
      </w:r>
      <w:r>
        <w:rPr>
          <w:rFonts w:hint="eastAsia" w:ascii="宋体" w:hAnsi="宋体"/>
          <w:b/>
          <w:color w:val="auto"/>
          <w:sz w:val="28"/>
          <w:szCs w:val="28"/>
          <w:highlight w:val="none"/>
          <w:u w:val="single"/>
        </w:rPr>
        <w:t>年</w:t>
      </w:r>
      <w:r>
        <w:rPr>
          <w:rFonts w:hint="eastAsia" w:ascii="宋体" w:hAnsi="宋体"/>
          <w:b/>
          <w:color w:val="auto"/>
          <w:sz w:val="28"/>
          <w:szCs w:val="28"/>
          <w:highlight w:val="none"/>
          <w:u w:val="single"/>
          <w:lang w:val="en-US" w:eastAsia="zh-CN"/>
        </w:rPr>
        <w:t>10</w:t>
      </w:r>
      <w:r>
        <w:rPr>
          <w:rFonts w:hint="eastAsia" w:ascii="宋体" w:hAnsi="宋体"/>
          <w:b/>
          <w:color w:val="auto"/>
          <w:sz w:val="28"/>
          <w:szCs w:val="28"/>
          <w:highlight w:val="none"/>
          <w:u w:val="single"/>
        </w:rPr>
        <w:t>月1</w:t>
      </w:r>
      <w:r>
        <w:rPr>
          <w:rFonts w:hint="eastAsia" w:ascii="宋体" w:hAnsi="宋体"/>
          <w:b/>
          <w:color w:val="auto"/>
          <w:sz w:val="28"/>
          <w:szCs w:val="28"/>
          <w:highlight w:val="none"/>
          <w:u w:val="single"/>
          <w:lang w:val="en-US" w:eastAsia="zh-CN"/>
        </w:rPr>
        <w:t>9</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（2）投标截止时间：2022年</w:t>
      </w:r>
      <w:r>
        <w:rPr>
          <w:rFonts w:hint="eastAsia" w:ascii="宋体" w:hAnsi="宋体"/>
          <w:color w:val="auto"/>
          <w:sz w:val="28"/>
          <w:szCs w:val="28"/>
          <w:highlight w:val="none"/>
          <w:lang w:val="en-US" w:eastAsia="zh-CN"/>
        </w:rPr>
        <w:t>11</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01</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14</w:t>
      </w:r>
      <w:r>
        <w:rPr>
          <w:rFonts w:hint="eastAsia" w:ascii="宋体" w:hAnsi="宋体"/>
          <w:color w:val="auto"/>
          <w:sz w:val="28"/>
          <w:szCs w:val="28"/>
          <w:highlight w:val="none"/>
        </w:rPr>
        <w:t>：00。</w:t>
      </w:r>
      <w:bookmarkStart w:id="5" w:name="_Hlk32349437"/>
    </w:p>
    <w:bookmarkEnd w:id="5"/>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rPr>
        <w:t>招标办。联系人：马老师、罗老师、刘老师；联系电话：025-58731441。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（1）开标、唱标：2022年</w:t>
      </w:r>
      <w:r>
        <w:rPr>
          <w:rFonts w:hint="eastAsia" w:ascii="宋体" w:hAnsi="宋体"/>
          <w:color w:val="auto"/>
          <w:sz w:val="28"/>
          <w:szCs w:val="28"/>
          <w:highlight w:val="none"/>
          <w:lang w:val="en-US" w:eastAsia="zh-CN"/>
        </w:rPr>
        <w:t>11</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01</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14</w:t>
      </w:r>
      <w:r>
        <w:rPr>
          <w:rFonts w:hint="eastAsia" w:ascii="宋体" w:hAnsi="宋体"/>
          <w:color w:val="auto"/>
          <w:sz w:val="28"/>
          <w:szCs w:val="28"/>
          <w:highlight w:val="none"/>
        </w:rPr>
        <w:t>：00；(不安排公开开标、唱标，由招标办工作人员在我校纪检监察部门监督见证下进行，开标、唱标工作全程视频监控并录像)。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）招标办：联系电话：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，联系人：马老师、罗老师、刘老师；</w:t>
      </w:r>
    </w:p>
    <w:p>
      <w:pPr>
        <w:snapToGrid w:val="0"/>
        <w:spacing w:line="360" w:lineRule="auto"/>
        <w:ind w:firstLine="425" w:firstLineChars="152"/>
        <w:rPr>
          <w:rFonts w:ascii="宋体" w:hAnsi="宋体"/>
          <w:color w:val="auto"/>
          <w:sz w:val="28"/>
          <w:szCs w:val="28"/>
          <w:highlight w:val="none"/>
        </w:rPr>
      </w:pPr>
      <w:r>
        <w:rPr>
          <w:rFonts w:hint="eastAsia" w:ascii="宋体" w:hAnsi="宋体"/>
          <w:color w:val="auto"/>
          <w:sz w:val="28"/>
          <w:szCs w:val="28"/>
          <w:highlight w:val="none"/>
        </w:rPr>
        <w:t>（2）</w:t>
      </w:r>
      <w:bookmarkEnd w:id="4"/>
      <w:r>
        <w:rPr>
          <w:rFonts w:hint="eastAsia" w:ascii="宋体" w:hAnsi="宋体"/>
          <w:color w:val="auto"/>
          <w:sz w:val="28"/>
          <w:szCs w:val="28"/>
          <w:highlight w:val="none"/>
        </w:rPr>
        <w:t>用户单位联系电话：</w:t>
      </w:r>
      <w:r>
        <w:rPr>
          <w:rFonts w:ascii="宋体" w:hAnsi="宋体"/>
          <w:color w:val="auto"/>
          <w:sz w:val="28"/>
          <w:szCs w:val="28"/>
          <w:highlight w:val="none"/>
        </w:rPr>
        <w:t>13815893592</w:t>
      </w:r>
      <w:r>
        <w:rPr>
          <w:rFonts w:hint="eastAsia" w:ascii="宋体" w:hAnsi="宋体"/>
          <w:color w:val="auto"/>
          <w:sz w:val="28"/>
          <w:szCs w:val="28"/>
          <w:highlight w:val="none"/>
        </w:rPr>
        <w:t>，联系人：徐老师。</w:t>
      </w:r>
    </w:p>
    <w:p>
      <w:pPr>
        <w:pStyle w:val="10"/>
        <w:ind w:left="0" w:leftChars="0" w:right="0" w:rightChars="0"/>
        <w:rPr>
          <w:rFonts w:ascii="宋体" w:hAnsi="宋体"/>
          <w:color w:val="auto"/>
          <w:sz w:val="28"/>
          <w:szCs w:val="28"/>
          <w:highlight w:val="none"/>
        </w:rPr>
      </w:pPr>
    </w:p>
    <w:p>
      <w:pPr>
        <w:tabs>
          <w:tab w:val="left" w:pos="1260"/>
        </w:tabs>
        <w:spacing w:line="360" w:lineRule="auto"/>
        <w:ind w:left="1959" w:leftChars="933" w:firstLine="2530" w:firstLineChars="900"/>
        <w:rPr>
          <w:rFonts w:ascii="宋体"/>
          <w:b/>
          <w:color w:val="auto"/>
          <w:sz w:val="28"/>
          <w:szCs w:val="28"/>
          <w:highlight w:val="none"/>
        </w:rPr>
      </w:pPr>
      <w:bookmarkStart w:id="6" w:name="_Hlk9866962"/>
      <w:r>
        <w:rPr>
          <w:rFonts w:hint="eastAsia" w:ascii="宋体" w:hAnsi="宋体"/>
          <w:b/>
          <w:color w:val="auto"/>
          <w:sz w:val="28"/>
          <w:szCs w:val="28"/>
          <w:highlight w:val="none"/>
        </w:rPr>
        <w:t>南京信息工程大学招标办</w:t>
      </w:r>
    </w:p>
    <w:p>
      <w:pPr>
        <w:pStyle w:val="13"/>
        <w:spacing w:line="360" w:lineRule="auto"/>
        <w:ind w:left="99" w:leftChars="47" w:firstLine="4919" w:firstLineChars="1750"/>
        <w:rPr>
          <w:rStyle w:val="43"/>
          <w:rFonts w:ascii="宋体" w:hAnsi="Times New Roman" w:eastAsia="宋体"/>
          <w:color w:val="auto"/>
          <w:sz w:val="28"/>
          <w:szCs w:val="28"/>
          <w:highlight w:val="none"/>
        </w:rPr>
      </w:pPr>
      <w:r>
        <w:rPr>
          <w:rStyle w:val="43"/>
          <w:rFonts w:ascii="宋体" w:hAnsi="宋体" w:eastAsia="宋体"/>
          <w:color w:val="auto"/>
          <w:sz w:val="28"/>
          <w:szCs w:val="28"/>
          <w:highlight w:val="none"/>
        </w:rPr>
        <w:t>20</w:t>
      </w:r>
      <w:r>
        <w:rPr>
          <w:rStyle w:val="43"/>
          <w:rFonts w:hint="eastAsia" w:ascii="宋体" w:hAnsi="宋体" w:eastAsia="宋体"/>
          <w:color w:val="auto"/>
          <w:sz w:val="28"/>
          <w:szCs w:val="28"/>
          <w:highlight w:val="none"/>
        </w:rPr>
        <w:t>2</w:t>
      </w:r>
      <w:r>
        <w:rPr>
          <w:rStyle w:val="43"/>
          <w:rFonts w:hint="eastAsia" w:ascii="宋体" w:hAnsi="宋体"/>
          <w:color w:val="auto"/>
          <w:sz w:val="28"/>
          <w:szCs w:val="28"/>
          <w:highlight w:val="none"/>
          <w:lang w:val="en-US"/>
        </w:rPr>
        <w:t>2</w:t>
      </w:r>
      <w:r>
        <w:rPr>
          <w:rStyle w:val="43"/>
          <w:rFonts w:hint="eastAsia" w:ascii="宋体" w:hAnsi="宋体" w:eastAsia="宋体"/>
          <w:color w:val="auto"/>
          <w:sz w:val="28"/>
          <w:szCs w:val="28"/>
          <w:highlight w:val="none"/>
        </w:rPr>
        <w:t>年</w:t>
      </w:r>
      <w:r>
        <w:rPr>
          <w:rStyle w:val="43"/>
          <w:rFonts w:hint="eastAsia" w:ascii="宋体" w:hAnsi="宋体"/>
          <w:color w:val="auto"/>
          <w:sz w:val="28"/>
          <w:szCs w:val="28"/>
          <w:highlight w:val="none"/>
          <w:lang w:val="en-US"/>
        </w:rPr>
        <w:t>10</w:t>
      </w:r>
      <w:r>
        <w:rPr>
          <w:rStyle w:val="43"/>
          <w:rFonts w:hint="eastAsia" w:ascii="宋体" w:hAnsi="宋体" w:eastAsia="宋体"/>
          <w:color w:val="auto"/>
          <w:sz w:val="28"/>
          <w:szCs w:val="28"/>
          <w:highlight w:val="none"/>
        </w:rPr>
        <w:t>月</w:t>
      </w:r>
      <w:r>
        <w:rPr>
          <w:rStyle w:val="43"/>
          <w:rFonts w:hint="eastAsia" w:ascii="宋体" w:hAnsi="宋体"/>
          <w:color w:val="auto"/>
          <w:sz w:val="28"/>
          <w:szCs w:val="28"/>
          <w:highlight w:val="none"/>
          <w:lang w:val="en-US"/>
        </w:rPr>
        <w:t>12</w:t>
      </w:r>
      <w:r>
        <w:rPr>
          <w:rStyle w:val="43"/>
          <w:rFonts w:hint="eastAsia" w:ascii="宋体" w:hAnsi="宋体" w:eastAsia="宋体"/>
          <w:color w:val="auto"/>
          <w:sz w:val="28"/>
          <w:szCs w:val="28"/>
          <w:highlight w:val="none"/>
        </w:rPr>
        <w:t>日</w:t>
      </w:r>
    </w:p>
    <w:bookmarkEnd w:id="6"/>
    <w:p>
      <w:pPr>
        <w:pStyle w:val="12"/>
        <w:adjustRightInd w:val="0"/>
        <w:snapToGrid w:val="0"/>
        <w:spacing w:before="120" w:after="120" w:line="360" w:lineRule="auto"/>
        <w:rPr>
          <w:rStyle w:val="43"/>
          <w:rFonts w:ascii="宋体" w:hAnsi="宋体" w:eastAsia="宋体"/>
          <w:b w:val="0"/>
          <w:color w:val="auto"/>
          <w:sz w:val="28"/>
          <w:szCs w:val="28"/>
          <w:highlight w:val="none"/>
        </w:rPr>
      </w:pPr>
      <w:r>
        <w:rPr>
          <w:rStyle w:val="43"/>
          <w:rFonts w:ascii="宋体" w:hAnsi="Times New Roman" w:eastAsia="宋体"/>
          <w:b w:val="0"/>
          <w:color w:val="auto"/>
          <w:sz w:val="28"/>
          <w:szCs w:val="28"/>
          <w:highlight w:val="none"/>
        </w:rPr>
        <w:br w:type="page"/>
      </w:r>
      <w:bookmarkStart w:id="7" w:name="_Toc462564147"/>
      <w:r>
        <w:rPr>
          <w:rFonts w:ascii="Times New Roman" w:hAnsi="Times New Roman"/>
          <w:b/>
          <w:bCs/>
          <w:color w:val="auto"/>
          <w:sz w:val="24"/>
          <w:szCs w:val="24"/>
          <w:highlight w:val="none"/>
        </w:rPr>
        <w:t>附件1：</w:t>
      </w:r>
    </w:p>
    <w:p>
      <w:pPr>
        <w:pStyle w:val="18"/>
        <w:rPr>
          <w:color w:val="auto"/>
          <w:highlight w:val="none"/>
        </w:rPr>
      </w:pPr>
      <w:r>
        <w:rPr>
          <w:rFonts w:hint="eastAsia"/>
          <w:color w:val="auto"/>
          <w:highlight w:val="none"/>
        </w:rPr>
        <w:t>金牛湖产教融合园区实验中心维保服务项目</w:t>
      </w:r>
    </w:p>
    <w:p>
      <w:pPr>
        <w:widowControl/>
        <w:spacing w:line="300" w:lineRule="auto"/>
        <w:jc w:val="left"/>
        <w:rPr>
          <w:rFonts w:hAnsi="宋体"/>
          <w:b/>
          <w:color w:val="auto"/>
          <w:sz w:val="32"/>
          <w:szCs w:val="32"/>
          <w:highlight w:val="none"/>
        </w:rPr>
      </w:pPr>
      <w:r>
        <w:rPr>
          <w:rFonts w:hint="eastAsia" w:hAnsi="宋体"/>
          <w:b/>
          <w:color w:val="auto"/>
          <w:sz w:val="32"/>
          <w:szCs w:val="32"/>
          <w:highlight w:val="none"/>
        </w:rPr>
        <w:t>一 服务需求</w:t>
      </w:r>
    </w:p>
    <w:p>
      <w:pPr>
        <w:widowControl/>
        <w:spacing w:line="300" w:lineRule="auto"/>
        <w:ind w:firstLine="562" w:firstLineChars="200"/>
        <w:jc w:val="left"/>
        <w:rPr>
          <w:color w:val="auto"/>
          <w:sz w:val="24"/>
          <w:highlight w:val="none"/>
        </w:rPr>
      </w:pPr>
      <w:r>
        <w:rPr>
          <w:rFonts w:hint="eastAsia" w:hAnsi="宋体"/>
          <w:b/>
          <w:color w:val="auto"/>
          <w:sz w:val="28"/>
          <w:szCs w:val="28"/>
          <w:highlight w:val="none"/>
        </w:rPr>
        <w:t>1</w:t>
      </w:r>
      <w:r>
        <w:rPr>
          <w:rFonts w:hAnsi="宋体"/>
          <w:b/>
          <w:color w:val="auto"/>
          <w:sz w:val="28"/>
          <w:szCs w:val="28"/>
          <w:highlight w:val="none"/>
        </w:rPr>
        <w:t xml:space="preserve">.1 </w:t>
      </w:r>
      <w:r>
        <w:rPr>
          <w:rFonts w:hint="eastAsia" w:hAnsi="宋体"/>
          <w:b/>
          <w:color w:val="auto"/>
          <w:sz w:val="28"/>
          <w:szCs w:val="28"/>
          <w:highlight w:val="none"/>
        </w:rPr>
        <w:t>服务内容</w:t>
      </w:r>
    </w:p>
    <w:p>
      <w:pPr>
        <w:spacing w:after="100" w:line="300" w:lineRule="auto"/>
        <w:ind w:firstLine="420"/>
        <w:rPr>
          <w:color w:val="auto"/>
          <w:sz w:val="24"/>
          <w:highlight w:val="none"/>
        </w:rPr>
      </w:pPr>
      <w:r>
        <w:rPr>
          <w:rFonts w:hint="eastAsia"/>
          <w:color w:val="auto"/>
          <w:sz w:val="24"/>
          <w:highlight w:val="none"/>
        </w:rPr>
        <w:t>金牛湖产教融合园区实验实训中心目前有专业实验室2</w:t>
      </w:r>
      <w:r>
        <w:rPr>
          <w:color w:val="auto"/>
          <w:sz w:val="24"/>
          <w:highlight w:val="none"/>
        </w:rPr>
        <w:t>4</w:t>
      </w:r>
      <w:r>
        <w:rPr>
          <w:rFonts w:hint="eastAsia"/>
          <w:color w:val="auto"/>
          <w:sz w:val="24"/>
          <w:highlight w:val="none"/>
        </w:rPr>
        <w:t>间，包含电气类实验室6间，电子信息类实验室8间，计算机类实验室1</w:t>
      </w:r>
      <w:r>
        <w:rPr>
          <w:color w:val="auto"/>
          <w:sz w:val="24"/>
          <w:highlight w:val="none"/>
        </w:rPr>
        <w:t>0</w:t>
      </w:r>
      <w:r>
        <w:rPr>
          <w:rFonts w:hint="eastAsia"/>
          <w:color w:val="auto"/>
          <w:sz w:val="24"/>
          <w:highlight w:val="none"/>
        </w:rPr>
        <w:t>间。实验中心维保服务项目为金牛湖产教融合园区实验中心开展正常实验教学和各类考试等提供技术和服务保障，主要涉及云桌面系统（H</w:t>
      </w:r>
      <w:r>
        <w:rPr>
          <w:color w:val="auto"/>
          <w:sz w:val="24"/>
          <w:highlight w:val="none"/>
        </w:rPr>
        <w:t>3C</w:t>
      </w:r>
      <w:r>
        <w:rPr>
          <w:rFonts w:hint="eastAsia"/>
          <w:color w:val="auto"/>
          <w:sz w:val="24"/>
          <w:highlight w:val="none"/>
        </w:rPr>
        <w:t>品牌）、服务器、光纤交换机、存储、监控、集控中心、网络、扩声系统、中控系统、大屏一体机等硬件设备及软件的维护。正常质保期内软、硬件故障及时联系承建单位维修；质保期外上报学校，由学校联系维修、维护或更换。具体服务内容如表所示：</w:t>
      </w:r>
    </w:p>
    <w:p>
      <w:pPr>
        <w:spacing w:after="100" w:line="300" w:lineRule="auto"/>
        <w:ind w:firstLine="420"/>
        <w:rPr>
          <w:color w:val="auto"/>
          <w:sz w:val="24"/>
          <w:highlight w:val="none"/>
        </w:rPr>
      </w:pPr>
      <w:r>
        <w:rPr>
          <w:rFonts w:hint="eastAsia"/>
          <w:color w:val="auto"/>
          <w:sz w:val="24"/>
          <w:highlight w:val="none"/>
        </w:rPr>
        <w:t>项目服务期限：自合同签订之日起一年。</w:t>
      </w:r>
    </w:p>
    <w:p>
      <w:pPr>
        <w:spacing w:after="100" w:line="300" w:lineRule="auto"/>
        <w:ind w:firstLine="420"/>
        <w:rPr>
          <w:color w:val="auto"/>
          <w:sz w:val="24"/>
          <w:highlight w:val="none"/>
        </w:rPr>
      </w:pPr>
      <w:r>
        <w:rPr>
          <w:color w:val="auto"/>
          <w:sz w:val="24"/>
          <w:highlight w:val="none"/>
        </w:rPr>
        <w:t>驻场运维</w:t>
      </w:r>
      <w:r>
        <w:rPr>
          <w:rFonts w:hint="eastAsia"/>
          <w:color w:val="auto"/>
          <w:sz w:val="24"/>
          <w:highlight w:val="none"/>
        </w:rPr>
        <w:t>服务需向园区实验中心提供如下服务：</w:t>
      </w:r>
    </w:p>
    <w:tbl>
      <w:tblPr>
        <w:tblStyle w:val="20"/>
        <w:tblW w:w="9072" w:type="dxa"/>
        <w:tblInd w:w="108" w:type="dxa"/>
        <w:tblLayout w:type="fixed"/>
        <w:tblCellMar>
          <w:top w:w="0" w:type="dxa"/>
          <w:left w:w="108" w:type="dxa"/>
          <w:bottom w:w="0" w:type="dxa"/>
          <w:right w:w="108" w:type="dxa"/>
        </w:tblCellMar>
      </w:tblPr>
      <w:tblGrid>
        <w:gridCol w:w="660"/>
        <w:gridCol w:w="1300"/>
        <w:gridCol w:w="1640"/>
        <w:gridCol w:w="5472"/>
      </w:tblGrid>
      <w:tr>
        <w:tblPrEx>
          <w:tblCellMar>
            <w:top w:w="0" w:type="dxa"/>
            <w:left w:w="108" w:type="dxa"/>
            <w:bottom w:w="0" w:type="dxa"/>
            <w:right w:w="108" w:type="dxa"/>
          </w:tblCellMar>
        </w:tblPrEx>
        <w:trPr>
          <w:trHeight w:val="516" w:hRule="atLeast"/>
        </w:trPr>
        <w:tc>
          <w:tcPr>
            <w:tcW w:w="66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300" w:lineRule="auto"/>
              <w:jc w:val="center"/>
              <w:rPr>
                <w:rFonts w:cs="宋体" w:asciiTheme="minorEastAsia" w:hAnsiTheme="minorEastAsia" w:eastAsiaTheme="minorEastAsia"/>
                <w:b/>
                <w:bCs/>
                <w:color w:val="auto"/>
                <w:kern w:val="0"/>
                <w:sz w:val="20"/>
                <w:szCs w:val="20"/>
                <w:highlight w:val="none"/>
              </w:rPr>
            </w:pPr>
            <w:r>
              <w:rPr>
                <w:rFonts w:hint="eastAsia" w:cs="宋体" w:asciiTheme="minorEastAsia" w:hAnsiTheme="minorEastAsia" w:eastAsiaTheme="minorEastAsia"/>
                <w:b/>
                <w:bCs/>
                <w:color w:val="auto"/>
                <w:kern w:val="0"/>
                <w:sz w:val="20"/>
                <w:szCs w:val="20"/>
                <w:highlight w:val="none"/>
              </w:rPr>
              <w:t>序号</w:t>
            </w:r>
          </w:p>
        </w:tc>
        <w:tc>
          <w:tcPr>
            <w:tcW w:w="1300"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auto"/>
              <w:jc w:val="center"/>
              <w:rPr>
                <w:rFonts w:cs="宋体" w:asciiTheme="minorEastAsia" w:hAnsiTheme="minorEastAsia" w:eastAsiaTheme="minorEastAsia"/>
                <w:b/>
                <w:bCs/>
                <w:color w:val="auto"/>
                <w:kern w:val="0"/>
                <w:sz w:val="20"/>
                <w:szCs w:val="20"/>
                <w:highlight w:val="none"/>
              </w:rPr>
            </w:pPr>
            <w:r>
              <w:rPr>
                <w:rFonts w:hint="eastAsia" w:cs="宋体" w:asciiTheme="minorEastAsia" w:hAnsiTheme="minorEastAsia" w:eastAsiaTheme="minorEastAsia"/>
                <w:b/>
                <w:bCs/>
                <w:color w:val="auto"/>
                <w:kern w:val="0"/>
                <w:sz w:val="20"/>
                <w:szCs w:val="20"/>
                <w:highlight w:val="none"/>
              </w:rPr>
              <w:t>服务模块</w:t>
            </w:r>
          </w:p>
        </w:tc>
        <w:tc>
          <w:tcPr>
            <w:tcW w:w="1640"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auto"/>
              <w:jc w:val="center"/>
              <w:rPr>
                <w:rFonts w:cs="宋体" w:asciiTheme="minorEastAsia" w:hAnsiTheme="minorEastAsia" w:eastAsiaTheme="minorEastAsia"/>
                <w:b/>
                <w:bCs/>
                <w:color w:val="auto"/>
                <w:kern w:val="0"/>
                <w:sz w:val="20"/>
                <w:szCs w:val="20"/>
                <w:highlight w:val="none"/>
              </w:rPr>
            </w:pPr>
            <w:r>
              <w:rPr>
                <w:rFonts w:hint="eastAsia" w:cs="宋体" w:asciiTheme="minorEastAsia" w:hAnsiTheme="minorEastAsia" w:eastAsiaTheme="minorEastAsia"/>
                <w:b/>
                <w:bCs/>
                <w:color w:val="auto"/>
                <w:kern w:val="0"/>
                <w:sz w:val="20"/>
                <w:szCs w:val="20"/>
                <w:highlight w:val="none"/>
              </w:rPr>
              <w:t xml:space="preserve">服务子项 </w:t>
            </w:r>
          </w:p>
        </w:tc>
        <w:tc>
          <w:tcPr>
            <w:tcW w:w="5472"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auto"/>
              <w:jc w:val="center"/>
              <w:rPr>
                <w:rFonts w:cs="宋体" w:asciiTheme="minorEastAsia" w:hAnsiTheme="minorEastAsia" w:eastAsiaTheme="minorEastAsia"/>
                <w:b/>
                <w:bCs/>
                <w:color w:val="auto"/>
                <w:kern w:val="0"/>
                <w:sz w:val="20"/>
                <w:szCs w:val="20"/>
                <w:highlight w:val="none"/>
              </w:rPr>
            </w:pPr>
            <w:r>
              <w:rPr>
                <w:rFonts w:hint="eastAsia" w:cs="宋体" w:asciiTheme="minorEastAsia" w:hAnsiTheme="minorEastAsia" w:eastAsiaTheme="minorEastAsia"/>
                <w:b/>
                <w:bCs/>
                <w:color w:val="auto"/>
                <w:kern w:val="0"/>
                <w:sz w:val="20"/>
                <w:szCs w:val="20"/>
                <w:highlight w:val="none"/>
              </w:rPr>
              <w:t>服务描述</w:t>
            </w:r>
          </w:p>
        </w:tc>
      </w:tr>
      <w:tr>
        <w:tblPrEx>
          <w:tblCellMar>
            <w:top w:w="0" w:type="dxa"/>
            <w:left w:w="108" w:type="dxa"/>
            <w:bottom w:w="0" w:type="dxa"/>
            <w:right w:w="108" w:type="dxa"/>
          </w:tblCellMar>
        </w:tblPrEx>
        <w:trPr>
          <w:trHeight w:val="66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color w:val="auto"/>
                <w:kern w:val="0"/>
                <w:sz w:val="20"/>
                <w:szCs w:val="20"/>
                <w:highlight w:val="none"/>
              </w:rPr>
            </w:pPr>
            <w:r>
              <w:rPr>
                <w:rFonts w:hint="eastAsia" w:cs="宋体" w:asciiTheme="minorEastAsia" w:hAnsiTheme="minorEastAsia" w:eastAsiaTheme="minorEastAsia"/>
                <w:color w:val="auto"/>
                <w:kern w:val="0"/>
                <w:sz w:val="20"/>
                <w:szCs w:val="20"/>
                <w:highlight w:val="none"/>
              </w:rPr>
              <w:t>1</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b/>
                <w:color w:val="auto"/>
                <w:kern w:val="0"/>
                <w:sz w:val="20"/>
                <w:szCs w:val="20"/>
                <w:highlight w:val="none"/>
              </w:rPr>
            </w:pPr>
            <w:r>
              <w:rPr>
                <w:rFonts w:hint="eastAsia" w:cs="宋体" w:asciiTheme="minorEastAsia" w:hAnsiTheme="minorEastAsia" w:eastAsiaTheme="minorEastAsia"/>
                <w:b/>
                <w:color w:val="auto"/>
                <w:kern w:val="0"/>
                <w:sz w:val="20"/>
                <w:szCs w:val="20"/>
                <w:highlight w:val="none"/>
              </w:rPr>
              <w:t>基础运维</w:t>
            </w:r>
          </w:p>
        </w:tc>
        <w:tc>
          <w:tcPr>
            <w:tcW w:w="164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b/>
                <w:bCs/>
                <w:color w:val="auto"/>
                <w:kern w:val="0"/>
                <w:sz w:val="20"/>
                <w:szCs w:val="20"/>
                <w:highlight w:val="none"/>
              </w:rPr>
            </w:pPr>
            <w:r>
              <w:rPr>
                <w:rFonts w:hint="eastAsia" w:cs="宋体" w:asciiTheme="minorEastAsia" w:hAnsiTheme="minorEastAsia" w:eastAsiaTheme="minorEastAsia"/>
                <w:b/>
                <w:bCs/>
                <w:color w:val="auto"/>
                <w:kern w:val="0"/>
                <w:sz w:val="20"/>
                <w:szCs w:val="20"/>
                <w:highlight w:val="none"/>
              </w:rPr>
              <w:t>服务计划与监控</w:t>
            </w:r>
          </w:p>
        </w:tc>
        <w:tc>
          <w:tcPr>
            <w:tcW w:w="5472"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根据园区实验中心要求制定年度维护服务计划，每季度对服务内容进行回顾和调整，全程对服务质量进行监控</w:t>
            </w:r>
          </w:p>
        </w:tc>
      </w:tr>
      <w:tr>
        <w:tblPrEx>
          <w:tblCellMar>
            <w:top w:w="0" w:type="dxa"/>
            <w:left w:w="108" w:type="dxa"/>
            <w:bottom w:w="0" w:type="dxa"/>
            <w:right w:w="108" w:type="dxa"/>
          </w:tblCellMar>
        </w:tblPrEx>
        <w:trPr>
          <w:trHeight w:val="66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color w:val="auto"/>
                <w:kern w:val="0"/>
                <w:sz w:val="20"/>
                <w:szCs w:val="20"/>
                <w:highlight w:val="none"/>
              </w:rPr>
            </w:pPr>
            <w:r>
              <w:rPr>
                <w:rFonts w:hint="eastAsia" w:cs="宋体" w:asciiTheme="minorEastAsia" w:hAnsiTheme="minorEastAsia" w:eastAsiaTheme="minorEastAsia"/>
                <w:color w:val="auto"/>
                <w:kern w:val="0"/>
                <w:sz w:val="20"/>
                <w:szCs w:val="20"/>
                <w:highlight w:val="none"/>
              </w:rPr>
              <w:t>2</w:t>
            </w:r>
          </w:p>
        </w:tc>
        <w:tc>
          <w:tcPr>
            <w:tcW w:w="1300" w:type="dxa"/>
            <w:vMerge w:val="continue"/>
            <w:tcBorders>
              <w:top w:val="nil"/>
              <w:left w:val="single" w:color="auto" w:sz="4" w:space="0"/>
              <w:bottom w:val="single" w:color="auto" w:sz="4" w:space="0"/>
              <w:right w:val="single" w:color="auto" w:sz="4" w:space="0"/>
            </w:tcBorders>
            <w:vAlign w:val="center"/>
          </w:tcPr>
          <w:p>
            <w:pPr>
              <w:widowControl/>
              <w:spacing w:line="300" w:lineRule="auto"/>
              <w:jc w:val="left"/>
              <w:rPr>
                <w:rFonts w:cs="宋体" w:asciiTheme="minorEastAsia" w:hAnsiTheme="minorEastAsia" w:eastAsiaTheme="minorEastAsia"/>
                <w:b/>
                <w:color w:val="auto"/>
                <w:kern w:val="0"/>
                <w:sz w:val="20"/>
                <w:szCs w:val="20"/>
                <w:highlight w:val="none"/>
              </w:rPr>
            </w:pPr>
          </w:p>
        </w:tc>
        <w:tc>
          <w:tcPr>
            <w:tcW w:w="164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b/>
                <w:bCs/>
                <w:color w:val="auto"/>
                <w:kern w:val="0"/>
                <w:sz w:val="20"/>
                <w:szCs w:val="20"/>
                <w:highlight w:val="none"/>
              </w:rPr>
            </w:pPr>
            <w:r>
              <w:rPr>
                <w:rFonts w:hint="eastAsia" w:cs="宋体" w:asciiTheme="minorEastAsia" w:hAnsiTheme="minorEastAsia" w:eastAsiaTheme="minorEastAsia"/>
                <w:b/>
                <w:bCs/>
                <w:color w:val="auto"/>
                <w:kern w:val="0"/>
                <w:sz w:val="20"/>
                <w:szCs w:val="20"/>
                <w:highlight w:val="none"/>
              </w:rPr>
              <w:t>日常维护与监控</w:t>
            </w:r>
          </w:p>
        </w:tc>
        <w:tc>
          <w:tcPr>
            <w:tcW w:w="5472"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协助园区实验中心对云桌面平台软件和相关的服务器、存储和网络、大屏一体机、扩声系统、中控、监控系统等硬件设备及各类线路进行日常维护和例行监控，并提供维护服务记录</w:t>
            </w:r>
          </w:p>
        </w:tc>
      </w:tr>
      <w:tr>
        <w:tblPrEx>
          <w:tblCellMar>
            <w:top w:w="0" w:type="dxa"/>
            <w:left w:w="108" w:type="dxa"/>
            <w:bottom w:w="0" w:type="dxa"/>
            <w:right w:w="108" w:type="dxa"/>
          </w:tblCellMar>
        </w:tblPrEx>
        <w:trPr>
          <w:trHeight w:val="66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color w:val="auto"/>
                <w:kern w:val="0"/>
                <w:sz w:val="20"/>
                <w:szCs w:val="20"/>
                <w:highlight w:val="none"/>
              </w:rPr>
            </w:pPr>
            <w:r>
              <w:rPr>
                <w:rFonts w:hint="eastAsia" w:cs="宋体" w:asciiTheme="minorEastAsia" w:hAnsiTheme="minorEastAsia" w:eastAsiaTheme="minorEastAsia"/>
                <w:color w:val="auto"/>
                <w:kern w:val="0"/>
                <w:sz w:val="20"/>
                <w:szCs w:val="20"/>
                <w:highlight w:val="none"/>
              </w:rPr>
              <w:t>3</w:t>
            </w:r>
          </w:p>
        </w:tc>
        <w:tc>
          <w:tcPr>
            <w:tcW w:w="1300" w:type="dxa"/>
            <w:vMerge w:val="continue"/>
            <w:tcBorders>
              <w:top w:val="nil"/>
              <w:left w:val="single" w:color="auto" w:sz="4" w:space="0"/>
              <w:bottom w:val="single" w:color="auto" w:sz="4" w:space="0"/>
              <w:right w:val="single" w:color="auto" w:sz="4" w:space="0"/>
            </w:tcBorders>
            <w:vAlign w:val="center"/>
          </w:tcPr>
          <w:p>
            <w:pPr>
              <w:widowControl/>
              <w:spacing w:line="300" w:lineRule="auto"/>
              <w:jc w:val="left"/>
              <w:rPr>
                <w:rFonts w:cs="宋体" w:asciiTheme="minorEastAsia" w:hAnsiTheme="minorEastAsia" w:eastAsiaTheme="minorEastAsia"/>
                <w:b/>
                <w:color w:val="auto"/>
                <w:kern w:val="0"/>
                <w:sz w:val="20"/>
                <w:szCs w:val="20"/>
                <w:highlight w:val="none"/>
              </w:rPr>
            </w:pPr>
          </w:p>
        </w:tc>
        <w:tc>
          <w:tcPr>
            <w:tcW w:w="164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b/>
                <w:bCs/>
                <w:color w:val="auto"/>
                <w:kern w:val="0"/>
                <w:sz w:val="20"/>
                <w:szCs w:val="20"/>
                <w:highlight w:val="none"/>
              </w:rPr>
            </w:pPr>
            <w:r>
              <w:rPr>
                <w:rFonts w:hint="eastAsia" w:cs="宋体" w:asciiTheme="minorEastAsia" w:hAnsiTheme="minorEastAsia" w:eastAsiaTheme="minorEastAsia"/>
                <w:b/>
                <w:bCs/>
                <w:color w:val="auto"/>
                <w:kern w:val="0"/>
                <w:sz w:val="20"/>
                <w:szCs w:val="20"/>
                <w:highlight w:val="none"/>
              </w:rPr>
              <w:t>高级巡检服务</w:t>
            </w:r>
          </w:p>
        </w:tc>
        <w:tc>
          <w:tcPr>
            <w:tcW w:w="5472"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每天通过云桌面平台巡检，提前发现问题，及时排查；每季度一次，定期采集云桌面平台软件和相关硬件设备的运行信息并进行分析，对云桌面平台的运行和维护现状进行检查，并对存在的潜在风险和漏洞进行分析和汇报。</w:t>
            </w:r>
          </w:p>
        </w:tc>
      </w:tr>
      <w:tr>
        <w:tblPrEx>
          <w:tblCellMar>
            <w:top w:w="0" w:type="dxa"/>
            <w:left w:w="108" w:type="dxa"/>
            <w:bottom w:w="0" w:type="dxa"/>
            <w:right w:w="108" w:type="dxa"/>
          </w:tblCellMar>
        </w:tblPrEx>
        <w:trPr>
          <w:trHeight w:val="66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color w:val="auto"/>
                <w:kern w:val="0"/>
                <w:sz w:val="20"/>
                <w:szCs w:val="20"/>
                <w:highlight w:val="none"/>
              </w:rPr>
            </w:pPr>
            <w:r>
              <w:rPr>
                <w:rFonts w:hint="eastAsia" w:cs="宋体" w:asciiTheme="minorEastAsia" w:hAnsiTheme="minorEastAsia" w:eastAsiaTheme="minorEastAsia"/>
                <w:color w:val="auto"/>
                <w:kern w:val="0"/>
                <w:sz w:val="20"/>
                <w:szCs w:val="20"/>
                <w:highlight w:val="none"/>
              </w:rPr>
              <w:t>4</w:t>
            </w:r>
          </w:p>
        </w:tc>
        <w:tc>
          <w:tcPr>
            <w:tcW w:w="1300" w:type="dxa"/>
            <w:vMerge w:val="continue"/>
            <w:tcBorders>
              <w:top w:val="nil"/>
              <w:left w:val="single" w:color="auto" w:sz="4" w:space="0"/>
              <w:bottom w:val="single" w:color="auto" w:sz="4" w:space="0"/>
              <w:right w:val="single" w:color="auto" w:sz="4" w:space="0"/>
            </w:tcBorders>
            <w:vAlign w:val="center"/>
          </w:tcPr>
          <w:p>
            <w:pPr>
              <w:widowControl/>
              <w:spacing w:line="300" w:lineRule="auto"/>
              <w:jc w:val="left"/>
              <w:rPr>
                <w:rFonts w:cs="宋体" w:asciiTheme="minorEastAsia" w:hAnsiTheme="minorEastAsia" w:eastAsiaTheme="minorEastAsia"/>
                <w:b/>
                <w:color w:val="auto"/>
                <w:kern w:val="0"/>
                <w:sz w:val="20"/>
                <w:szCs w:val="20"/>
                <w:highlight w:val="none"/>
              </w:rPr>
            </w:pPr>
          </w:p>
        </w:tc>
        <w:tc>
          <w:tcPr>
            <w:tcW w:w="164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b/>
                <w:bCs/>
                <w:color w:val="auto"/>
                <w:kern w:val="0"/>
                <w:sz w:val="20"/>
                <w:szCs w:val="20"/>
                <w:highlight w:val="none"/>
              </w:rPr>
            </w:pPr>
            <w:r>
              <w:rPr>
                <w:rFonts w:hint="eastAsia" w:cs="宋体" w:asciiTheme="minorEastAsia" w:hAnsiTheme="minorEastAsia" w:eastAsiaTheme="minorEastAsia"/>
                <w:b/>
                <w:bCs/>
                <w:color w:val="auto"/>
                <w:kern w:val="0"/>
                <w:sz w:val="20"/>
                <w:szCs w:val="20"/>
                <w:highlight w:val="none"/>
              </w:rPr>
              <w:t>信息分析整理</w:t>
            </w:r>
          </w:p>
        </w:tc>
        <w:tc>
          <w:tcPr>
            <w:tcW w:w="5472"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协助园区实验中心管理设备资产信息（序列号、维保起始时间）、网络拓扑信息（IP地址、接口、对端设备等），为后续运维工作提供参考依据。</w:t>
            </w:r>
          </w:p>
        </w:tc>
      </w:tr>
      <w:tr>
        <w:tblPrEx>
          <w:tblCellMar>
            <w:top w:w="0" w:type="dxa"/>
            <w:left w:w="108" w:type="dxa"/>
            <w:bottom w:w="0" w:type="dxa"/>
            <w:right w:w="108" w:type="dxa"/>
          </w:tblCellMar>
        </w:tblPrEx>
        <w:trPr>
          <w:trHeight w:val="66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color w:val="auto"/>
                <w:kern w:val="0"/>
                <w:sz w:val="20"/>
                <w:szCs w:val="20"/>
                <w:highlight w:val="none"/>
              </w:rPr>
            </w:pPr>
            <w:r>
              <w:rPr>
                <w:rFonts w:hint="eastAsia" w:cs="宋体" w:asciiTheme="minorEastAsia" w:hAnsiTheme="minorEastAsia" w:eastAsiaTheme="minorEastAsia"/>
                <w:color w:val="auto"/>
                <w:kern w:val="0"/>
                <w:sz w:val="20"/>
                <w:szCs w:val="20"/>
                <w:highlight w:val="none"/>
              </w:rPr>
              <w:t>5</w:t>
            </w:r>
          </w:p>
        </w:tc>
        <w:tc>
          <w:tcPr>
            <w:tcW w:w="1300" w:type="dxa"/>
            <w:vMerge w:val="continue"/>
            <w:tcBorders>
              <w:top w:val="nil"/>
              <w:left w:val="single" w:color="auto" w:sz="4" w:space="0"/>
              <w:bottom w:val="single" w:color="auto" w:sz="4" w:space="0"/>
              <w:right w:val="single" w:color="auto" w:sz="4" w:space="0"/>
            </w:tcBorders>
            <w:vAlign w:val="center"/>
          </w:tcPr>
          <w:p>
            <w:pPr>
              <w:widowControl/>
              <w:spacing w:line="300" w:lineRule="auto"/>
              <w:jc w:val="left"/>
              <w:rPr>
                <w:rFonts w:cs="宋体" w:asciiTheme="minorEastAsia" w:hAnsiTheme="minorEastAsia" w:eastAsiaTheme="minorEastAsia"/>
                <w:b/>
                <w:color w:val="auto"/>
                <w:kern w:val="0"/>
                <w:sz w:val="20"/>
                <w:szCs w:val="20"/>
                <w:highlight w:val="none"/>
              </w:rPr>
            </w:pPr>
          </w:p>
        </w:tc>
        <w:tc>
          <w:tcPr>
            <w:tcW w:w="164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b/>
                <w:bCs/>
                <w:color w:val="auto"/>
                <w:kern w:val="0"/>
                <w:sz w:val="20"/>
                <w:szCs w:val="20"/>
                <w:highlight w:val="none"/>
              </w:rPr>
            </w:pPr>
            <w:r>
              <w:rPr>
                <w:rFonts w:hint="eastAsia" w:cs="宋体" w:asciiTheme="minorEastAsia" w:hAnsiTheme="minorEastAsia" w:eastAsiaTheme="minorEastAsia"/>
                <w:b/>
                <w:bCs/>
                <w:color w:val="auto"/>
                <w:kern w:val="0"/>
                <w:sz w:val="20"/>
                <w:szCs w:val="20"/>
                <w:highlight w:val="none"/>
              </w:rPr>
              <w:t>故障与问题处理</w:t>
            </w:r>
          </w:p>
        </w:tc>
        <w:tc>
          <w:tcPr>
            <w:tcW w:w="5472"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快速解决由于相关设备本身原因造成的故障和问题，并恢复业务；对于重大问题，直接升级到原厂专家，提升问题处理效率，并全程跟踪问题的处理进展，定期回顾。</w:t>
            </w:r>
          </w:p>
        </w:tc>
      </w:tr>
      <w:tr>
        <w:tblPrEx>
          <w:tblCellMar>
            <w:top w:w="0" w:type="dxa"/>
            <w:left w:w="108" w:type="dxa"/>
            <w:bottom w:w="0" w:type="dxa"/>
            <w:right w:w="108" w:type="dxa"/>
          </w:tblCellMar>
        </w:tblPrEx>
        <w:trPr>
          <w:trHeight w:val="33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color w:val="auto"/>
                <w:kern w:val="0"/>
                <w:sz w:val="20"/>
                <w:szCs w:val="20"/>
                <w:highlight w:val="none"/>
              </w:rPr>
            </w:pPr>
            <w:r>
              <w:rPr>
                <w:rFonts w:hint="eastAsia" w:cs="宋体" w:asciiTheme="minorEastAsia" w:hAnsiTheme="minorEastAsia" w:eastAsiaTheme="minorEastAsia"/>
                <w:color w:val="auto"/>
                <w:kern w:val="0"/>
                <w:sz w:val="20"/>
                <w:szCs w:val="20"/>
                <w:highlight w:val="none"/>
              </w:rPr>
              <w:t>6</w:t>
            </w:r>
          </w:p>
        </w:tc>
        <w:tc>
          <w:tcPr>
            <w:tcW w:w="1300" w:type="dxa"/>
            <w:vMerge w:val="continue"/>
            <w:tcBorders>
              <w:top w:val="nil"/>
              <w:left w:val="single" w:color="auto" w:sz="4" w:space="0"/>
              <w:bottom w:val="single" w:color="auto" w:sz="4" w:space="0"/>
              <w:right w:val="single" w:color="auto" w:sz="4" w:space="0"/>
            </w:tcBorders>
            <w:vAlign w:val="center"/>
          </w:tcPr>
          <w:p>
            <w:pPr>
              <w:widowControl/>
              <w:spacing w:line="300" w:lineRule="auto"/>
              <w:jc w:val="left"/>
              <w:rPr>
                <w:rFonts w:cs="宋体" w:asciiTheme="minorEastAsia" w:hAnsiTheme="minorEastAsia" w:eastAsiaTheme="minorEastAsia"/>
                <w:b/>
                <w:color w:val="auto"/>
                <w:kern w:val="0"/>
                <w:sz w:val="20"/>
                <w:szCs w:val="20"/>
                <w:highlight w:val="none"/>
              </w:rPr>
            </w:pPr>
          </w:p>
        </w:tc>
        <w:tc>
          <w:tcPr>
            <w:tcW w:w="164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b/>
                <w:bCs/>
                <w:color w:val="auto"/>
                <w:kern w:val="0"/>
                <w:sz w:val="20"/>
                <w:szCs w:val="20"/>
                <w:highlight w:val="none"/>
              </w:rPr>
            </w:pPr>
            <w:r>
              <w:rPr>
                <w:rFonts w:hint="eastAsia" w:cs="宋体" w:asciiTheme="minorEastAsia" w:hAnsiTheme="minorEastAsia" w:eastAsiaTheme="minorEastAsia"/>
                <w:b/>
                <w:bCs/>
                <w:color w:val="auto"/>
                <w:kern w:val="0"/>
                <w:sz w:val="20"/>
                <w:szCs w:val="20"/>
                <w:highlight w:val="none"/>
              </w:rPr>
              <w:t>设备硬件维护</w:t>
            </w:r>
          </w:p>
        </w:tc>
        <w:tc>
          <w:tcPr>
            <w:tcW w:w="5472"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根据服务器、网络、存储等硬件设备的备件服务级别，协助园区实验中心进行快速备件更换</w:t>
            </w:r>
          </w:p>
        </w:tc>
      </w:tr>
      <w:tr>
        <w:tblPrEx>
          <w:tblCellMar>
            <w:top w:w="0" w:type="dxa"/>
            <w:left w:w="108" w:type="dxa"/>
            <w:bottom w:w="0" w:type="dxa"/>
            <w:right w:w="108" w:type="dxa"/>
          </w:tblCellMar>
        </w:tblPrEx>
        <w:trPr>
          <w:trHeight w:val="33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color w:val="auto"/>
                <w:kern w:val="0"/>
                <w:sz w:val="20"/>
                <w:szCs w:val="20"/>
                <w:highlight w:val="none"/>
              </w:rPr>
            </w:pPr>
            <w:r>
              <w:rPr>
                <w:rFonts w:hint="eastAsia" w:cs="宋体" w:asciiTheme="minorEastAsia" w:hAnsiTheme="minorEastAsia" w:eastAsiaTheme="minorEastAsia"/>
                <w:color w:val="auto"/>
                <w:kern w:val="0"/>
                <w:sz w:val="20"/>
                <w:szCs w:val="20"/>
                <w:highlight w:val="none"/>
              </w:rPr>
              <w:t>7</w:t>
            </w:r>
          </w:p>
        </w:tc>
        <w:tc>
          <w:tcPr>
            <w:tcW w:w="1300" w:type="dxa"/>
            <w:vMerge w:val="continue"/>
            <w:tcBorders>
              <w:top w:val="nil"/>
              <w:left w:val="single" w:color="auto" w:sz="4" w:space="0"/>
              <w:bottom w:val="single" w:color="auto" w:sz="4" w:space="0"/>
              <w:right w:val="single" w:color="auto" w:sz="4" w:space="0"/>
            </w:tcBorders>
            <w:vAlign w:val="center"/>
          </w:tcPr>
          <w:p>
            <w:pPr>
              <w:widowControl/>
              <w:spacing w:line="300" w:lineRule="auto"/>
              <w:jc w:val="left"/>
              <w:rPr>
                <w:rFonts w:cs="宋体" w:asciiTheme="minorEastAsia" w:hAnsiTheme="minorEastAsia" w:eastAsiaTheme="minorEastAsia"/>
                <w:b/>
                <w:color w:val="auto"/>
                <w:kern w:val="0"/>
                <w:sz w:val="20"/>
                <w:szCs w:val="20"/>
                <w:highlight w:val="none"/>
              </w:rPr>
            </w:pPr>
          </w:p>
        </w:tc>
        <w:tc>
          <w:tcPr>
            <w:tcW w:w="164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b/>
                <w:bCs/>
                <w:color w:val="auto"/>
                <w:kern w:val="0"/>
                <w:sz w:val="20"/>
                <w:szCs w:val="20"/>
                <w:highlight w:val="none"/>
              </w:rPr>
            </w:pPr>
            <w:r>
              <w:rPr>
                <w:rFonts w:hint="eastAsia" w:cs="宋体" w:asciiTheme="minorEastAsia" w:hAnsiTheme="minorEastAsia" w:eastAsiaTheme="minorEastAsia"/>
                <w:b/>
                <w:bCs/>
                <w:color w:val="auto"/>
                <w:kern w:val="0"/>
                <w:sz w:val="20"/>
                <w:szCs w:val="20"/>
                <w:highlight w:val="none"/>
              </w:rPr>
              <w:t>重大变更协助</w:t>
            </w:r>
          </w:p>
        </w:tc>
        <w:tc>
          <w:tcPr>
            <w:tcW w:w="5472"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协助变更责任人制定云平台变更实施方案，对变更实施方给予必要的指导和配合</w:t>
            </w:r>
          </w:p>
        </w:tc>
      </w:tr>
      <w:tr>
        <w:tblPrEx>
          <w:tblCellMar>
            <w:top w:w="0" w:type="dxa"/>
            <w:left w:w="108" w:type="dxa"/>
            <w:bottom w:w="0" w:type="dxa"/>
            <w:right w:w="108" w:type="dxa"/>
          </w:tblCellMar>
        </w:tblPrEx>
        <w:trPr>
          <w:trHeight w:val="66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color w:val="auto"/>
                <w:kern w:val="0"/>
                <w:sz w:val="20"/>
                <w:szCs w:val="20"/>
                <w:highlight w:val="none"/>
              </w:rPr>
            </w:pPr>
            <w:r>
              <w:rPr>
                <w:rFonts w:hint="eastAsia" w:cs="宋体" w:asciiTheme="minorEastAsia" w:hAnsiTheme="minorEastAsia" w:eastAsiaTheme="minorEastAsia"/>
                <w:color w:val="auto"/>
                <w:kern w:val="0"/>
                <w:sz w:val="20"/>
                <w:szCs w:val="20"/>
                <w:highlight w:val="none"/>
              </w:rPr>
              <w:t>8</w:t>
            </w:r>
          </w:p>
        </w:tc>
        <w:tc>
          <w:tcPr>
            <w:tcW w:w="1300" w:type="dxa"/>
            <w:vMerge w:val="continue"/>
            <w:tcBorders>
              <w:top w:val="nil"/>
              <w:left w:val="single" w:color="auto" w:sz="4" w:space="0"/>
              <w:bottom w:val="single" w:color="auto" w:sz="4" w:space="0"/>
              <w:right w:val="single" w:color="auto" w:sz="4" w:space="0"/>
            </w:tcBorders>
            <w:vAlign w:val="center"/>
          </w:tcPr>
          <w:p>
            <w:pPr>
              <w:widowControl/>
              <w:spacing w:line="300" w:lineRule="auto"/>
              <w:jc w:val="left"/>
              <w:rPr>
                <w:rFonts w:cs="宋体" w:asciiTheme="minorEastAsia" w:hAnsiTheme="minorEastAsia" w:eastAsiaTheme="minorEastAsia"/>
                <w:b/>
                <w:color w:val="auto"/>
                <w:kern w:val="0"/>
                <w:sz w:val="20"/>
                <w:szCs w:val="20"/>
                <w:highlight w:val="none"/>
              </w:rPr>
            </w:pPr>
          </w:p>
        </w:tc>
        <w:tc>
          <w:tcPr>
            <w:tcW w:w="164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b/>
                <w:bCs/>
                <w:color w:val="auto"/>
                <w:kern w:val="0"/>
                <w:sz w:val="20"/>
                <w:szCs w:val="20"/>
                <w:highlight w:val="none"/>
              </w:rPr>
            </w:pPr>
            <w:r>
              <w:rPr>
                <w:rFonts w:hint="eastAsia" w:cs="宋体" w:asciiTheme="minorEastAsia" w:hAnsiTheme="minorEastAsia" w:eastAsiaTheme="minorEastAsia"/>
                <w:b/>
                <w:bCs/>
                <w:color w:val="auto"/>
                <w:kern w:val="0"/>
                <w:sz w:val="20"/>
                <w:szCs w:val="20"/>
                <w:highlight w:val="none"/>
              </w:rPr>
              <w:t>服务总结与汇报</w:t>
            </w:r>
          </w:p>
        </w:tc>
        <w:tc>
          <w:tcPr>
            <w:tcW w:w="5472"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每季度一次日常维护服务总结，每年度一次对园区实验中心汇报，听取园区实验中心相关意见，做出后续服务工作规划</w:t>
            </w:r>
          </w:p>
        </w:tc>
      </w:tr>
      <w:tr>
        <w:tblPrEx>
          <w:tblCellMar>
            <w:top w:w="0" w:type="dxa"/>
            <w:left w:w="108" w:type="dxa"/>
            <w:bottom w:w="0" w:type="dxa"/>
            <w:right w:w="108" w:type="dxa"/>
          </w:tblCellMar>
        </w:tblPrEx>
        <w:trPr>
          <w:trHeight w:val="33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color w:val="auto"/>
                <w:kern w:val="0"/>
                <w:sz w:val="20"/>
                <w:szCs w:val="20"/>
                <w:highlight w:val="none"/>
              </w:rPr>
            </w:pPr>
            <w:r>
              <w:rPr>
                <w:rFonts w:hint="eastAsia" w:cs="宋体" w:asciiTheme="minorEastAsia" w:hAnsiTheme="minorEastAsia" w:eastAsiaTheme="minorEastAsia"/>
                <w:color w:val="auto"/>
                <w:kern w:val="0"/>
                <w:sz w:val="20"/>
                <w:szCs w:val="20"/>
                <w:highlight w:val="none"/>
              </w:rPr>
              <w:t>9</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b/>
                <w:color w:val="auto"/>
                <w:kern w:val="0"/>
                <w:sz w:val="20"/>
                <w:szCs w:val="20"/>
                <w:highlight w:val="none"/>
              </w:rPr>
            </w:pPr>
            <w:r>
              <w:rPr>
                <w:rFonts w:hint="eastAsia" w:cs="宋体" w:asciiTheme="minorEastAsia" w:hAnsiTheme="minorEastAsia" w:eastAsiaTheme="minorEastAsia"/>
                <w:b/>
                <w:color w:val="auto"/>
                <w:kern w:val="0"/>
                <w:sz w:val="20"/>
                <w:szCs w:val="20"/>
                <w:highlight w:val="none"/>
              </w:rPr>
              <w:t>云运维</w:t>
            </w:r>
          </w:p>
        </w:tc>
        <w:tc>
          <w:tcPr>
            <w:tcW w:w="164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b/>
                <w:bCs/>
                <w:color w:val="auto"/>
                <w:kern w:val="0"/>
                <w:sz w:val="20"/>
                <w:szCs w:val="20"/>
                <w:highlight w:val="none"/>
              </w:rPr>
            </w:pPr>
            <w:r>
              <w:rPr>
                <w:rFonts w:hint="eastAsia" w:cs="宋体" w:asciiTheme="minorEastAsia" w:hAnsiTheme="minorEastAsia" w:eastAsiaTheme="minorEastAsia"/>
                <w:b/>
                <w:bCs/>
                <w:color w:val="auto"/>
                <w:kern w:val="0"/>
                <w:sz w:val="20"/>
                <w:szCs w:val="20"/>
                <w:highlight w:val="none"/>
              </w:rPr>
              <w:t>云服务开通</w:t>
            </w:r>
          </w:p>
        </w:tc>
        <w:tc>
          <w:tcPr>
            <w:tcW w:w="5472"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协助园区实验中心开通云服务，包括云桌面、云存储、云网络等</w:t>
            </w:r>
          </w:p>
        </w:tc>
      </w:tr>
      <w:tr>
        <w:tblPrEx>
          <w:tblCellMar>
            <w:top w:w="0" w:type="dxa"/>
            <w:left w:w="108" w:type="dxa"/>
            <w:bottom w:w="0" w:type="dxa"/>
            <w:right w:w="108" w:type="dxa"/>
          </w:tblCellMar>
        </w:tblPrEx>
        <w:trPr>
          <w:trHeight w:val="66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color w:val="auto"/>
                <w:kern w:val="0"/>
                <w:sz w:val="20"/>
                <w:szCs w:val="20"/>
                <w:highlight w:val="none"/>
              </w:rPr>
            </w:pPr>
            <w:r>
              <w:rPr>
                <w:rFonts w:hint="eastAsia" w:cs="宋体" w:asciiTheme="minorEastAsia" w:hAnsiTheme="minorEastAsia" w:eastAsiaTheme="minorEastAsia"/>
                <w:color w:val="auto"/>
                <w:kern w:val="0"/>
                <w:sz w:val="20"/>
                <w:szCs w:val="20"/>
                <w:highlight w:val="none"/>
              </w:rPr>
              <w:t>10</w:t>
            </w:r>
          </w:p>
        </w:tc>
        <w:tc>
          <w:tcPr>
            <w:tcW w:w="1300" w:type="dxa"/>
            <w:vMerge w:val="continue"/>
            <w:tcBorders>
              <w:top w:val="nil"/>
              <w:left w:val="single" w:color="auto" w:sz="4" w:space="0"/>
              <w:bottom w:val="single" w:color="auto" w:sz="4" w:space="0"/>
              <w:right w:val="single" w:color="auto" w:sz="4" w:space="0"/>
            </w:tcBorders>
            <w:vAlign w:val="center"/>
          </w:tcPr>
          <w:p>
            <w:pPr>
              <w:widowControl/>
              <w:spacing w:line="300" w:lineRule="auto"/>
              <w:jc w:val="left"/>
              <w:rPr>
                <w:rFonts w:cs="宋体" w:asciiTheme="minorEastAsia" w:hAnsiTheme="minorEastAsia" w:eastAsiaTheme="minorEastAsia"/>
                <w:b/>
                <w:color w:val="auto"/>
                <w:kern w:val="0"/>
                <w:sz w:val="20"/>
                <w:szCs w:val="20"/>
                <w:highlight w:val="none"/>
              </w:rPr>
            </w:pPr>
          </w:p>
        </w:tc>
        <w:tc>
          <w:tcPr>
            <w:tcW w:w="164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b/>
                <w:bCs/>
                <w:color w:val="auto"/>
                <w:kern w:val="0"/>
                <w:sz w:val="20"/>
                <w:szCs w:val="20"/>
                <w:highlight w:val="none"/>
              </w:rPr>
            </w:pPr>
            <w:r>
              <w:rPr>
                <w:rFonts w:hint="eastAsia" w:cs="宋体" w:asciiTheme="minorEastAsia" w:hAnsiTheme="minorEastAsia" w:eastAsiaTheme="minorEastAsia"/>
                <w:b/>
                <w:bCs/>
                <w:color w:val="auto"/>
                <w:kern w:val="0"/>
                <w:sz w:val="20"/>
                <w:szCs w:val="20"/>
                <w:highlight w:val="none"/>
              </w:rPr>
              <w:t>云资源管理</w:t>
            </w:r>
          </w:p>
        </w:tc>
        <w:tc>
          <w:tcPr>
            <w:tcW w:w="5472"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每周输出云资源（CPU、内存、存储、网络等）使用情况的总结报表，为容量管理决策提供参考</w:t>
            </w:r>
          </w:p>
        </w:tc>
      </w:tr>
      <w:tr>
        <w:tblPrEx>
          <w:tblCellMar>
            <w:top w:w="0" w:type="dxa"/>
            <w:left w:w="108" w:type="dxa"/>
            <w:bottom w:w="0" w:type="dxa"/>
            <w:right w:w="108" w:type="dxa"/>
          </w:tblCellMar>
        </w:tblPrEx>
        <w:trPr>
          <w:trHeight w:val="33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color w:val="auto"/>
                <w:kern w:val="0"/>
                <w:sz w:val="20"/>
                <w:szCs w:val="20"/>
                <w:highlight w:val="none"/>
              </w:rPr>
            </w:pPr>
            <w:r>
              <w:rPr>
                <w:rFonts w:hint="eastAsia" w:cs="宋体" w:asciiTheme="minorEastAsia" w:hAnsiTheme="minorEastAsia" w:eastAsiaTheme="minorEastAsia"/>
                <w:color w:val="auto"/>
                <w:kern w:val="0"/>
                <w:sz w:val="20"/>
                <w:szCs w:val="20"/>
                <w:highlight w:val="none"/>
              </w:rPr>
              <w:t>11</w:t>
            </w:r>
          </w:p>
        </w:tc>
        <w:tc>
          <w:tcPr>
            <w:tcW w:w="1300" w:type="dxa"/>
            <w:vMerge w:val="continue"/>
            <w:tcBorders>
              <w:top w:val="nil"/>
              <w:left w:val="single" w:color="auto" w:sz="4" w:space="0"/>
              <w:bottom w:val="single" w:color="auto" w:sz="4" w:space="0"/>
              <w:right w:val="single" w:color="auto" w:sz="4" w:space="0"/>
            </w:tcBorders>
            <w:vAlign w:val="center"/>
          </w:tcPr>
          <w:p>
            <w:pPr>
              <w:widowControl/>
              <w:spacing w:line="300" w:lineRule="auto"/>
              <w:jc w:val="left"/>
              <w:rPr>
                <w:rFonts w:cs="宋体" w:asciiTheme="minorEastAsia" w:hAnsiTheme="minorEastAsia" w:eastAsiaTheme="minorEastAsia"/>
                <w:b/>
                <w:color w:val="auto"/>
                <w:kern w:val="0"/>
                <w:sz w:val="20"/>
                <w:szCs w:val="20"/>
                <w:highlight w:val="none"/>
              </w:rPr>
            </w:pPr>
          </w:p>
        </w:tc>
        <w:tc>
          <w:tcPr>
            <w:tcW w:w="164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b/>
                <w:bCs/>
                <w:color w:val="auto"/>
                <w:kern w:val="0"/>
                <w:sz w:val="20"/>
                <w:szCs w:val="20"/>
                <w:highlight w:val="none"/>
              </w:rPr>
            </w:pPr>
            <w:r>
              <w:rPr>
                <w:rFonts w:hint="eastAsia" w:cs="宋体" w:asciiTheme="minorEastAsia" w:hAnsiTheme="minorEastAsia" w:eastAsiaTheme="minorEastAsia"/>
                <w:b/>
                <w:bCs/>
                <w:color w:val="auto"/>
                <w:kern w:val="0"/>
                <w:sz w:val="20"/>
                <w:szCs w:val="20"/>
                <w:highlight w:val="none"/>
              </w:rPr>
              <w:t>云迁移协助</w:t>
            </w:r>
          </w:p>
        </w:tc>
        <w:tc>
          <w:tcPr>
            <w:tcW w:w="5472"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有业务迁移需求时，根据迁移服务商要求，提供迁移环境信息，协助准备迁移环境。</w:t>
            </w:r>
          </w:p>
        </w:tc>
      </w:tr>
      <w:tr>
        <w:tblPrEx>
          <w:tblCellMar>
            <w:top w:w="0" w:type="dxa"/>
            <w:left w:w="108" w:type="dxa"/>
            <w:bottom w:w="0" w:type="dxa"/>
            <w:right w:w="108" w:type="dxa"/>
          </w:tblCellMar>
        </w:tblPrEx>
        <w:trPr>
          <w:trHeight w:val="66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color w:val="auto"/>
                <w:kern w:val="0"/>
                <w:sz w:val="20"/>
                <w:szCs w:val="20"/>
                <w:highlight w:val="none"/>
              </w:rPr>
            </w:pPr>
            <w:r>
              <w:rPr>
                <w:rFonts w:hint="eastAsia" w:cs="宋体" w:asciiTheme="minorEastAsia" w:hAnsiTheme="minorEastAsia" w:eastAsiaTheme="minorEastAsia"/>
                <w:color w:val="auto"/>
                <w:kern w:val="0"/>
                <w:sz w:val="20"/>
                <w:szCs w:val="20"/>
                <w:highlight w:val="none"/>
              </w:rPr>
              <w:t>12</w:t>
            </w:r>
          </w:p>
        </w:tc>
        <w:tc>
          <w:tcPr>
            <w:tcW w:w="1300" w:type="dxa"/>
            <w:vMerge w:val="continue"/>
            <w:tcBorders>
              <w:top w:val="nil"/>
              <w:left w:val="single" w:color="auto" w:sz="4" w:space="0"/>
              <w:bottom w:val="single" w:color="auto" w:sz="4" w:space="0"/>
              <w:right w:val="single" w:color="auto" w:sz="4" w:space="0"/>
            </w:tcBorders>
            <w:vAlign w:val="center"/>
          </w:tcPr>
          <w:p>
            <w:pPr>
              <w:widowControl/>
              <w:spacing w:line="300" w:lineRule="auto"/>
              <w:jc w:val="left"/>
              <w:rPr>
                <w:rFonts w:cs="宋体" w:asciiTheme="minorEastAsia" w:hAnsiTheme="minorEastAsia" w:eastAsiaTheme="minorEastAsia"/>
                <w:b/>
                <w:color w:val="auto"/>
                <w:kern w:val="0"/>
                <w:sz w:val="20"/>
                <w:szCs w:val="20"/>
                <w:highlight w:val="none"/>
              </w:rPr>
            </w:pPr>
          </w:p>
        </w:tc>
        <w:tc>
          <w:tcPr>
            <w:tcW w:w="164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b/>
                <w:bCs/>
                <w:color w:val="auto"/>
                <w:kern w:val="0"/>
                <w:sz w:val="20"/>
                <w:szCs w:val="20"/>
                <w:highlight w:val="none"/>
              </w:rPr>
            </w:pPr>
            <w:r>
              <w:rPr>
                <w:rFonts w:hint="eastAsia" w:cs="宋体" w:asciiTheme="minorEastAsia" w:hAnsiTheme="minorEastAsia" w:eastAsiaTheme="minorEastAsia"/>
                <w:b/>
                <w:bCs/>
                <w:color w:val="auto"/>
                <w:kern w:val="0"/>
                <w:sz w:val="20"/>
                <w:szCs w:val="20"/>
                <w:highlight w:val="none"/>
              </w:rPr>
              <w:t>云技术培训</w:t>
            </w:r>
          </w:p>
        </w:tc>
        <w:tc>
          <w:tcPr>
            <w:tcW w:w="5472"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每季度一次向园区实验中心提供云桌面平台相关产品培训、运维案例分享，提升运维团队技术水平。</w:t>
            </w:r>
          </w:p>
        </w:tc>
      </w:tr>
      <w:tr>
        <w:tblPrEx>
          <w:tblCellMar>
            <w:top w:w="0" w:type="dxa"/>
            <w:left w:w="108" w:type="dxa"/>
            <w:bottom w:w="0" w:type="dxa"/>
            <w:right w:w="108" w:type="dxa"/>
          </w:tblCellMar>
        </w:tblPrEx>
        <w:trPr>
          <w:trHeight w:val="66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color w:val="auto"/>
                <w:kern w:val="0"/>
                <w:sz w:val="20"/>
                <w:szCs w:val="20"/>
                <w:highlight w:val="none"/>
              </w:rPr>
            </w:pPr>
            <w:r>
              <w:rPr>
                <w:rFonts w:hint="eastAsia" w:cs="宋体" w:asciiTheme="minorEastAsia" w:hAnsiTheme="minorEastAsia" w:eastAsiaTheme="minorEastAsia"/>
                <w:color w:val="auto"/>
                <w:kern w:val="0"/>
                <w:sz w:val="20"/>
                <w:szCs w:val="20"/>
                <w:highlight w:val="none"/>
              </w:rPr>
              <w:t>13</w:t>
            </w:r>
          </w:p>
        </w:tc>
        <w:tc>
          <w:tcPr>
            <w:tcW w:w="130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b/>
                <w:color w:val="auto"/>
                <w:kern w:val="0"/>
                <w:sz w:val="20"/>
                <w:szCs w:val="20"/>
                <w:highlight w:val="none"/>
              </w:rPr>
            </w:pPr>
            <w:r>
              <w:rPr>
                <w:rFonts w:hint="eastAsia" w:cs="宋体" w:asciiTheme="minorEastAsia" w:hAnsiTheme="minorEastAsia" w:eastAsiaTheme="minorEastAsia"/>
                <w:b/>
                <w:color w:val="auto"/>
                <w:kern w:val="0"/>
                <w:sz w:val="20"/>
                <w:szCs w:val="20"/>
                <w:highlight w:val="none"/>
              </w:rPr>
              <w:t>专项保障</w:t>
            </w:r>
          </w:p>
        </w:tc>
        <w:tc>
          <w:tcPr>
            <w:tcW w:w="1640" w:type="dxa"/>
            <w:tcBorders>
              <w:top w:val="nil"/>
              <w:left w:val="nil"/>
              <w:bottom w:val="single" w:color="auto" w:sz="4" w:space="0"/>
              <w:right w:val="single" w:color="auto" w:sz="4" w:space="0"/>
            </w:tcBorders>
            <w:shd w:val="clear" w:color="auto" w:fill="auto"/>
            <w:vAlign w:val="center"/>
          </w:tcPr>
          <w:p>
            <w:pPr>
              <w:widowControl/>
              <w:spacing w:line="300" w:lineRule="auto"/>
              <w:jc w:val="center"/>
              <w:rPr>
                <w:rFonts w:cs="宋体" w:asciiTheme="minorEastAsia" w:hAnsiTheme="minorEastAsia" w:eastAsiaTheme="minorEastAsia"/>
                <w:b/>
                <w:bCs/>
                <w:color w:val="auto"/>
                <w:kern w:val="0"/>
                <w:sz w:val="20"/>
                <w:szCs w:val="20"/>
                <w:highlight w:val="none"/>
              </w:rPr>
            </w:pPr>
            <w:r>
              <w:rPr>
                <w:rFonts w:hint="eastAsia" w:cs="宋体" w:asciiTheme="minorEastAsia" w:hAnsiTheme="minorEastAsia" w:eastAsiaTheme="minorEastAsia"/>
                <w:b/>
                <w:bCs/>
                <w:color w:val="auto"/>
                <w:kern w:val="0"/>
                <w:sz w:val="20"/>
                <w:szCs w:val="20"/>
                <w:highlight w:val="none"/>
              </w:rPr>
              <w:t>重大时刻值守</w:t>
            </w:r>
          </w:p>
        </w:tc>
        <w:tc>
          <w:tcPr>
            <w:tcW w:w="5472" w:type="dxa"/>
            <w:tcBorders>
              <w:top w:val="nil"/>
              <w:left w:val="nil"/>
              <w:bottom w:val="single" w:color="auto" w:sz="4" w:space="0"/>
              <w:right w:val="single" w:color="auto" w:sz="4" w:space="0"/>
            </w:tcBorders>
            <w:shd w:val="clear" w:color="auto" w:fill="auto"/>
            <w:vAlign w:val="center"/>
          </w:tcPr>
          <w:p>
            <w:pPr>
              <w:widowControl/>
              <w:spacing w:line="300" w:lineRule="auto"/>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在任何可能对业务运营产生重大影响或园区实验中心指定的其他重要时刻，提供专业的值守保障服务</w:t>
            </w:r>
          </w:p>
        </w:tc>
      </w:tr>
    </w:tbl>
    <w:p>
      <w:pPr>
        <w:spacing w:line="300" w:lineRule="auto"/>
        <w:rPr>
          <w:color w:val="auto"/>
          <w:sz w:val="24"/>
          <w:highlight w:val="none"/>
        </w:rPr>
      </w:pPr>
    </w:p>
    <w:p>
      <w:pPr>
        <w:widowControl/>
        <w:spacing w:line="300" w:lineRule="auto"/>
        <w:ind w:firstLine="562" w:firstLineChars="200"/>
        <w:jc w:val="left"/>
        <w:rPr>
          <w:rFonts w:hAnsi="宋体"/>
          <w:b/>
          <w:color w:val="auto"/>
          <w:sz w:val="28"/>
          <w:szCs w:val="28"/>
          <w:highlight w:val="none"/>
        </w:rPr>
      </w:pPr>
      <w:r>
        <w:rPr>
          <w:rFonts w:hint="eastAsia" w:hAnsi="宋体"/>
          <w:b/>
          <w:color w:val="auto"/>
          <w:sz w:val="28"/>
          <w:szCs w:val="28"/>
          <w:highlight w:val="none"/>
        </w:rPr>
        <w:t>1</w:t>
      </w:r>
      <w:r>
        <w:rPr>
          <w:rFonts w:hAnsi="宋体"/>
          <w:b/>
          <w:color w:val="auto"/>
          <w:sz w:val="28"/>
          <w:szCs w:val="28"/>
          <w:highlight w:val="none"/>
        </w:rPr>
        <w:t xml:space="preserve">.2 </w:t>
      </w:r>
      <w:r>
        <w:rPr>
          <w:rFonts w:hint="eastAsia" w:hAnsi="宋体"/>
          <w:b/>
          <w:color w:val="auto"/>
          <w:sz w:val="28"/>
          <w:szCs w:val="28"/>
          <w:highlight w:val="none"/>
        </w:rPr>
        <w:t>服务要求</w:t>
      </w:r>
    </w:p>
    <w:p>
      <w:pPr>
        <w:widowControl/>
        <w:spacing w:line="300" w:lineRule="auto"/>
        <w:ind w:firstLine="480" w:firstLineChars="200"/>
        <w:jc w:val="left"/>
        <w:rPr>
          <w:color w:val="auto"/>
          <w:sz w:val="24"/>
          <w:highlight w:val="none"/>
        </w:rPr>
      </w:pPr>
      <w:r>
        <w:rPr>
          <w:rFonts w:hint="eastAsia"/>
          <w:color w:val="auto"/>
          <w:sz w:val="24"/>
          <w:highlight w:val="none"/>
        </w:rPr>
        <w:t>具备独立IT维护服务能力，并能通过自动化的运维工具和手段协助需求方开展深入运维（运维对象包括H</w:t>
      </w:r>
      <w:r>
        <w:rPr>
          <w:color w:val="auto"/>
          <w:sz w:val="24"/>
          <w:highlight w:val="none"/>
        </w:rPr>
        <w:t>3C</w:t>
      </w:r>
      <w:r>
        <w:rPr>
          <w:rFonts w:hint="eastAsia"/>
          <w:color w:val="auto"/>
          <w:sz w:val="24"/>
          <w:highlight w:val="none"/>
        </w:rPr>
        <w:t>品牌云桌面系统）。具体要求如下：</w:t>
      </w:r>
    </w:p>
    <w:p>
      <w:pPr>
        <w:widowControl/>
        <w:spacing w:line="300" w:lineRule="auto"/>
        <w:ind w:firstLine="480" w:firstLineChars="200"/>
        <w:jc w:val="left"/>
        <w:rPr>
          <w:color w:val="auto"/>
          <w:sz w:val="24"/>
          <w:highlight w:val="none"/>
        </w:rPr>
      </w:pPr>
      <w:r>
        <w:rPr>
          <w:rFonts w:hint="eastAsia"/>
          <w:color w:val="auto"/>
          <w:sz w:val="24"/>
          <w:highlight w:val="none"/>
        </w:rPr>
        <w:t>▲ 1、现网设备梳理：</w:t>
      </w:r>
    </w:p>
    <w:p>
      <w:pPr>
        <w:widowControl/>
        <w:spacing w:line="300" w:lineRule="auto"/>
        <w:ind w:firstLine="480" w:firstLineChars="200"/>
        <w:jc w:val="left"/>
        <w:rPr>
          <w:color w:val="auto"/>
          <w:sz w:val="24"/>
          <w:highlight w:val="none"/>
        </w:rPr>
      </w:pPr>
      <w:r>
        <w:rPr>
          <w:rFonts w:hint="eastAsia"/>
          <w:color w:val="auto"/>
          <w:sz w:val="24"/>
          <w:highlight w:val="none"/>
        </w:rPr>
        <w:t>服务提供厂商承诺中标后对云桌面进行现状梳理，并交由原厂认证。输出健康体检报告并提出合理优化建议作为后续工作重点；（提供检查图并输出系统健康报告经原厂商证明的有效文件）</w:t>
      </w:r>
    </w:p>
    <w:p>
      <w:pPr>
        <w:widowControl/>
        <w:spacing w:line="300" w:lineRule="auto"/>
        <w:ind w:firstLine="480" w:firstLineChars="200"/>
        <w:jc w:val="left"/>
        <w:rPr>
          <w:color w:val="auto"/>
          <w:sz w:val="24"/>
          <w:highlight w:val="none"/>
        </w:rPr>
      </w:pPr>
      <w:r>
        <w:rPr>
          <w:rFonts w:hint="eastAsia"/>
          <w:color w:val="auto"/>
          <w:sz w:val="24"/>
          <w:highlight w:val="none"/>
        </w:rPr>
        <w:t>2、厂商联调机制：</w:t>
      </w:r>
    </w:p>
    <w:p>
      <w:pPr>
        <w:widowControl/>
        <w:spacing w:line="300" w:lineRule="auto"/>
        <w:ind w:firstLine="480" w:firstLineChars="200"/>
        <w:jc w:val="left"/>
        <w:rPr>
          <w:color w:val="auto"/>
          <w:sz w:val="24"/>
          <w:highlight w:val="none"/>
        </w:rPr>
      </w:pPr>
      <w:r>
        <w:rPr>
          <w:rFonts w:hint="eastAsia"/>
          <w:color w:val="auto"/>
          <w:sz w:val="24"/>
          <w:highlight w:val="none"/>
        </w:rPr>
        <w:t>为保证服务质量，本项目需要获得设备原厂商配合，以解决重大疑难问题，服务商需对主要系统平台整体架构及维护流程熟悉了解，具有原厂商专业培训：</w:t>
      </w:r>
    </w:p>
    <w:p>
      <w:pPr>
        <w:widowControl/>
        <w:spacing w:line="300" w:lineRule="auto"/>
        <w:ind w:firstLine="480" w:firstLineChars="200"/>
        <w:jc w:val="left"/>
        <w:rPr>
          <w:color w:val="auto"/>
          <w:sz w:val="24"/>
          <w:highlight w:val="none"/>
        </w:rPr>
      </w:pPr>
      <w:r>
        <w:rPr>
          <w:rFonts w:hint="eastAsia"/>
          <w:color w:val="auto"/>
          <w:sz w:val="24"/>
          <w:highlight w:val="none"/>
        </w:rPr>
        <w:t>▲1）提供云桌面系统操作及运维经过原厂商培训的有效证明；</w:t>
      </w:r>
    </w:p>
    <w:p>
      <w:pPr>
        <w:widowControl/>
        <w:spacing w:line="300" w:lineRule="auto"/>
        <w:ind w:firstLine="480" w:firstLineChars="200"/>
        <w:jc w:val="left"/>
        <w:rPr>
          <w:color w:val="auto"/>
          <w:sz w:val="24"/>
          <w:highlight w:val="none"/>
        </w:rPr>
      </w:pPr>
      <w:r>
        <w:rPr>
          <w:rFonts w:hint="eastAsia"/>
          <w:color w:val="auto"/>
          <w:sz w:val="24"/>
          <w:highlight w:val="none"/>
        </w:rPr>
        <w:t>▲2）提供设备统一管控系统操作及运维经过原厂商培训的有效证明；</w:t>
      </w:r>
    </w:p>
    <w:p>
      <w:pPr>
        <w:widowControl/>
        <w:spacing w:line="300" w:lineRule="auto"/>
        <w:ind w:firstLine="480" w:firstLineChars="200"/>
        <w:jc w:val="left"/>
        <w:rPr>
          <w:color w:val="auto"/>
          <w:sz w:val="24"/>
          <w:highlight w:val="none"/>
        </w:rPr>
      </w:pPr>
      <w:r>
        <w:rPr>
          <w:rFonts w:hint="eastAsia"/>
          <w:color w:val="auto"/>
          <w:sz w:val="24"/>
          <w:highlight w:val="none"/>
        </w:rPr>
        <w:t>▲3）提供AI智慧课堂教学系统操作及运维经过原厂商培训的有效证明；</w:t>
      </w:r>
    </w:p>
    <w:p>
      <w:pPr>
        <w:widowControl/>
        <w:spacing w:line="300" w:lineRule="auto"/>
        <w:ind w:firstLine="480" w:firstLineChars="200"/>
        <w:jc w:val="left"/>
        <w:rPr>
          <w:color w:val="auto"/>
          <w:sz w:val="24"/>
          <w:highlight w:val="none"/>
        </w:rPr>
      </w:pPr>
      <w:r>
        <w:rPr>
          <w:rFonts w:hint="eastAsia"/>
          <w:color w:val="auto"/>
          <w:sz w:val="24"/>
          <w:highlight w:val="none"/>
        </w:rPr>
        <w:t>▲4）提供实验教学互动系统与资源管理平台系统操作及运维经过原厂商培训的有效证明；</w:t>
      </w:r>
    </w:p>
    <w:p>
      <w:pPr>
        <w:widowControl/>
        <w:spacing w:line="300" w:lineRule="auto"/>
        <w:ind w:firstLine="562" w:firstLineChars="200"/>
        <w:jc w:val="left"/>
        <w:rPr>
          <w:color w:val="auto"/>
          <w:sz w:val="24"/>
          <w:highlight w:val="none"/>
        </w:rPr>
      </w:pPr>
      <w:r>
        <w:rPr>
          <w:rFonts w:hint="eastAsia" w:hAnsi="宋体"/>
          <w:b/>
          <w:color w:val="auto"/>
          <w:sz w:val="28"/>
          <w:szCs w:val="28"/>
          <w:highlight w:val="none"/>
        </w:rPr>
        <w:t>1</w:t>
      </w:r>
      <w:r>
        <w:rPr>
          <w:rFonts w:hAnsi="宋体"/>
          <w:b/>
          <w:color w:val="auto"/>
          <w:sz w:val="28"/>
          <w:szCs w:val="28"/>
          <w:highlight w:val="none"/>
        </w:rPr>
        <w:t xml:space="preserve">.2.1 </w:t>
      </w:r>
      <w:r>
        <w:rPr>
          <w:rFonts w:hint="eastAsia" w:hAnsi="宋体"/>
          <w:b/>
          <w:color w:val="auto"/>
          <w:sz w:val="28"/>
          <w:szCs w:val="28"/>
          <w:highlight w:val="none"/>
        </w:rPr>
        <w:t>日常运行管理与服务</w:t>
      </w:r>
    </w:p>
    <w:p>
      <w:pPr>
        <w:widowControl/>
        <w:spacing w:line="300" w:lineRule="auto"/>
        <w:ind w:firstLine="480" w:firstLineChars="200"/>
        <w:jc w:val="left"/>
        <w:rPr>
          <w:color w:val="auto"/>
          <w:sz w:val="24"/>
          <w:highlight w:val="none"/>
        </w:rPr>
      </w:pPr>
      <w:r>
        <w:rPr>
          <w:rFonts w:hint="eastAsia"/>
          <w:color w:val="auto"/>
          <w:sz w:val="24"/>
          <w:highlight w:val="none"/>
        </w:rPr>
        <w:t>1. 外包服务商提供专业服务工程师团队在学校进行驻场服务。</w:t>
      </w:r>
    </w:p>
    <w:p>
      <w:pPr>
        <w:widowControl/>
        <w:spacing w:line="300" w:lineRule="auto"/>
        <w:ind w:firstLine="480" w:firstLineChars="200"/>
        <w:jc w:val="left"/>
        <w:rPr>
          <w:color w:val="auto"/>
          <w:sz w:val="24"/>
          <w:highlight w:val="none"/>
        </w:rPr>
      </w:pPr>
      <w:r>
        <w:rPr>
          <w:rFonts w:hint="eastAsia"/>
          <w:color w:val="auto"/>
          <w:sz w:val="24"/>
          <w:highlight w:val="none"/>
        </w:rPr>
        <w:t>2. 驻场服务工程师上班时间根据学校上课时间安排。</w:t>
      </w:r>
    </w:p>
    <w:p>
      <w:pPr>
        <w:widowControl/>
        <w:spacing w:line="300" w:lineRule="auto"/>
        <w:ind w:firstLine="480" w:firstLineChars="200"/>
        <w:jc w:val="left"/>
        <w:rPr>
          <w:color w:val="auto"/>
          <w:sz w:val="24"/>
          <w:highlight w:val="none"/>
        </w:rPr>
      </w:pPr>
      <w:r>
        <w:rPr>
          <w:rFonts w:hint="eastAsia"/>
          <w:color w:val="auto"/>
          <w:sz w:val="24"/>
          <w:highlight w:val="none"/>
        </w:rPr>
        <w:t xml:space="preserve">3. 发生故障时驻场服务工程师10分钟内现场响应，协助报修老师或学生进行现场故障诊断、制定故障恢复方案并现场排除故障。 </w:t>
      </w:r>
    </w:p>
    <w:p>
      <w:pPr>
        <w:widowControl/>
        <w:spacing w:line="300" w:lineRule="auto"/>
        <w:ind w:firstLine="480" w:firstLineChars="200"/>
        <w:jc w:val="left"/>
        <w:rPr>
          <w:color w:val="auto"/>
          <w:sz w:val="24"/>
          <w:highlight w:val="none"/>
        </w:rPr>
      </w:pPr>
      <w:r>
        <w:rPr>
          <w:rFonts w:hint="eastAsia"/>
          <w:color w:val="auto"/>
          <w:sz w:val="24"/>
          <w:highlight w:val="none"/>
        </w:rPr>
        <w:t>4. 对于每日报修的故障，驻场服务工程师做好维修记录登记，并每日邮件给学校管理者。</w:t>
      </w:r>
    </w:p>
    <w:p>
      <w:pPr>
        <w:widowControl/>
        <w:spacing w:line="300" w:lineRule="auto"/>
        <w:ind w:firstLine="480" w:firstLineChars="200"/>
        <w:jc w:val="left"/>
        <w:rPr>
          <w:color w:val="auto"/>
          <w:sz w:val="24"/>
          <w:highlight w:val="none"/>
        </w:rPr>
      </w:pPr>
      <w:r>
        <w:rPr>
          <w:rFonts w:hint="eastAsia"/>
          <w:color w:val="auto"/>
          <w:sz w:val="24"/>
          <w:highlight w:val="none"/>
        </w:rPr>
        <w:t>5. 重要活动及考试前至少提供不低于2人以上针对性的设备巡检及保养，以及过程技术保障。</w:t>
      </w:r>
    </w:p>
    <w:p>
      <w:pPr>
        <w:widowControl/>
        <w:spacing w:line="300" w:lineRule="auto"/>
        <w:ind w:firstLine="562" w:firstLineChars="200"/>
        <w:jc w:val="left"/>
        <w:rPr>
          <w:rFonts w:hAnsi="宋体"/>
          <w:b/>
          <w:color w:val="auto"/>
          <w:sz w:val="28"/>
          <w:szCs w:val="28"/>
          <w:highlight w:val="none"/>
        </w:rPr>
      </w:pPr>
      <w:r>
        <w:rPr>
          <w:rFonts w:hint="eastAsia" w:hAnsi="宋体"/>
          <w:b/>
          <w:color w:val="auto"/>
          <w:sz w:val="28"/>
          <w:szCs w:val="28"/>
          <w:highlight w:val="none"/>
        </w:rPr>
        <w:t>1</w:t>
      </w:r>
      <w:r>
        <w:rPr>
          <w:rFonts w:hAnsi="宋体"/>
          <w:b/>
          <w:color w:val="auto"/>
          <w:sz w:val="28"/>
          <w:szCs w:val="28"/>
          <w:highlight w:val="none"/>
        </w:rPr>
        <w:t xml:space="preserve">.2.2 </w:t>
      </w:r>
      <w:r>
        <w:rPr>
          <w:rFonts w:hint="eastAsia" w:hAnsi="宋体"/>
          <w:b/>
          <w:color w:val="auto"/>
          <w:sz w:val="28"/>
          <w:szCs w:val="28"/>
          <w:highlight w:val="none"/>
        </w:rPr>
        <w:t>周期性巡检管理服务</w:t>
      </w:r>
    </w:p>
    <w:p>
      <w:pPr>
        <w:widowControl/>
        <w:spacing w:line="300" w:lineRule="auto"/>
        <w:ind w:firstLine="480" w:firstLineChars="200"/>
        <w:jc w:val="left"/>
        <w:rPr>
          <w:color w:val="auto"/>
          <w:sz w:val="24"/>
          <w:highlight w:val="none"/>
        </w:rPr>
      </w:pPr>
      <w:r>
        <w:rPr>
          <w:rFonts w:hint="eastAsia"/>
          <w:color w:val="auto"/>
          <w:sz w:val="24"/>
          <w:highlight w:val="none"/>
        </w:rPr>
        <w:t>周期性巡检是主动服务，宗旨是提前发现问题解决问题</w:t>
      </w:r>
    </w:p>
    <w:p>
      <w:pPr>
        <w:widowControl/>
        <w:spacing w:line="300" w:lineRule="auto"/>
        <w:ind w:firstLine="480" w:firstLineChars="200"/>
        <w:jc w:val="left"/>
        <w:rPr>
          <w:color w:val="auto"/>
          <w:sz w:val="24"/>
          <w:highlight w:val="none"/>
        </w:rPr>
      </w:pPr>
      <w:r>
        <w:rPr>
          <w:rFonts w:hint="eastAsia"/>
          <w:color w:val="auto"/>
          <w:sz w:val="24"/>
          <w:highlight w:val="none"/>
        </w:rPr>
        <w:t>1. 服务商为学校提供实验室云桌面系统及多媒体设备和系统的周期性巡检服务，定期进行较为全面的检查和分析，发现设备运行中存在的问题和潜在风险，对检查结果进行分析，提出相应的解决方案，形成总结报告于每月5日前上报学校管理者，并采取相应解决措施。</w:t>
      </w:r>
    </w:p>
    <w:p>
      <w:pPr>
        <w:widowControl/>
        <w:spacing w:line="300" w:lineRule="auto"/>
        <w:ind w:firstLine="480" w:firstLineChars="200"/>
        <w:jc w:val="left"/>
        <w:rPr>
          <w:color w:val="auto"/>
          <w:sz w:val="24"/>
          <w:highlight w:val="none"/>
        </w:rPr>
      </w:pPr>
      <w:r>
        <w:rPr>
          <w:rFonts w:hint="eastAsia"/>
          <w:color w:val="auto"/>
          <w:sz w:val="24"/>
          <w:highlight w:val="none"/>
        </w:rPr>
        <w:t>2. 在巡检过程中发现故障，及时解决问题，把故障排除在先，保证用户日常教学能够顺利进行。</w:t>
      </w:r>
    </w:p>
    <w:p>
      <w:pPr>
        <w:widowControl/>
        <w:spacing w:line="300" w:lineRule="auto"/>
        <w:ind w:firstLine="480" w:firstLineChars="200"/>
        <w:jc w:val="left"/>
        <w:rPr>
          <w:color w:val="auto"/>
          <w:sz w:val="24"/>
          <w:highlight w:val="none"/>
        </w:rPr>
      </w:pPr>
      <w:r>
        <w:rPr>
          <w:rFonts w:hint="eastAsia"/>
          <w:color w:val="auto"/>
          <w:sz w:val="24"/>
          <w:highlight w:val="none"/>
        </w:rPr>
        <w:t>3. 在寒、暑假期对实验室云桌面系统及多媒体设备和系统进行全面巡检和消缺，保障开学正常教学秩序。</w:t>
      </w:r>
    </w:p>
    <w:p>
      <w:pPr>
        <w:widowControl/>
        <w:spacing w:line="300" w:lineRule="auto"/>
        <w:ind w:firstLine="562" w:firstLineChars="200"/>
        <w:jc w:val="left"/>
        <w:rPr>
          <w:rFonts w:hAnsi="宋体"/>
          <w:b/>
          <w:color w:val="auto"/>
          <w:sz w:val="28"/>
          <w:szCs w:val="28"/>
          <w:highlight w:val="none"/>
        </w:rPr>
      </w:pPr>
      <w:r>
        <w:rPr>
          <w:rFonts w:hint="eastAsia" w:hAnsi="宋体"/>
          <w:b/>
          <w:color w:val="auto"/>
          <w:sz w:val="28"/>
          <w:szCs w:val="28"/>
          <w:highlight w:val="none"/>
        </w:rPr>
        <w:t>1</w:t>
      </w:r>
      <w:r>
        <w:rPr>
          <w:rFonts w:hAnsi="宋体"/>
          <w:b/>
          <w:color w:val="auto"/>
          <w:sz w:val="28"/>
          <w:szCs w:val="28"/>
          <w:highlight w:val="none"/>
        </w:rPr>
        <w:t xml:space="preserve">.2.3 </w:t>
      </w:r>
      <w:r>
        <w:rPr>
          <w:rFonts w:hint="eastAsia" w:hAnsi="宋体"/>
          <w:b/>
          <w:color w:val="auto"/>
          <w:sz w:val="28"/>
          <w:szCs w:val="28"/>
          <w:highlight w:val="none"/>
        </w:rPr>
        <w:t>建立设备维修档案</w:t>
      </w:r>
    </w:p>
    <w:p>
      <w:pPr>
        <w:widowControl/>
        <w:spacing w:line="300" w:lineRule="auto"/>
        <w:ind w:firstLine="480" w:firstLineChars="200"/>
        <w:jc w:val="left"/>
        <w:rPr>
          <w:color w:val="auto"/>
          <w:sz w:val="24"/>
          <w:highlight w:val="none"/>
        </w:rPr>
      </w:pPr>
      <w:r>
        <w:rPr>
          <w:rFonts w:hint="eastAsia"/>
          <w:color w:val="auto"/>
          <w:sz w:val="24"/>
          <w:highlight w:val="none"/>
        </w:rPr>
        <w:t>1. 服务商根据学校的资产管理，对设备进行摸底，建立设备档案。</w:t>
      </w:r>
    </w:p>
    <w:p>
      <w:pPr>
        <w:widowControl/>
        <w:spacing w:line="300" w:lineRule="auto"/>
        <w:ind w:firstLine="480" w:firstLineChars="200"/>
        <w:jc w:val="left"/>
        <w:rPr>
          <w:color w:val="auto"/>
          <w:sz w:val="24"/>
          <w:highlight w:val="none"/>
        </w:rPr>
      </w:pPr>
      <w:r>
        <w:rPr>
          <w:rFonts w:hint="eastAsia"/>
          <w:color w:val="auto"/>
          <w:sz w:val="24"/>
          <w:highlight w:val="none"/>
        </w:rPr>
        <w:t>2. 在设备档案的基础上建立维修档案。</w:t>
      </w:r>
    </w:p>
    <w:p>
      <w:pPr>
        <w:widowControl/>
        <w:spacing w:line="300" w:lineRule="auto"/>
        <w:ind w:firstLine="480" w:firstLineChars="200"/>
        <w:jc w:val="left"/>
        <w:rPr>
          <w:color w:val="auto"/>
          <w:sz w:val="24"/>
          <w:highlight w:val="none"/>
        </w:rPr>
      </w:pPr>
      <w:r>
        <w:rPr>
          <w:rFonts w:hint="eastAsia"/>
          <w:color w:val="auto"/>
          <w:sz w:val="24"/>
          <w:highlight w:val="none"/>
        </w:rPr>
        <w:t>3. 服务商提供故障设备维修方案，包括故障原因、解决方法及后期使用注意事项。</w:t>
      </w:r>
    </w:p>
    <w:p>
      <w:pPr>
        <w:widowControl/>
        <w:spacing w:line="300" w:lineRule="auto"/>
        <w:ind w:firstLine="480" w:firstLineChars="200"/>
        <w:jc w:val="left"/>
        <w:rPr>
          <w:color w:val="auto"/>
          <w:sz w:val="24"/>
          <w:highlight w:val="none"/>
        </w:rPr>
      </w:pPr>
      <w:r>
        <w:rPr>
          <w:rFonts w:hint="eastAsia"/>
          <w:color w:val="auto"/>
          <w:sz w:val="24"/>
          <w:highlight w:val="none"/>
        </w:rPr>
        <w:t>4. 服务商对达不到使用标准的、需要更换的零配件、耗材及相关维修费用及时向学校进行报备；学校根据服务商的意见及日常需要，配备相应的备用设施设备或耗材，方便服务商进行及时维修和更换。</w:t>
      </w:r>
    </w:p>
    <w:p>
      <w:pPr>
        <w:widowControl/>
        <w:spacing w:line="300" w:lineRule="auto"/>
        <w:ind w:firstLine="480" w:firstLineChars="200"/>
        <w:jc w:val="left"/>
        <w:rPr>
          <w:color w:val="auto"/>
          <w:sz w:val="24"/>
          <w:highlight w:val="none"/>
        </w:rPr>
      </w:pPr>
      <w:r>
        <w:rPr>
          <w:rFonts w:hint="eastAsia"/>
          <w:color w:val="auto"/>
          <w:sz w:val="24"/>
          <w:highlight w:val="none"/>
        </w:rPr>
        <w:t>5. 服务人员对日常消耗品建立入库出库台账。</w:t>
      </w:r>
    </w:p>
    <w:p>
      <w:pPr>
        <w:widowControl/>
        <w:spacing w:line="300" w:lineRule="auto"/>
        <w:ind w:firstLine="480" w:firstLineChars="200"/>
        <w:jc w:val="left"/>
        <w:rPr>
          <w:color w:val="auto"/>
          <w:sz w:val="24"/>
          <w:highlight w:val="none"/>
        </w:rPr>
      </w:pPr>
      <w:r>
        <w:rPr>
          <w:rFonts w:hint="eastAsia"/>
          <w:color w:val="auto"/>
          <w:sz w:val="24"/>
          <w:highlight w:val="none"/>
        </w:rPr>
        <w:t>6. 不能即时排除的故障设备维修完毕时间在5-7个工作日内，服务人员进行维修进度跟踪，并实时汇报给学校管理部门。在故障维修期间按应急预案保证正常教学。建立全过程维修档案。</w:t>
      </w:r>
    </w:p>
    <w:p>
      <w:pPr>
        <w:widowControl/>
        <w:spacing w:line="300" w:lineRule="auto"/>
        <w:ind w:firstLine="562" w:firstLineChars="200"/>
        <w:jc w:val="left"/>
        <w:rPr>
          <w:rFonts w:hAnsi="宋体"/>
          <w:b/>
          <w:color w:val="auto"/>
          <w:sz w:val="28"/>
          <w:szCs w:val="28"/>
          <w:highlight w:val="none"/>
        </w:rPr>
      </w:pPr>
      <w:r>
        <w:rPr>
          <w:rFonts w:hint="eastAsia" w:hAnsi="宋体"/>
          <w:b/>
          <w:color w:val="auto"/>
          <w:sz w:val="28"/>
          <w:szCs w:val="28"/>
          <w:highlight w:val="none"/>
        </w:rPr>
        <w:t>1</w:t>
      </w:r>
      <w:r>
        <w:rPr>
          <w:rFonts w:hAnsi="宋体"/>
          <w:b/>
          <w:color w:val="auto"/>
          <w:sz w:val="28"/>
          <w:szCs w:val="28"/>
          <w:highlight w:val="none"/>
        </w:rPr>
        <w:t xml:space="preserve">.2.4 </w:t>
      </w:r>
      <w:r>
        <w:rPr>
          <w:rFonts w:hint="eastAsia" w:hAnsi="宋体"/>
          <w:b/>
          <w:color w:val="auto"/>
          <w:sz w:val="28"/>
          <w:szCs w:val="28"/>
          <w:highlight w:val="none"/>
        </w:rPr>
        <w:t>现场技术支持和保障</w:t>
      </w:r>
    </w:p>
    <w:p>
      <w:pPr>
        <w:widowControl/>
        <w:spacing w:line="300" w:lineRule="auto"/>
        <w:ind w:firstLine="480" w:firstLineChars="200"/>
        <w:jc w:val="left"/>
        <w:rPr>
          <w:color w:val="auto"/>
          <w:sz w:val="24"/>
          <w:highlight w:val="none"/>
        </w:rPr>
      </w:pPr>
      <w:r>
        <w:rPr>
          <w:rFonts w:hint="eastAsia"/>
          <w:color w:val="auto"/>
          <w:sz w:val="24"/>
          <w:highlight w:val="none"/>
        </w:rPr>
        <w:t>1.服务商需对相关软硬件或系统使用者提供设备操作指导及培训。</w:t>
      </w:r>
    </w:p>
    <w:p>
      <w:pPr>
        <w:widowControl/>
        <w:spacing w:line="300" w:lineRule="auto"/>
        <w:ind w:firstLine="480" w:firstLineChars="200"/>
        <w:jc w:val="left"/>
        <w:rPr>
          <w:color w:val="auto"/>
          <w:sz w:val="24"/>
          <w:highlight w:val="none"/>
        </w:rPr>
      </w:pPr>
      <w:r>
        <w:rPr>
          <w:rFonts w:hint="eastAsia"/>
          <w:color w:val="auto"/>
          <w:sz w:val="24"/>
          <w:highlight w:val="none"/>
        </w:rPr>
        <w:t>2.需要多媒体技术支持的活动或考试等，服务商应提供现场技术保障。</w:t>
      </w:r>
    </w:p>
    <w:p>
      <w:pPr>
        <w:widowControl/>
        <w:spacing w:line="300" w:lineRule="auto"/>
        <w:ind w:firstLine="480" w:firstLineChars="200"/>
        <w:jc w:val="left"/>
        <w:rPr>
          <w:color w:val="auto"/>
          <w:sz w:val="24"/>
          <w:highlight w:val="none"/>
        </w:rPr>
      </w:pPr>
      <w:r>
        <w:rPr>
          <w:rFonts w:hint="eastAsia"/>
          <w:color w:val="auto"/>
          <w:sz w:val="24"/>
          <w:highlight w:val="none"/>
        </w:rPr>
        <w:t>3.服务商对于上课期间遇到的无法现场排除的故障，需提供快速解决的应急方案，并持续跟进解决问题，故障排除后及时向报修教师和管理部门反馈。</w:t>
      </w:r>
    </w:p>
    <w:p>
      <w:pPr>
        <w:widowControl/>
        <w:spacing w:line="300" w:lineRule="auto"/>
        <w:ind w:firstLine="562" w:firstLineChars="200"/>
        <w:jc w:val="left"/>
        <w:rPr>
          <w:rFonts w:hAnsi="宋体"/>
          <w:b/>
          <w:color w:val="auto"/>
          <w:sz w:val="28"/>
          <w:szCs w:val="28"/>
          <w:highlight w:val="none"/>
        </w:rPr>
      </w:pPr>
      <w:r>
        <w:rPr>
          <w:rFonts w:hint="eastAsia" w:hAnsi="宋体"/>
          <w:b/>
          <w:color w:val="auto"/>
          <w:sz w:val="28"/>
          <w:szCs w:val="28"/>
          <w:highlight w:val="none"/>
        </w:rPr>
        <w:t>1</w:t>
      </w:r>
      <w:r>
        <w:rPr>
          <w:rFonts w:hAnsi="宋体"/>
          <w:b/>
          <w:color w:val="auto"/>
          <w:sz w:val="28"/>
          <w:szCs w:val="28"/>
          <w:highlight w:val="none"/>
        </w:rPr>
        <w:t>.3</w:t>
      </w:r>
      <w:r>
        <w:rPr>
          <w:rFonts w:hint="eastAsia" w:hAnsi="宋体"/>
          <w:b/>
          <w:color w:val="auto"/>
          <w:sz w:val="28"/>
          <w:szCs w:val="28"/>
          <w:highlight w:val="none"/>
        </w:rPr>
        <w:t>服务考核标准</w:t>
      </w:r>
    </w:p>
    <w:p>
      <w:pPr>
        <w:widowControl/>
        <w:spacing w:line="300" w:lineRule="auto"/>
        <w:ind w:firstLine="480" w:firstLineChars="200"/>
        <w:jc w:val="left"/>
        <w:rPr>
          <w:color w:val="auto"/>
          <w:sz w:val="24"/>
          <w:highlight w:val="none"/>
        </w:rPr>
      </w:pPr>
      <w:r>
        <w:rPr>
          <w:color w:val="auto"/>
          <w:sz w:val="24"/>
          <w:highlight w:val="none"/>
        </w:rPr>
        <w:t xml:space="preserve">1 </w:t>
      </w:r>
      <w:r>
        <w:rPr>
          <w:rFonts w:hint="eastAsia"/>
          <w:color w:val="auto"/>
          <w:sz w:val="24"/>
          <w:highlight w:val="none"/>
        </w:rPr>
        <w:t>服务商应提供服务规范和档案材料</w:t>
      </w:r>
    </w:p>
    <w:p>
      <w:pPr>
        <w:widowControl/>
        <w:spacing w:line="300" w:lineRule="auto"/>
        <w:ind w:firstLine="480" w:firstLineChars="200"/>
        <w:jc w:val="left"/>
        <w:rPr>
          <w:color w:val="auto"/>
          <w:sz w:val="24"/>
          <w:highlight w:val="none"/>
        </w:rPr>
      </w:pPr>
      <w:r>
        <w:rPr>
          <w:rFonts w:hint="eastAsia"/>
          <w:color w:val="auto"/>
          <w:sz w:val="24"/>
          <w:highlight w:val="none"/>
        </w:rPr>
        <w:t>1)服务商提供日常服务人员行为规范。</w:t>
      </w:r>
    </w:p>
    <w:p>
      <w:pPr>
        <w:widowControl/>
        <w:spacing w:line="300" w:lineRule="auto"/>
        <w:ind w:firstLine="480" w:firstLineChars="200"/>
        <w:jc w:val="left"/>
        <w:rPr>
          <w:color w:val="auto"/>
          <w:sz w:val="24"/>
          <w:highlight w:val="none"/>
        </w:rPr>
      </w:pPr>
      <w:r>
        <w:rPr>
          <w:rFonts w:hint="eastAsia"/>
          <w:color w:val="auto"/>
          <w:sz w:val="24"/>
          <w:highlight w:val="none"/>
        </w:rPr>
        <w:t>2)服务商提供标准的日常运维服务工具包。</w:t>
      </w:r>
    </w:p>
    <w:p>
      <w:pPr>
        <w:widowControl/>
        <w:spacing w:line="300" w:lineRule="auto"/>
        <w:ind w:firstLine="480" w:firstLineChars="200"/>
        <w:jc w:val="left"/>
        <w:rPr>
          <w:color w:val="auto"/>
          <w:sz w:val="24"/>
          <w:highlight w:val="none"/>
        </w:rPr>
      </w:pPr>
      <w:r>
        <w:rPr>
          <w:rFonts w:hint="eastAsia"/>
          <w:color w:val="auto"/>
          <w:sz w:val="24"/>
          <w:highlight w:val="none"/>
        </w:rPr>
        <w:t>3)服务商提供巡检记录及日常维修记录。</w:t>
      </w:r>
    </w:p>
    <w:p>
      <w:pPr>
        <w:widowControl/>
        <w:spacing w:line="300" w:lineRule="auto"/>
        <w:ind w:firstLine="480" w:firstLineChars="200"/>
        <w:jc w:val="left"/>
        <w:rPr>
          <w:color w:val="auto"/>
          <w:sz w:val="24"/>
          <w:highlight w:val="none"/>
        </w:rPr>
      </w:pPr>
      <w:r>
        <w:rPr>
          <w:rFonts w:hint="eastAsia"/>
          <w:color w:val="auto"/>
          <w:sz w:val="24"/>
          <w:highlight w:val="none"/>
        </w:rPr>
        <w:t>4)服务商建立巡检流程及设备台账。</w:t>
      </w:r>
    </w:p>
    <w:p>
      <w:pPr>
        <w:widowControl/>
        <w:spacing w:line="300" w:lineRule="auto"/>
        <w:ind w:firstLine="480" w:firstLineChars="200"/>
        <w:jc w:val="left"/>
        <w:rPr>
          <w:color w:val="auto"/>
          <w:sz w:val="24"/>
          <w:highlight w:val="none"/>
        </w:rPr>
      </w:pPr>
      <w:r>
        <w:rPr>
          <w:rFonts w:hint="eastAsia"/>
          <w:color w:val="auto"/>
          <w:sz w:val="24"/>
          <w:highlight w:val="none"/>
        </w:rPr>
        <w:t>5)服务商提供常见故障处理预案。</w:t>
      </w:r>
    </w:p>
    <w:p>
      <w:pPr>
        <w:widowControl/>
        <w:spacing w:line="300" w:lineRule="auto"/>
        <w:ind w:firstLine="480" w:firstLineChars="200"/>
        <w:jc w:val="left"/>
        <w:rPr>
          <w:color w:val="auto"/>
          <w:sz w:val="24"/>
          <w:highlight w:val="none"/>
        </w:rPr>
      </w:pPr>
      <w:r>
        <w:rPr>
          <w:rFonts w:hint="eastAsia"/>
          <w:color w:val="auto"/>
          <w:sz w:val="24"/>
          <w:highlight w:val="none"/>
        </w:rPr>
        <w:t>6)服务商提供设备维修及耗材报备表。</w:t>
      </w:r>
    </w:p>
    <w:p>
      <w:pPr>
        <w:widowControl/>
        <w:spacing w:line="300" w:lineRule="auto"/>
        <w:ind w:firstLine="480" w:firstLineChars="200"/>
        <w:jc w:val="left"/>
        <w:rPr>
          <w:color w:val="auto"/>
          <w:sz w:val="24"/>
          <w:highlight w:val="none"/>
        </w:rPr>
      </w:pPr>
      <w:r>
        <w:rPr>
          <w:rFonts w:hint="eastAsia"/>
          <w:color w:val="auto"/>
          <w:sz w:val="24"/>
          <w:highlight w:val="none"/>
        </w:rPr>
        <w:t>2.服务人员必须熟悉每间教室内设备工作原理及设备状况，以便及时发现问题，迅速排除故障。因服务人员业务不熟练造成的服务投诉的，视为服务不合格。</w:t>
      </w:r>
    </w:p>
    <w:p>
      <w:pPr>
        <w:widowControl/>
        <w:spacing w:line="300" w:lineRule="auto"/>
        <w:ind w:firstLine="480" w:firstLineChars="200"/>
        <w:jc w:val="left"/>
        <w:rPr>
          <w:color w:val="auto"/>
          <w:sz w:val="24"/>
          <w:highlight w:val="none"/>
        </w:rPr>
      </w:pPr>
      <w:r>
        <w:rPr>
          <w:rFonts w:hint="eastAsia"/>
          <w:color w:val="auto"/>
          <w:sz w:val="24"/>
          <w:highlight w:val="none"/>
        </w:rPr>
        <w:t>3.投诉达3次后服务商必须更换人员，否则终止合同。</w:t>
      </w:r>
    </w:p>
    <w:p>
      <w:pPr>
        <w:widowControl/>
        <w:spacing w:line="300" w:lineRule="auto"/>
        <w:ind w:firstLine="480" w:firstLineChars="200"/>
        <w:jc w:val="left"/>
        <w:rPr>
          <w:color w:val="auto"/>
          <w:sz w:val="24"/>
          <w:highlight w:val="none"/>
        </w:rPr>
      </w:pPr>
      <w:r>
        <w:rPr>
          <w:rFonts w:hint="eastAsia"/>
          <w:color w:val="auto"/>
          <w:sz w:val="24"/>
          <w:highlight w:val="none"/>
        </w:rPr>
        <w:t>4.服务人员应以饱满热情的态度为广大师生提供服务。因服务人员态度差造成的服务投诉的，视为服务不合格。</w:t>
      </w:r>
    </w:p>
    <w:p>
      <w:pPr>
        <w:widowControl/>
        <w:spacing w:line="300" w:lineRule="auto"/>
        <w:ind w:firstLine="480" w:firstLineChars="200"/>
        <w:jc w:val="left"/>
        <w:rPr>
          <w:color w:val="auto"/>
          <w:sz w:val="24"/>
          <w:highlight w:val="none"/>
        </w:rPr>
      </w:pPr>
      <w:r>
        <w:rPr>
          <w:rFonts w:hint="eastAsia"/>
          <w:color w:val="auto"/>
          <w:sz w:val="24"/>
          <w:highlight w:val="none"/>
        </w:rPr>
        <w:t>5.服务人员工作应科学严谨，及时按时。因服务人员工作主观原因造成的服务投诉的，视为服务不合格。</w:t>
      </w:r>
    </w:p>
    <w:p>
      <w:pPr>
        <w:widowControl/>
        <w:spacing w:line="300" w:lineRule="auto"/>
        <w:ind w:firstLine="480" w:firstLineChars="200"/>
        <w:jc w:val="left"/>
        <w:rPr>
          <w:color w:val="auto"/>
          <w:sz w:val="24"/>
          <w:highlight w:val="none"/>
        </w:rPr>
      </w:pPr>
      <w:r>
        <w:rPr>
          <w:rFonts w:hint="eastAsia"/>
          <w:color w:val="auto"/>
          <w:sz w:val="24"/>
          <w:highlight w:val="none"/>
        </w:rPr>
        <w:t>6.服务人员应按照校方要求及时到岗，经校方考勤擅自脱岗、离岗，经常迟到早退的，视为服务不合格。</w:t>
      </w:r>
    </w:p>
    <w:p>
      <w:pPr>
        <w:widowControl/>
        <w:spacing w:line="300" w:lineRule="auto"/>
        <w:ind w:firstLine="480" w:firstLineChars="200"/>
        <w:jc w:val="left"/>
        <w:rPr>
          <w:color w:val="auto"/>
          <w:sz w:val="24"/>
          <w:highlight w:val="none"/>
        </w:rPr>
      </w:pPr>
      <w:r>
        <w:rPr>
          <w:rFonts w:hint="eastAsia"/>
          <w:color w:val="auto"/>
          <w:sz w:val="24"/>
          <w:highlight w:val="none"/>
        </w:rPr>
        <w:t>7.服务人员因操作不规范，损坏设备及造成其他财产损失的，视为服务不合格。所造成的损失照价赔偿。</w:t>
      </w:r>
    </w:p>
    <w:p>
      <w:pPr>
        <w:widowControl/>
        <w:spacing w:line="300" w:lineRule="auto"/>
        <w:ind w:firstLine="480" w:firstLineChars="200"/>
        <w:jc w:val="left"/>
        <w:rPr>
          <w:color w:val="auto"/>
          <w:sz w:val="24"/>
          <w:highlight w:val="none"/>
        </w:rPr>
      </w:pPr>
      <w:r>
        <w:rPr>
          <w:rFonts w:hint="eastAsia"/>
          <w:color w:val="auto"/>
          <w:sz w:val="24"/>
          <w:highlight w:val="none"/>
        </w:rPr>
        <w:t>8.服务人员发生违反学校规定，违法违纪行为的，视为服务不合格。</w:t>
      </w:r>
    </w:p>
    <w:p>
      <w:pPr>
        <w:widowControl/>
        <w:spacing w:line="300" w:lineRule="auto"/>
        <w:ind w:firstLine="562" w:firstLineChars="200"/>
        <w:jc w:val="left"/>
        <w:rPr>
          <w:rFonts w:hAnsi="宋体"/>
          <w:b/>
          <w:color w:val="auto"/>
          <w:sz w:val="28"/>
          <w:szCs w:val="28"/>
          <w:highlight w:val="none"/>
        </w:rPr>
      </w:pPr>
      <w:r>
        <w:rPr>
          <w:rFonts w:hint="eastAsia" w:hAnsi="宋体"/>
          <w:b/>
          <w:color w:val="auto"/>
          <w:sz w:val="28"/>
          <w:szCs w:val="28"/>
          <w:highlight w:val="none"/>
        </w:rPr>
        <w:t>1</w:t>
      </w:r>
      <w:r>
        <w:rPr>
          <w:rFonts w:hAnsi="宋体"/>
          <w:b/>
          <w:color w:val="auto"/>
          <w:sz w:val="28"/>
          <w:szCs w:val="28"/>
          <w:highlight w:val="none"/>
        </w:rPr>
        <w:t xml:space="preserve">.4 </w:t>
      </w:r>
      <w:r>
        <w:rPr>
          <w:rFonts w:hint="eastAsia" w:hAnsi="宋体"/>
          <w:b/>
          <w:color w:val="auto"/>
          <w:sz w:val="28"/>
          <w:szCs w:val="28"/>
          <w:highlight w:val="none"/>
        </w:rPr>
        <w:t>考核评分</w:t>
      </w:r>
    </w:p>
    <w:tbl>
      <w:tblPr>
        <w:tblStyle w:val="20"/>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098"/>
        <w:gridCol w:w="4140"/>
        <w:gridCol w:w="993"/>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1098"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考核项目</w:t>
            </w:r>
          </w:p>
        </w:tc>
        <w:tc>
          <w:tcPr>
            <w:tcW w:w="4140"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考核内容及形式</w:t>
            </w:r>
          </w:p>
        </w:tc>
        <w:tc>
          <w:tcPr>
            <w:tcW w:w="993"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分值</w:t>
            </w:r>
          </w:p>
        </w:tc>
        <w:tc>
          <w:tcPr>
            <w:tcW w:w="2976"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评价主体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098"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服务纪律</w:t>
            </w:r>
          </w:p>
        </w:tc>
        <w:tc>
          <w:tcPr>
            <w:tcW w:w="4140" w:type="dxa"/>
            <w:shd w:val="clear" w:color="auto" w:fill="auto"/>
            <w:vAlign w:val="center"/>
          </w:tcPr>
          <w:p>
            <w:pPr>
              <w:tabs>
                <w:tab w:val="left" w:pos="312"/>
              </w:tabs>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人员队伍、服务态度、受投诉、表扬情况</w:t>
            </w:r>
          </w:p>
        </w:tc>
        <w:tc>
          <w:tcPr>
            <w:tcW w:w="993" w:type="dxa"/>
            <w:shd w:val="clear" w:color="auto" w:fill="auto"/>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w:t>
            </w:r>
            <w:r>
              <w:rPr>
                <w:rFonts w:ascii="宋体" w:hAnsi="宋体" w:cs="宋体"/>
                <w:bCs/>
                <w:color w:val="auto"/>
                <w:szCs w:val="21"/>
                <w:highlight w:val="none"/>
              </w:rPr>
              <w:t>0</w:t>
            </w:r>
          </w:p>
        </w:tc>
        <w:tc>
          <w:tcPr>
            <w:tcW w:w="2976"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教学中心、设备处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1098"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教学保障</w:t>
            </w:r>
          </w:p>
        </w:tc>
        <w:tc>
          <w:tcPr>
            <w:tcW w:w="4140" w:type="dxa"/>
            <w:shd w:val="clear" w:color="auto" w:fill="auto"/>
            <w:vAlign w:val="center"/>
          </w:tcPr>
          <w:p>
            <w:pPr>
              <w:tabs>
                <w:tab w:val="left" w:pos="312"/>
              </w:tabs>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日常运维，周期性服务保障情况</w:t>
            </w:r>
          </w:p>
        </w:tc>
        <w:tc>
          <w:tcPr>
            <w:tcW w:w="993" w:type="dxa"/>
            <w:shd w:val="clear" w:color="auto" w:fill="auto"/>
          </w:tcPr>
          <w:p>
            <w:pPr>
              <w:tabs>
                <w:tab w:val="left" w:pos="312"/>
              </w:tabs>
              <w:spacing w:line="360" w:lineRule="auto"/>
              <w:jc w:val="center"/>
              <w:rPr>
                <w:rFonts w:ascii="宋体" w:hAnsi="宋体" w:cs="宋体"/>
                <w:bCs/>
                <w:color w:val="auto"/>
                <w:szCs w:val="21"/>
                <w:highlight w:val="none"/>
              </w:rPr>
            </w:pPr>
            <w:r>
              <w:rPr>
                <w:rFonts w:ascii="宋体" w:hAnsi="宋体" w:cs="宋体"/>
                <w:bCs/>
                <w:color w:val="auto"/>
                <w:szCs w:val="21"/>
                <w:highlight w:val="none"/>
              </w:rPr>
              <w:t>30</w:t>
            </w:r>
          </w:p>
        </w:tc>
        <w:tc>
          <w:tcPr>
            <w:tcW w:w="2976"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1098"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业务水平</w:t>
            </w:r>
          </w:p>
        </w:tc>
        <w:tc>
          <w:tcPr>
            <w:tcW w:w="4140" w:type="dxa"/>
            <w:shd w:val="clear" w:color="auto" w:fill="auto"/>
            <w:vAlign w:val="center"/>
          </w:tcPr>
          <w:p>
            <w:pPr>
              <w:tabs>
                <w:tab w:val="left" w:pos="312"/>
              </w:tabs>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技术水平、业务熟练、受投诉、表扬情况</w:t>
            </w:r>
          </w:p>
        </w:tc>
        <w:tc>
          <w:tcPr>
            <w:tcW w:w="993" w:type="dxa"/>
            <w:shd w:val="clear" w:color="auto" w:fill="auto"/>
          </w:tcPr>
          <w:p>
            <w:pPr>
              <w:tabs>
                <w:tab w:val="left" w:pos="312"/>
              </w:tabs>
              <w:spacing w:line="360" w:lineRule="auto"/>
              <w:jc w:val="center"/>
              <w:rPr>
                <w:rFonts w:ascii="宋体" w:hAnsi="宋体" w:cs="宋体"/>
                <w:bCs/>
                <w:color w:val="auto"/>
                <w:szCs w:val="21"/>
                <w:highlight w:val="none"/>
              </w:rPr>
            </w:pPr>
            <w:r>
              <w:rPr>
                <w:rFonts w:ascii="宋体" w:hAnsi="宋体" w:cs="宋体"/>
                <w:bCs/>
                <w:color w:val="auto"/>
                <w:szCs w:val="21"/>
                <w:highlight w:val="none"/>
              </w:rPr>
              <w:t>30</w:t>
            </w:r>
          </w:p>
        </w:tc>
        <w:tc>
          <w:tcPr>
            <w:tcW w:w="2976"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教学中心、设备处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1098"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档案资料</w:t>
            </w:r>
          </w:p>
        </w:tc>
        <w:tc>
          <w:tcPr>
            <w:tcW w:w="4140" w:type="dxa"/>
            <w:shd w:val="clear" w:color="auto" w:fill="auto"/>
            <w:vAlign w:val="center"/>
          </w:tcPr>
          <w:p>
            <w:pPr>
              <w:tabs>
                <w:tab w:val="left" w:pos="312"/>
              </w:tabs>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各类档案记录及时、准确、完整</w:t>
            </w:r>
          </w:p>
        </w:tc>
        <w:tc>
          <w:tcPr>
            <w:tcW w:w="993" w:type="dxa"/>
            <w:shd w:val="clear" w:color="auto" w:fill="auto"/>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2</w:t>
            </w:r>
            <w:r>
              <w:rPr>
                <w:rFonts w:ascii="宋体" w:hAnsi="宋体" w:cs="宋体"/>
                <w:bCs/>
                <w:color w:val="auto"/>
                <w:szCs w:val="21"/>
                <w:highlight w:val="none"/>
              </w:rPr>
              <w:t>0</w:t>
            </w:r>
          </w:p>
        </w:tc>
        <w:tc>
          <w:tcPr>
            <w:tcW w:w="2976"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教学中心、设备处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5</w:t>
            </w:r>
          </w:p>
        </w:tc>
        <w:tc>
          <w:tcPr>
            <w:tcW w:w="1098"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满意度</w:t>
            </w:r>
          </w:p>
        </w:tc>
        <w:tc>
          <w:tcPr>
            <w:tcW w:w="4140" w:type="dxa"/>
            <w:shd w:val="clear" w:color="auto" w:fill="auto"/>
            <w:vAlign w:val="center"/>
          </w:tcPr>
          <w:p>
            <w:pPr>
              <w:tabs>
                <w:tab w:val="left" w:pos="312"/>
              </w:tabs>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服务、履约等综合情况</w:t>
            </w:r>
          </w:p>
        </w:tc>
        <w:tc>
          <w:tcPr>
            <w:tcW w:w="993" w:type="dxa"/>
            <w:shd w:val="clear" w:color="auto" w:fill="auto"/>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w:t>
            </w:r>
            <w:r>
              <w:rPr>
                <w:rFonts w:ascii="宋体" w:hAnsi="宋体" w:cs="宋体"/>
                <w:bCs/>
                <w:color w:val="auto"/>
                <w:szCs w:val="21"/>
                <w:highlight w:val="none"/>
              </w:rPr>
              <w:t>0</w:t>
            </w:r>
          </w:p>
        </w:tc>
        <w:tc>
          <w:tcPr>
            <w:tcW w:w="2976" w:type="dxa"/>
            <w:shd w:val="clear" w:color="auto" w:fill="auto"/>
            <w:vAlign w:val="center"/>
          </w:tcPr>
          <w:p>
            <w:pPr>
              <w:tabs>
                <w:tab w:val="left" w:pos="312"/>
              </w:tabs>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相关部门</w:t>
            </w:r>
          </w:p>
        </w:tc>
      </w:tr>
    </w:tbl>
    <w:p>
      <w:pPr>
        <w:tabs>
          <w:tab w:val="left" w:pos="312"/>
        </w:tabs>
        <w:spacing w:line="360" w:lineRule="auto"/>
        <w:ind w:left="640"/>
        <w:jc w:val="left"/>
        <w:rPr>
          <w:rFonts w:ascii="宋体" w:hAnsi="宋体" w:cs="宋体"/>
          <w:bCs/>
          <w:color w:val="auto"/>
          <w:sz w:val="24"/>
          <w:highlight w:val="none"/>
        </w:rPr>
      </w:pPr>
      <w:r>
        <w:rPr>
          <w:rFonts w:hint="eastAsia" w:ascii="宋体" w:hAnsi="宋体" w:cs="宋体"/>
          <w:bCs/>
          <w:color w:val="auto"/>
          <w:sz w:val="24"/>
          <w:highlight w:val="none"/>
        </w:rPr>
        <w:t>注：考核分数低于60分的，不得参与下年度的招标。</w:t>
      </w:r>
    </w:p>
    <w:p>
      <w:pPr>
        <w:widowControl/>
        <w:spacing w:line="300" w:lineRule="auto"/>
        <w:ind w:firstLine="562" w:firstLineChars="200"/>
        <w:jc w:val="left"/>
        <w:rPr>
          <w:rFonts w:hAnsi="宋体"/>
          <w:b/>
          <w:color w:val="auto"/>
          <w:sz w:val="28"/>
          <w:szCs w:val="28"/>
          <w:highlight w:val="none"/>
        </w:rPr>
      </w:pPr>
      <w:r>
        <w:rPr>
          <w:rFonts w:hint="eastAsia" w:hAnsi="宋体"/>
          <w:b/>
          <w:color w:val="auto"/>
          <w:sz w:val="28"/>
          <w:szCs w:val="28"/>
          <w:highlight w:val="none"/>
        </w:rPr>
        <w:t>1</w:t>
      </w:r>
      <w:r>
        <w:rPr>
          <w:rFonts w:hAnsi="宋体"/>
          <w:b/>
          <w:color w:val="auto"/>
          <w:sz w:val="28"/>
          <w:szCs w:val="28"/>
          <w:highlight w:val="none"/>
        </w:rPr>
        <w:t>.5</w:t>
      </w:r>
      <w:r>
        <w:rPr>
          <w:rFonts w:hint="eastAsia" w:hAnsi="宋体"/>
          <w:b/>
          <w:color w:val="auto"/>
          <w:sz w:val="28"/>
          <w:szCs w:val="28"/>
          <w:highlight w:val="none"/>
        </w:rPr>
        <w:t>双方关系及人员</w:t>
      </w:r>
    </w:p>
    <w:p>
      <w:pPr>
        <w:widowControl/>
        <w:spacing w:line="300" w:lineRule="auto"/>
        <w:ind w:firstLine="480" w:firstLineChars="200"/>
        <w:jc w:val="left"/>
        <w:rPr>
          <w:color w:val="auto"/>
          <w:sz w:val="24"/>
          <w:highlight w:val="none"/>
        </w:rPr>
      </w:pPr>
      <w:r>
        <w:rPr>
          <w:rFonts w:hint="eastAsia"/>
          <w:color w:val="auto"/>
          <w:sz w:val="24"/>
          <w:highlight w:val="none"/>
        </w:rPr>
        <w:t>1.服务商派驻的工作人员，由校方安排具体工作并对校方负责。</w:t>
      </w:r>
    </w:p>
    <w:p>
      <w:pPr>
        <w:widowControl/>
        <w:spacing w:line="300" w:lineRule="auto"/>
        <w:ind w:firstLine="480" w:firstLineChars="200"/>
        <w:jc w:val="left"/>
        <w:rPr>
          <w:color w:val="auto"/>
          <w:sz w:val="24"/>
          <w:highlight w:val="none"/>
        </w:rPr>
      </w:pPr>
      <w:r>
        <w:rPr>
          <w:rFonts w:hint="eastAsia"/>
          <w:color w:val="auto"/>
          <w:sz w:val="24"/>
          <w:highlight w:val="none"/>
        </w:rPr>
        <w:t>2.中标人安排在校方的工作人员，必须提供身份证复印件交给校方登记备案，如中标人工作人员需变更，须提交书面申请给校方，经校方同意后重新提交新的工作人员身份证复印件后方可完成更换。未经校方许可，服务商不得随意更换人员。</w:t>
      </w:r>
    </w:p>
    <w:p>
      <w:pPr>
        <w:widowControl/>
        <w:spacing w:line="300" w:lineRule="auto"/>
        <w:ind w:firstLine="480" w:firstLineChars="200"/>
        <w:jc w:val="left"/>
        <w:rPr>
          <w:color w:val="auto"/>
          <w:sz w:val="24"/>
          <w:highlight w:val="none"/>
        </w:rPr>
      </w:pPr>
      <w:r>
        <w:rPr>
          <w:rFonts w:hint="eastAsia"/>
          <w:color w:val="auto"/>
          <w:sz w:val="24"/>
          <w:highlight w:val="none"/>
        </w:rPr>
        <w:t>3.服务商若要更换人员，必须提前</w:t>
      </w:r>
      <w:r>
        <w:rPr>
          <w:rFonts w:hint="eastAsia" w:ascii="宋体" w:hAnsi="宋体" w:cs="宋体"/>
          <w:color w:val="auto"/>
          <w:kern w:val="0"/>
          <w:sz w:val="24"/>
          <w:highlight w:val="none"/>
        </w:rPr>
        <w:t>3</w:t>
      </w:r>
      <w:r>
        <w:rPr>
          <w:rFonts w:ascii="宋体" w:hAnsi="宋体" w:cs="宋体"/>
          <w:color w:val="auto"/>
          <w:kern w:val="0"/>
          <w:sz w:val="24"/>
          <w:highlight w:val="none"/>
        </w:rPr>
        <w:t>0</w:t>
      </w:r>
      <w:r>
        <w:rPr>
          <w:rFonts w:hint="eastAsia" w:ascii="宋体" w:hAnsi="宋体" w:cs="宋体"/>
          <w:color w:val="auto"/>
          <w:kern w:val="0"/>
          <w:sz w:val="24"/>
          <w:highlight w:val="none"/>
        </w:rPr>
        <w:t>天</w:t>
      </w:r>
      <w:r>
        <w:rPr>
          <w:rFonts w:hint="eastAsia"/>
          <w:color w:val="auto"/>
          <w:sz w:val="24"/>
          <w:highlight w:val="none"/>
        </w:rPr>
        <w:t>通知校方。</w:t>
      </w:r>
    </w:p>
    <w:p>
      <w:pPr>
        <w:widowControl/>
        <w:spacing w:line="300" w:lineRule="auto"/>
        <w:ind w:firstLine="480" w:firstLineChars="200"/>
        <w:jc w:val="left"/>
        <w:rPr>
          <w:color w:val="auto"/>
          <w:sz w:val="24"/>
          <w:highlight w:val="none"/>
        </w:rPr>
      </w:pPr>
      <w:r>
        <w:rPr>
          <w:rFonts w:hint="eastAsia"/>
          <w:color w:val="auto"/>
          <w:sz w:val="24"/>
          <w:highlight w:val="none"/>
        </w:rPr>
        <w:t>4.若出现服务商工作人员无法正常工作，服务商应在一个工作日之内派驻替代人员。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eastAsia" w:ascii="宋体" w:eastAsia="宋体"/>
          <w:b/>
          <w:bCs/>
          <w:color w:val="auto"/>
          <w:sz w:val="21"/>
          <w:szCs w:val="21"/>
          <w:highlight w:val="none"/>
          <w:lang w:val="zh-CN"/>
        </w:rPr>
      </w:pPr>
      <w:r>
        <w:rPr>
          <w:rFonts w:hint="eastAsia" w:ascii="宋体" w:eastAsia="宋体"/>
          <w:b/>
          <w:bCs/>
          <w:color w:val="auto"/>
          <w:sz w:val="21"/>
          <w:szCs w:val="21"/>
          <w:highlight w:val="none"/>
        </w:rPr>
        <w:t>（本部分内容由南京信息工程大学</w:t>
      </w:r>
      <w:r>
        <w:rPr>
          <w:rFonts w:hint="eastAsia" w:ascii="宋体" w:eastAsia="宋体"/>
          <w:b/>
          <w:bCs/>
          <w:color w:val="auto"/>
          <w:sz w:val="21"/>
          <w:szCs w:val="21"/>
          <w:highlight w:val="none"/>
        </w:rPr>
        <w:fldChar w:fldCharType="begin"/>
      </w:r>
      <w:r>
        <w:rPr>
          <w:rFonts w:hint="eastAsia" w:ascii="宋体" w:eastAsia="宋体"/>
          <w:b/>
          <w:bCs/>
          <w:color w:val="auto"/>
          <w:sz w:val="21"/>
          <w:szCs w:val="21"/>
          <w:highlight w:val="none"/>
        </w:rPr>
        <w:instrText xml:space="preserve"> HYPERLINK "https://jnhyq.nuist.edu.cn/" \t "https://www.nuist.edu.cn/875/_blank" </w:instrText>
      </w:r>
      <w:r>
        <w:rPr>
          <w:rFonts w:hint="eastAsia" w:ascii="宋体" w:eastAsia="宋体"/>
          <w:b/>
          <w:bCs/>
          <w:color w:val="auto"/>
          <w:sz w:val="21"/>
          <w:szCs w:val="21"/>
          <w:highlight w:val="none"/>
        </w:rPr>
        <w:fldChar w:fldCharType="separate"/>
      </w:r>
      <w:r>
        <w:rPr>
          <w:rFonts w:hint="default" w:ascii="宋体" w:eastAsia="宋体"/>
          <w:b/>
          <w:bCs/>
          <w:color w:val="auto"/>
          <w:sz w:val="21"/>
          <w:szCs w:val="21"/>
          <w:highlight w:val="none"/>
        </w:rPr>
        <w:t>金牛湖产教融合园区管委会</w:t>
      </w:r>
      <w:r>
        <w:rPr>
          <w:rFonts w:hint="default" w:ascii="宋体" w:eastAsia="宋体"/>
          <w:b/>
          <w:bCs/>
          <w:color w:val="auto"/>
          <w:sz w:val="21"/>
          <w:szCs w:val="21"/>
          <w:highlight w:val="none"/>
        </w:rPr>
        <w:fldChar w:fldCharType="end"/>
      </w:r>
      <w:r>
        <w:rPr>
          <w:rFonts w:hint="eastAsia" w:ascii="宋体" w:eastAsia="宋体"/>
          <w:b/>
          <w:bCs/>
          <w:color w:val="auto"/>
          <w:sz w:val="21"/>
          <w:szCs w:val="21"/>
          <w:highlight w:val="none"/>
        </w:rPr>
        <w:t>提供并负责）</w:t>
      </w:r>
    </w:p>
    <w:p>
      <w:pPr>
        <w:widowControl/>
        <w:spacing w:line="300" w:lineRule="auto"/>
        <w:jc w:val="left"/>
        <w:rPr>
          <w:rFonts w:hint="eastAsia" w:hAnsi="宋体"/>
          <w:b/>
          <w:color w:val="auto"/>
          <w:sz w:val="32"/>
          <w:szCs w:val="32"/>
          <w:highlight w:val="none"/>
        </w:rPr>
      </w:pPr>
    </w:p>
    <w:p>
      <w:pPr>
        <w:widowControl/>
        <w:spacing w:line="300" w:lineRule="auto"/>
        <w:jc w:val="left"/>
        <w:rPr>
          <w:rFonts w:hint="eastAsia" w:hAnsi="宋体"/>
          <w:b/>
          <w:color w:val="auto"/>
          <w:sz w:val="32"/>
          <w:szCs w:val="32"/>
          <w:highlight w:val="none"/>
        </w:rPr>
      </w:pPr>
    </w:p>
    <w:p>
      <w:pPr>
        <w:widowControl/>
        <w:spacing w:line="300" w:lineRule="auto"/>
        <w:jc w:val="left"/>
        <w:rPr>
          <w:rFonts w:hAnsi="宋体"/>
          <w:b/>
          <w:color w:val="auto"/>
          <w:sz w:val="32"/>
          <w:szCs w:val="32"/>
          <w:highlight w:val="none"/>
        </w:rPr>
      </w:pPr>
      <w:r>
        <w:rPr>
          <w:rFonts w:hint="eastAsia" w:hAnsi="宋体"/>
          <w:b/>
          <w:color w:val="auto"/>
          <w:sz w:val="32"/>
          <w:szCs w:val="32"/>
          <w:highlight w:val="none"/>
        </w:rPr>
        <w:t>二 评审方法及评分标准</w:t>
      </w:r>
    </w:p>
    <w:p>
      <w:pPr>
        <w:pStyle w:val="56"/>
        <w:spacing w:before="100" w:beforeAutospacing="1" w:after="156"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评审采用综合评分法，即在最大限度地满足采购文件实质性要求前提下，按照采购文件中规定的各项因素进行综合评审，由评审委员会根据响应文件对采购文件的响应程度，以及相应的比重或者权值等，综合评定后确定成交供应商候选人。</w:t>
      </w:r>
      <w:r>
        <w:rPr>
          <w:rFonts w:hint="eastAsia" w:ascii="宋体" w:hAnsi="宋体"/>
          <w:bCs/>
          <w:color w:val="auto"/>
          <w:sz w:val="24"/>
          <w:highlight w:val="none"/>
        </w:rPr>
        <w:t>评审得分由高到低顺序排列；得分相同的，最终报价低的为</w:t>
      </w:r>
      <w:r>
        <w:rPr>
          <w:rFonts w:hint="eastAsia" w:ascii="宋体" w:hAnsi="宋体"/>
          <w:color w:val="auto"/>
          <w:sz w:val="24"/>
          <w:szCs w:val="24"/>
          <w:highlight w:val="none"/>
        </w:rPr>
        <w:t>成交供应商候选人</w:t>
      </w:r>
      <w:r>
        <w:rPr>
          <w:rFonts w:hint="eastAsia" w:ascii="宋体" w:hAnsi="宋体"/>
          <w:bCs/>
          <w:color w:val="auto"/>
          <w:sz w:val="24"/>
          <w:highlight w:val="none"/>
        </w:rPr>
        <w:t>。得分且最终报价相同的，按技术指标优劣顺序排列，技术指标优的为</w:t>
      </w:r>
      <w:r>
        <w:rPr>
          <w:rFonts w:hint="eastAsia" w:ascii="宋体" w:hAnsi="宋体"/>
          <w:color w:val="auto"/>
          <w:sz w:val="24"/>
          <w:szCs w:val="24"/>
          <w:highlight w:val="none"/>
        </w:rPr>
        <w:t>成交供应商候选人</w:t>
      </w:r>
      <w:r>
        <w:rPr>
          <w:rFonts w:ascii="宋体" w:hAnsi="宋体"/>
          <w:color w:val="auto"/>
          <w:sz w:val="24"/>
          <w:szCs w:val="24"/>
          <w:highlight w:val="none"/>
        </w:rPr>
        <w:t>。</w:t>
      </w:r>
    </w:p>
    <w:tbl>
      <w:tblPr>
        <w:tblStyle w:val="20"/>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155"/>
        <w:gridCol w:w="601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5"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55"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6018"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1276"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15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报价</w:t>
            </w:r>
          </w:p>
        </w:tc>
        <w:tc>
          <w:tcPr>
            <w:tcW w:w="6018" w:type="dxa"/>
            <w:shd w:val="clear" w:color="auto" w:fill="auto"/>
            <w:vAlign w:val="center"/>
          </w:tcPr>
          <w:p>
            <w:pPr>
              <w:rPr>
                <w:rFonts w:eastAsia="Times New Roman" w:asciiTheme="minorEastAsia" w:hAnsiTheme="minorEastAsia"/>
                <w:bCs/>
                <w:color w:val="auto"/>
                <w:kern w:val="0"/>
                <w:szCs w:val="21"/>
                <w:highlight w:val="none"/>
              </w:rPr>
            </w:pPr>
            <w:r>
              <w:rPr>
                <w:rFonts w:hint="eastAsia" w:eastAsia="Times New Roman" w:asciiTheme="minorEastAsia" w:hAnsiTheme="minorEastAsia"/>
                <w:bCs/>
                <w:color w:val="auto"/>
                <w:kern w:val="0"/>
                <w:szCs w:val="21"/>
                <w:highlight w:val="none"/>
              </w:rPr>
              <w:t>满足招标文件要求且投标价格最低的投标报价为评标基准价，其价格分为满分。其他投标人的价格分统一按照下列公式计算：</w:t>
            </w:r>
          </w:p>
          <w:p>
            <w:pPr>
              <w:widowControl/>
              <w:jc w:val="left"/>
              <w:rPr>
                <w:rFonts w:ascii="宋体" w:hAnsi="宋体" w:cs="宋体"/>
                <w:color w:val="auto"/>
                <w:kern w:val="0"/>
                <w:szCs w:val="21"/>
                <w:highlight w:val="none"/>
              </w:rPr>
            </w:pPr>
            <w:r>
              <w:rPr>
                <w:rFonts w:hint="eastAsia" w:eastAsia="Times New Roman" w:asciiTheme="minorEastAsia" w:hAnsiTheme="minorEastAsia"/>
                <w:bCs/>
                <w:color w:val="auto"/>
                <w:kern w:val="0"/>
                <w:szCs w:val="21"/>
                <w:highlight w:val="none"/>
              </w:rPr>
              <w:t>投标报价得分=（评标基准价/投标报价）×</w:t>
            </w:r>
            <w:r>
              <w:rPr>
                <w:rFonts w:hint="eastAsia" w:asciiTheme="minorEastAsia" w:hAnsiTheme="minorEastAsia"/>
                <w:bCs/>
                <w:color w:val="auto"/>
                <w:kern w:val="0"/>
                <w:szCs w:val="21"/>
                <w:highlight w:val="none"/>
              </w:rPr>
              <w:t>2</w:t>
            </w:r>
            <w:r>
              <w:rPr>
                <w:rFonts w:hint="eastAsia" w:eastAsia="Times New Roman" w:asciiTheme="minorEastAsia" w:hAnsiTheme="minorEastAsia"/>
                <w:bCs/>
                <w:color w:val="auto"/>
                <w:kern w:val="0"/>
                <w:szCs w:val="21"/>
                <w:highlight w:val="none"/>
              </w:rPr>
              <w:t>0</w:t>
            </w:r>
          </w:p>
        </w:tc>
        <w:tc>
          <w:tcPr>
            <w:tcW w:w="12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15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技术及服务响应</w:t>
            </w:r>
          </w:p>
        </w:tc>
        <w:tc>
          <w:tcPr>
            <w:tcW w:w="6018"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根据供应商对服务的响应情况进行评审，完全响应得40分，</w:t>
            </w:r>
            <w:r>
              <w:rPr>
                <w:rFonts w:hint="eastAsia" w:eastAsia="Times New Roman" w:asciiTheme="minorEastAsia" w:hAnsiTheme="minorEastAsia"/>
                <w:color w:val="auto"/>
                <w:kern w:val="0"/>
                <w:szCs w:val="21"/>
                <w:highlight w:val="none"/>
              </w:rPr>
              <w:t>“▲”项指标属于重要指标，</w:t>
            </w:r>
            <w:r>
              <w:rPr>
                <w:rFonts w:hint="eastAsia" w:asciiTheme="minorEastAsia" w:hAnsiTheme="minorEastAsia" w:eastAsiaTheme="minorEastAsia"/>
                <w:color w:val="auto"/>
                <w:kern w:val="0"/>
                <w:szCs w:val="21"/>
                <w:highlight w:val="none"/>
              </w:rPr>
              <w:t>需按要求提供相应证明文件，</w:t>
            </w:r>
            <w:r>
              <w:rPr>
                <w:rFonts w:hint="eastAsia" w:eastAsia="Times New Roman" w:asciiTheme="minorEastAsia" w:hAnsiTheme="minorEastAsia"/>
                <w:color w:val="auto"/>
                <w:kern w:val="0"/>
                <w:szCs w:val="21"/>
                <w:highlight w:val="none"/>
              </w:rPr>
              <w:t>每有一项不满足</w:t>
            </w:r>
            <w:r>
              <w:rPr>
                <w:rFonts w:hint="eastAsia" w:asciiTheme="minorEastAsia" w:hAnsiTheme="minorEastAsia"/>
                <w:color w:val="auto"/>
                <w:kern w:val="0"/>
                <w:szCs w:val="21"/>
                <w:highlight w:val="none"/>
              </w:rPr>
              <w:t>扣</w:t>
            </w:r>
            <w:r>
              <w:rPr>
                <w:rFonts w:asciiTheme="minorEastAsia" w:hAnsiTheme="minorEastAsia"/>
                <w:color w:val="auto"/>
                <w:kern w:val="0"/>
                <w:szCs w:val="21"/>
                <w:highlight w:val="none"/>
              </w:rPr>
              <w:t>3</w:t>
            </w:r>
            <w:r>
              <w:rPr>
                <w:rFonts w:hint="eastAsia" w:eastAsia="Times New Roman" w:asciiTheme="minorEastAsia" w:hAnsiTheme="minorEastAsia"/>
                <w:color w:val="auto"/>
                <w:kern w:val="0"/>
                <w:szCs w:val="21"/>
                <w:highlight w:val="none"/>
              </w:rPr>
              <w:t>分</w:t>
            </w:r>
            <w:r>
              <w:rPr>
                <w:rFonts w:hint="eastAsia" w:asciiTheme="minorEastAsia" w:hAnsiTheme="minorEastAsia"/>
                <w:color w:val="auto"/>
                <w:kern w:val="0"/>
                <w:szCs w:val="21"/>
                <w:highlight w:val="none"/>
              </w:rPr>
              <w:t>，其他指标</w:t>
            </w:r>
            <w:r>
              <w:rPr>
                <w:rFonts w:hint="eastAsia" w:ascii="宋体" w:hAnsi="宋体" w:cs="宋体"/>
                <w:color w:val="auto"/>
                <w:kern w:val="0"/>
                <w:szCs w:val="21"/>
                <w:highlight w:val="none"/>
              </w:rPr>
              <w:t>不满足一项扣1分，扣完为止。</w:t>
            </w:r>
          </w:p>
        </w:tc>
        <w:tc>
          <w:tcPr>
            <w:tcW w:w="1276" w:type="dxa"/>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5" w:type="dxa"/>
            <w:vMerge w:val="restar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155" w:type="dxa"/>
            <w:vMerge w:val="restart"/>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服务方案</w:t>
            </w:r>
          </w:p>
        </w:tc>
        <w:tc>
          <w:tcPr>
            <w:tcW w:w="6018"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根据供应商提供的服务计划及维护服务方案进行评审，方案内容需涵盖技术规范书要求。方案非常全面具体，内容详细完善、切实可行，得3分。服务方案比较全面，内容较详细完整、切实可行，得2分。服务方案不全面不具体，内容一般，可行性一般，得1分。未提供方案不得分。</w:t>
            </w:r>
          </w:p>
        </w:tc>
        <w:tc>
          <w:tcPr>
            <w:tcW w:w="12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5" w:type="dxa"/>
            <w:vMerge w:val="continue"/>
            <w:vAlign w:val="center"/>
          </w:tcPr>
          <w:p>
            <w:pPr>
              <w:widowControl/>
              <w:jc w:val="left"/>
              <w:rPr>
                <w:rFonts w:ascii="宋体" w:hAnsi="宋体" w:cs="宋体"/>
                <w:color w:val="auto"/>
                <w:kern w:val="0"/>
                <w:szCs w:val="21"/>
                <w:highlight w:val="none"/>
              </w:rPr>
            </w:pPr>
          </w:p>
        </w:tc>
        <w:tc>
          <w:tcPr>
            <w:tcW w:w="1155" w:type="dxa"/>
            <w:vMerge w:val="continue"/>
            <w:vAlign w:val="center"/>
          </w:tcPr>
          <w:p>
            <w:pPr>
              <w:widowControl/>
              <w:jc w:val="left"/>
              <w:rPr>
                <w:rFonts w:ascii="宋体" w:hAnsi="宋体" w:cs="宋体"/>
                <w:color w:val="auto"/>
                <w:kern w:val="0"/>
                <w:szCs w:val="21"/>
                <w:highlight w:val="none"/>
              </w:rPr>
            </w:pPr>
          </w:p>
        </w:tc>
        <w:tc>
          <w:tcPr>
            <w:tcW w:w="6018"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根据供应商提供的运维管理方案进行评审，包括服务管理流程、质量保障体系等。服务管理流程完备，质量保障措施合理可行，得3分。服务管理流程基本具备，质量保障措施基本合理可行，得2分。服务管理流程不够完备，质量保障措施一般，得1分。未提供方案不得分。</w:t>
            </w:r>
          </w:p>
        </w:tc>
        <w:tc>
          <w:tcPr>
            <w:tcW w:w="12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65" w:type="dxa"/>
            <w:vMerge w:val="continue"/>
            <w:vAlign w:val="center"/>
          </w:tcPr>
          <w:p>
            <w:pPr>
              <w:widowControl/>
              <w:jc w:val="left"/>
              <w:rPr>
                <w:rFonts w:ascii="宋体" w:hAnsi="宋体" w:cs="宋体"/>
                <w:color w:val="auto"/>
                <w:kern w:val="0"/>
                <w:szCs w:val="21"/>
                <w:highlight w:val="none"/>
              </w:rPr>
            </w:pPr>
          </w:p>
        </w:tc>
        <w:tc>
          <w:tcPr>
            <w:tcW w:w="1155" w:type="dxa"/>
            <w:vMerge w:val="continue"/>
            <w:vAlign w:val="center"/>
          </w:tcPr>
          <w:p>
            <w:pPr>
              <w:widowControl/>
              <w:jc w:val="left"/>
              <w:rPr>
                <w:rFonts w:ascii="宋体" w:hAnsi="宋体" w:cs="宋体"/>
                <w:color w:val="auto"/>
                <w:kern w:val="0"/>
                <w:szCs w:val="21"/>
                <w:highlight w:val="none"/>
              </w:rPr>
            </w:pPr>
          </w:p>
        </w:tc>
        <w:tc>
          <w:tcPr>
            <w:tcW w:w="6018"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根据供应商提供的团队管理方案进行评审，包括对服务人员考核管理制度、服务人员能力提升计划、后备团队建设及人员储备等。考核管理制度有效、完善，服务人员能力提升计划详细，后备团队建设及服务人员储备有长期有效的规划，得3分。考核管理制度比较完善，服务人员能力提升计划较为详细，后备团队建设及服务人员储备有规划，得2分。考核管理制度不完善，服务人员能力提升计划一般，后备团队建设及服务人员储备无规划，得1分。未提供方案不得分。</w:t>
            </w:r>
          </w:p>
        </w:tc>
        <w:tc>
          <w:tcPr>
            <w:tcW w:w="12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5" w:type="dxa"/>
            <w:vMerge w:val="continue"/>
            <w:vAlign w:val="center"/>
          </w:tcPr>
          <w:p>
            <w:pPr>
              <w:widowControl/>
              <w:jc w:val="left"/>
              <w:rPr>
                <w:rFonts w:ascii="宋体" w:hAnsi="宋体" w:cs="宋体"/>
                <w:color w:val="auto"/>
                <w:kern w:val="0"/>
                <w:szCs w:val="21"/>
                <w:highlight w:val="none"/>
              </w:rPr>
            </w:pPr>
          </w:p>
        </w:tc>
        <w:tc>
          <w:tcPr>
            <w:tcW w:w="1155" w:type="dxa"/>
            <w:vMerge w:val="continue"/>
            <w:vAlign w:val="center"/>
          </w:tcPr>
          <w:p>
            <w:pPr>
              <w:widowControl/>
              <w:jc w:val="left"/>
              <w:rPr>
                <w:rFonts w:ascii="宋体" w:hAnsi="宋体" w:cs="宋体"/>
                <w:color w:val="auto"/>
                <w:kern w:val="0"/>
                <w:szCs w:val="21"/>
                <w:highlight w:val="none"/>
              </w:rPr>
            </w:pPr>
          </w:p>
        </w:tc>
        <w:tc>
          <w:tcPr>
            <w:tcW w:w="6018"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bCs/>
                <w:color w:val="auto"/>
                <w:kern w:val="0"/>
                <w:szCs w:val="21"/>
                <w:highlight w:val="none"/>
                <w:lang w:bidi="ar"/>
              </w:rPr>
              <w:t>供应商对多媒体（触控大屏、扩声系统、融合系统支撑平台与配套附件、监控）及课堂互动教学管理平台服务情况进行全面监控，需体现系统架构拓扑，记录多媒体设备及平台的维护、维修事件，常见故障描述，应急措施，维护、维修方法，日常设备保养措施等；方案，全面、合理、科学得10分，比较全面、比较合理、基本可行得6分，基本可行得2分，其他或未提供不得分。</w:t>
            </w:r>
          </w:p>
        </w:tc>
        <w:tc>
          <w:tcPr>
            <w:tcW w:w="12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65" w:type="dxa"/>
            <w:vMerge w:val="restart"/>
            <w:shd w:val="clear" w:color="auto" w:fill="auto"/>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155" w:type="dxa"/>
            <w:vMerge w:val="restart"/>
            <w:shd w:val="clear" w:color="auto" w:fill="auto"/>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综合实力</w:t>
            </w:r>
          </w:p>
        </w:tc>
        <w:tc>
          <w:tcPr>
            <w:tcW w:w="6018" w:type="dxa"/>
            <w:shd w:val="clear" w:color="auto" w:fill="auto"/>
            <w:vAlign w:val="center"/>
          </w:tcPr>
          <w:p>
            <w:pPr>
              <w:rPr>
                <w:rFonts w:ascii="宋体" w:hAnsi="宋体" w:cs="宋体"/>
                <w:smallCaps/>
                <w:color w:val="auto"/>
                <w:szCs w:val="21"/>
                <w:highlight w:val="none"/>
              </w:rPr>
            </w:pPr>
            <w:r>
              <w:rPr>
                <w:rFonts w:hint="eastAsia" w:ascii="宋体" w:hAnsi="宋体" w:cs="宋体"/>
                <w:color w:val="auto"/>
                <w:szCs w:val="21"/>
                <w:highlight w:val="none"/>
              </w:rPr>
              <w:t>1、供应商具有有效期内的3A级信用企业、3A级重服务守信用企业认证证书，每提供一项得2分，同时具备得4分。</w:t>
            </w:r>
          </w:p>
        </w:tc>
        <w:tc>
          <w:tcPr>
            <w:tcW w:w="12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5" w:type="dxa"/>
            <w:vMerge w:val="continue"/>
            <w:shd w:val="clear" w:color="auto" w:fill="auto"/>
            <w:vAlign w:val="center"/>
          </w:tcPr>
          <w:p>
            <w:pPr>
              <w:widowControl/>
              <w:jc w:val="center"/>
              <w:rPr>
                <w:rFonts w:ascii="宋体" w:hAnsi="宋体" w:cs="宋体"/>
                <w:color w:val="auto"/>
                <w:kern w:val="0"/>
                <w:szCs w:val="21"/>
                <w:highlight w:val="none"/>
              </w:rPr>
            </w:pPr>
          </w:p>
        </w:tc>
        <w:tc>
          <w:tcPr>
            <w:tcW w:w="1155" w:type="dxa"/>
            <w:vMerge w:val="continue"/>
            <w:shd w:val="clear" w:color="auto" w:fill="auto"/>
            <w:vAlign w:val="center"/>
          </w:tcPr>
          <w:p>
            <w:pPr>
              <w:widowControl/>
              <w:jc w:val="center"/>
              <w:rPr>
                <w:rFonts w:ascii="宋体" w:hAnsi="宋体" w:cs="宋体"/>
                <w:color w:val="auto"/>
                <w:kern w:val="0"/>
                <w:szCs w:val="21"/>
                <w:highlight w:val="none"/>
              </w:rPr>
            </w:pPr>
          </w:p>
        </w:tc>
        <w:tc>
          <w:tcPr>
            <w:tcW w:w="6018" w:type="dxa"/>
            <w:shd w:val="clear" w:color="auto" w:fill="auto"/>
            <w:vAlign w:val="center"/>
          </w:tcPr>
          <w:p>
            <w:pPr>
              <w:rPr>
                <w:rFonts w:ascii="宋体" w:hAnsi="宋体" w:cs="宋体"/>
                <w:color w:val="auto"/>
                <w:kern w:val="0"/>
                <w:szCs w:val="21"/>
                <w:highlight w:val="none"/>
              </w:rPr>
            </w:pPr>
            <w:r>
              <w:rPr>
                <w:rFonts w:hint="eastAsia" w:ascii="宋体" w:hAnsi="宋体" w:cs="宋体"/>
                <w:color w:val="auto"/>
                <w:szCs w:val="21"/>
                <w:highlight w:val="none"/>
              </w:rPr>
              <w:t>供应商具有ISO9001质量管理体系、ISO14001环境管理体系、ISO45001职业健康安全管理体系认证证书，每提供一个得1分，不提供不得分。</w:t>
            </w:r>
          </w:p>
        </w:tc>
        <w:tc>
          <w:tcPr>
            <w:tcW w:w="12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65" w:type="dxa"/>
            <w:vMerge w:val="continue"/>
            <w:vAlign w:val="center"/>
          </w:tcPr>
          <w:p>
            <w:pPr>
              <w:widowControl/>
              <w:jc w:val="left"/>
              <w:rPr>
                <w:rFonts w:ascii="宋体" w:hAnsi="宋体" w:cs="宋体"/>
                <w:color w:val="auto"/>
                <w:kern w:val="0"/>
                <w:szCs w:val="21"/>
                <w:highlight w:val="none"/>
              </w:rPr>
            </w:pPr>
          </w:p>
        </w:tc>
        <w:tc>
          <w:tcPr>
            <w:tcW w:w="1155" w:type="dxa"/>
            <w:vMerge w:val="continue"/>
            <w:vAlign w:val="center"/>
          </w:tcPr>
          <w:p>
            <w:pPr>
              <w:widowControl/>
              <w:jc w:val="left"/>
              <w:rPr>
                <w:rFonts w:ascii="宋体" w:hAnsi="宋体" w:cs="宋体"/>
                <w:color w:val="auto"/>
                <w:kern w:val="0"/>
                <w:szCs w:val="21"/>
                <w:highlight w:val="none"/>
              </w:rPr>
            </w:pPr>
          </w:p>
        </w:tc>
        <w:tc>
          <w:tcPr>
            <w:tcW w:w="6018"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szCs w:val="21"/>
                <w:highlight w:val="none"/>
              </w:rPr>
              <w:t>供应商具有ISO20000信息技术服务管理体系认证证书得3分，不提供不得分。</w:t>
            </w:r>
          </w:p>
        </w:tc>
        <w:tc>
          <w:tcPr>
            <w:tcW w:w="12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65" w:type="dxa"/>
            <w:vMerge w:val="continue"/>
            <w:vAlign w:val="center"/>
          </w:tcPr>
          <w:p>
            <w:pPr>
              <w:widowControl/>
              <w:jc w:val="left"/>
              <w:rPr>
                <w:rFonts w:ascii="宋体" w:hAnsi="宋体" w:cs="宋体"/>
                <w:color w:val="auto"/>
                <w:kern w:val="0"/>
                <w:szCs w:val="21"/>
                <w:highlight w:val="none"/>
              </w:rPr>
            </w:pPr>
          </w:p>
        </w:tc>
        <w:tc>
          <w:tcPr>
            <w:tcW w:w="1155" w:type="dxa"/>
            <w:vMerge w:val="continue"/>
            <w:vAlign w:val="center"/>
          </w:tcPr>
          <w:p>
            <w:pPr>
              <w:widowControl/>
              <w:jc w:val="left"/>
              <w:rPr>
                <w:rFonts w:ascii="宋体" w:hAnsi="宋体" w:cs="宋体"/>
                <w:color w:val="auto"/>
                <w:kern w:val="0"/>
                <w:szCs w:val="21"/>
                <w:highlight w:val="none"/>
              </w:rPr>
            </w:pPr>
          </w:p>
        </w:tc>
        <w:tc>
          <w:tcPr>
            <w:tcW w:w="6018"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szCs w:val="21"/>
                <w:highlight w:val="none"/>
              </w:rPr>
              <w:t>供应商团队成员具有国家级标准机构</w:t>
            </w:r>
            <w:r>
              <w:rPr>
                <w:rFonts w:hint="eastAsia" w:ascii="宋体" w:hAnsi="宋体" w:cs="宋体"/>
                <w:color w:val="auto"/>
                <w:kern w:val="0"/>
                <w:szCs w:val="21"/>
                <w:highlight w:val="none"/>
                <w:lang w:val="zh-CN"/>
              </w:rPr>
              <w:t>（如工信部</w:t>
            </w:r>
            <w:r>
              <w:rPr>
                <w:rFonts w:hint="eastAsia" w:ascii="宋体" w:hAnsi="宋体" w:cs="宋体"/>
                <w:color w:val="auto"/>
                <w:kern w:val="0"/>
                <w:szCs w:val="21"/>
                <w:highlight w:val="none"/>
              </w:rPr>
              <w:t>教育与考试中心</w:t>
            </w:r>
            <w:r>
              <w:rPr>
                <w:rFonts w:hint="eastAsia" w:ascii="宋体" w:hAnsi="宋体" w:cs="宋体"/>
                <w:color w:val="auto"/>
                <w:kern w:val="0"/>
                <w:szCs w:val="21"/>
                <w:highlight w:val="none"/>
                <w:lang w:val="zh-CN"/>
              </w:rPr>
              <w:t>）认证</w:t>
            </w:r>
            <w:r>
              <w:rPr>
                <w:rFonts w:hint="eastAsia" w:ascii="宋体" w:hAnsi="宋体" w:cs="宋体"/>
                <w:color w:val="auto"/>
                <w:szCs w:val="21"/>
                <w:highlight w:val="none"/>
                <w:lang w:val="zh-CN"/>
              </w:rPr>
              <w:t>的</w:t>
            </w:r>
            <w:r>
              <w:rPr>
                <w:rFonts w:hint="eastAsia" w:ascii="宋体" w:hAnsi="宋体" w:cs="宋体"/>
                <w:color w:val="auto"/>
                <w:szCs w:val="21"/>
                <w:highlight w:val="none"/>
              </w:rPr>
              <w:t>教育技术工程师证书</w:t>
            </w:r>
            <w:r>
              <w:rPr>
                <w:rFonts w:hint="eastAsia" w:ascii="宋体" w:hAnsi="宋体" w:cs="宋体"/>
                <w:color w:val="auto"/>
                <w:szCs w:val="21"/>
                <w:highlight w:val="none"/>
                <w:lang w:val="zh-CN"/>
              </w:rPr>
              <w:t>，</w:t>
            </w:r>
            <w:r>
              <w:rPr>
                <w:rFonts w:hint="eastAsia" w:ascii="宋体" w:hAnsi="宋体" w:cs="宋体"/>
                <w:color w:val="auto"/>
                <w:szCs w:val="21"/>
                <w:highlight w:val="none"/>
              </w:rPr>
              <w:t>提供</w:t>
            </w:r>
            <w:r>
              <w:rPr>
                <w:rFonts w:hint="eastAsia" w:ascii="宋体" w:hAnsi="宋体" w:cs="宋体"/>
                <w:color w:val="auto"/>
                <w:szCs w:val="21"/>
                <w:highlight w:val="none"/>
                <w:lang w:val="zh-CN"/>
              </w:rPr>
              <w:t>得</w:t>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zh-CN"/>
              </w:rPr>
              <w:t>分</w:t>
            </w:r>
            <w:r>
              <w:rPr>
                <w:rFonts w:hint="eastAsia" w:ascii="宋体" w:hAnsi="宋体" w:cs="宋体"/>
                <w:color w:val="auto"/>
                <w:kern w:val="0"/>
                <w:szCs w:val="21"/>
                <w:highlight w:val="none"/>
              </w:rPr>
              <w:t>，不提供不得分</w:t>
            </w:r>
            <w:r>
              <w:rPr>
                <w:rFonts w:hint="eastAsia" w:ascii="宋体" w:hAnsi="宋体" w:cs="宋体"/>
                <w:color w:val="auto"/>
                <w:kern w:val="0"/>
                <w:szCs w:val="21"/>
                <w:highlight w:val="none"/>
                <w:lang w:val="zh-CN"/>
              </w:rPr>
              <w:t>；（提供证书以及对应人员</w:t>
            </w:r>
            <w:r>
              <w:rPr>
                <w:rFonts w:hint="eastAsia" w:ascii="宋体" w:hAnsi="宋体" w:cs="宋体"/>
                <w:color w:val="auto"/>
                <w:kern w:val="0"/>
                <w:szCs w:val="21"/>
                <w:highlight w:val="none"/>
              </w:rPr>
              <w:t>所在公司</w:t>
            </w:r>
            <w:r>
              <w:rPr>
                <w:rFonts w:hint="eastAsia" w:ascii="宋体" w:hAnsi="宋体" w:cs="宋体"/>
                <w:color w:val="auto"/>
                <w:kern w:val="0"/>
                <w:szCs w:val="21"/>
                <w:highlight w:val="none"/>
                <w:lang w:val="zh-CN"/>
              </w:rPr>
              <w:t>社保证明：社保时间段：2</w:t>
            </w:r>
            <w:r>
              <w:rPr>
                <w:rFonts w:ascii="宋体" w:hAnsi="宋体" w:cs="宋体"/>
                <w:color w:val="auto"/>
                <w:kern w:val="0"/>
                <w:szCs w:val="21"/>
                <w:highlight w:val="none"/>
                <w:lang w:val="zh-CN"/>
              </w:rPr>
              <w:t>021</w:t>
            </w:r>
            <w:r>
              <w:rPr>
                <w:rFonts w:hint="eastAsia" w:ascii="宋体" w:hAnsi="宋体" w:cs="宋体"/>
                <w:color w:val="auto"/>
                <w:kern w:val="0"/>
                <w:szCs w:val="21"/>
                <w:highlight w:val="none"/>
                <w:lang w:val="zh-CN"/>
              </w:rPr>
              <w:t>年9月-</w:t>
            </w:r>
            <w:r>
              <w:rPr>
                <w:rFonts w:ascii="宋体" w:hAnsi="宋体" w:cs="宋体"/>
                <w:color w:val="auto"/>
                <w:kern w:val="0"/>
                <w:szCs w:val="21"/>
                <w:highlight w:val="none"/>
                <w:lang w:val="zh-CN"/>
              </w:rPr>
              <w:t>2022</w:t>
            </w:r>
            <w:r>
              <w:rPr>
                <w:rFonts w:hint="eastAsia" w:ascii="宋体" w:hAnsi="宋体" w:cs="宋体"/>
                <w:color w:val="auto"/>
                <w:kern w:val="0"/>
                <w:szCs w:val="21"/>
                <w:highlight w:val="none"/>
                <w:lang w:val="zh-CN"/>
              </w:rPr>
              <w:t>年8月）</w:t>
            </w:r>
          </w:p>
        </w:tc>
        <w:tc>
          <w:tcPr>
            <w:tcW w:w="12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5" w:type="dxa"/>
            <w:vMerge w:val="continue"/>
            <w:vAlign w:val="center"/>
          </w:tcPr>
          <w:p>
            <w:pPr>
              <w:widowControl/>
              <w:jc w:val="left"/>
              <w:rPr>
                <w:rFonts w:ascii="宋体" w:hAnsi="宋体" w:cs="宋体"/>
                <w:color w:val="auto"/>
                <w:kern w:val="0"/>
                <w:szCs w:val="21"/>
                <w:highlight w:val="none"/>
              </w:rPr>
            </w:pPr>
          </w:p>
        </w:tc>
        <w:tc>
          <w:tcPr>
            <w:tcW w:w="1155" w:type="dxa"/>
            <w:vMerge w:val="continue"/>
            <w:vAlign w:val="center"/>
          </w:tcPr>
          <w:p>
            <w:pPr>
              <w:widowControl/>
              <w:jc w:val="left"/>
              <w:rPr>
                <w:rFonts w:ascii="宋体" w:hAnsi="宋体" w:cs="宋体"/>
                <w:color w:val="auto"/>
                <w:kern w:val="0"/>
                <w:szCs w:val="21"/>
                <w:highlight w:val="none"/>
              </w:rPr>
            </w:pPr>
          </w:p>
        </w:tc>
        <w:tc>
          <w:tcPr>
            <w:tcW w:w="6018"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szCs w:val="21"/>
                <w:highlight w:val="none"/>
              </w:rPr>
              <w:t>供应商具有“云终端控制”软件著作权证书得3分，不提供不得分。</w:t>
            </w:r>
          </w:p>
        </w:tc>
        <w:tc>
          <w:tcPr>
            <w:tcW w:w="12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65" w:type="dxa"/>
            <w:vMerge w:val="continue"/>
            <w:vAlign w:val="center"/>
          </w:tcPr>
          <w:p>
            <w:pPr>
              <w:widowControl/>
              <w:jc w:val="center"/>
              <w:rPr>
                <w:rFonts w:ascii="宋体" w:hAnsi="宋体" w:cs="宋体"/>
                <w:color w:val="auto"/>
                <w:kern w:val="0"/>
                <w:szCs w:val="21"/>
                <w:highlight w:val="none"/>
              </w:rPr>
            </w:pPr>
          </w:p>
        </w:tc>
        <w:tc>
          <w:tcPr>
            <w:tcW w:w="1155" w:type="dxa"/>
            <w:vMerge w:val="continue"/>
            <w:vAlign w:val="center"/>
          </w:tcPr>
          <w:p>
            <w:pPr>
              <w:widowControl/>
              <w:jc w:val="center"/>
              <w:rPr>
                <w:rFonts w:ascii="宋体" w:hAnsi="宋体" w:cs="宋体"/>
                <w:color w:val="auto"/>
                <w:kern w:val="0"/>
                <w:szCs w:val="21"/>
                <w:highlight w:val="none"/>
              </w:rPr>
            </w:pPr>
          </w:p>
        </w:tc>
        <w:tc>
          <w:tcPr>
            <w:tcW w:w="6018" w:type="dxa"/>
            <w:shd w:val="clear" w:color="auto" w:fill="auto"/>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供应商具有“智慧考试管理平台”计算机软件著作权证书得2分，不提供不得分。</w:t>
            </w:r>
          </w:p>
        </w:tc>
        <w:tc>
          <w:tcPr>
            <w:tcW w:w="12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155"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响应文件制作响应情况</w:t>
            </w:r>
          </w:p>
        </w:tc>
        <w:tc>
          <w:tcPr>
            <w:tcW w:w="6018"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响应文件目录完整、评分索引准确、页码正确得2分，目录完整、评分索引、页码编制有一项欠缺扣1分，最低得0分。</w:t>
            </w:r>
          </w:p>
        </w:tc>
        <w:tc>
          <w:tcPr>
            <w:tcW w:w="1276"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bl>
    <w:p>
      <w:pPr>
        <w:rPr>
          <w:color w:val="auto"/>
          <w:highlight w:val="none"/>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eastAsia" w:ascii="宋体" w:eastAsia="宋体"/>
          <w:b/>
          <w:bCs/>
          <w:color w:val="auto"/>
          <w:sz w:val="21"/>
          <w:szCs w:val="21"/>
          <w:highlight w:val="none"/>
          <w:lang w:val="zh-CN"/>
        </w:rPr>
      </w:pPr>
      <w:r>
        <w:rPr>
          <w:rFonts w:hint="eastAsia" w:ascii="宋体" w:eastAsia="宋体"/>
          <w:b/>
          <w:bCs/>
          <w:color w:val="auto"/>
          <w:sz w:val="21"/>
          <w:szCs w:val="21"/>
          <w:highlight w:val="none"/>
        </w:rPr>
        <w:t>（本部分内容由南京信息工程大学</w:t>
      </w:r>
      <w:r>
        <w:rPr>
          <w:rFonts w:hint="eastAsia" w:ascii="宋体" w:eastAsia="宋体"/>
          <w:b/>
          <w:bCs/>
          <w:color w:val="auto"/>
          <w:sz w:val="21"/>
          <w:szCs w:val="21"/>
          <w:highlight w:val="none"/>
        </w:rPr>
        <w:fldChar w:fldCharType="begin"/>
      </w:r>
      <w:r>
        <w:rPr>
          <w:rFonts w:hint="eastAsia" w:ascii="宋体" w:eastAsia="宋体"/>
          <w:b/>
          <w:bCs/>
          <w:color w:val="auto"/>
          <w:sz w:val="21"/>
          <w:szCs w:val="21"/>
          <w:highlight w:val="none"/>
        </w:rPr>
        <w:instrText xml:space="preserve"> HYPERLINK "https://jnhyq.nuist.edu.cn/" \t "https://www.nuist.edu.cn/875/_blank" </w:instrText>
      </w:r>
      <w:r>
        <w:rPr>
          <w:rFonts w:hint="eastAsia" w:ascii="宋体" w:eastAsia="宋体"/>
          <w:b/>
          <w:bCs/>
          <w:color w:val="auto"/>
          <w:sz w:val="21"/>
          <w:szCs w:val="21"/>
          <w:highlight w:val="none"/>
        </w:rPr>
        <w:fldChar w:fldCharType="separate"/>
      </w:r>
      <w:r>
        <w:rPr>
          <w:rFonts w:hint="default" w:ascii="宋体" w:eastAsia="宋体"/>
          <w:b/>
          <w:bCs/>
          <w:color w:val="auto"/>
          <w:sz w:val="21"/>
          <w:szCs w:val="21"/>
          <w:highlight w:val="none"/>
        </w:rPr>
        <w:t>金牛湖产教融合园区管委会</w:t>
      </w:r>
      <w:r>
        <w:rPr>
          <w:rFonts w:hint="default" w:ascii="宋体" w:eastAsia="宋体"/>
          <w:b/>
          <w:bCs/>
          <w:color w:val="auto"/>
          <w:sz w:val="21"/>
          <w:szCs w:val="21"/>
          <w:highlight w:val="none"/>
        </w:rPr>
        <w:fldChar w:fldCharType="end"/>
      </w:r>
      <w:r>
        <w:rPr>
          <w:rFonts w:hint="eastAsia" w:ascii="宋体" w:eastAsia="宋体"/>
          <w:b/>
          <w:bCs/>
          <w:color w:val="auto"/>
          <w:sz w:val="21"/>
          <w:szCs w:val="21"/>
          <w:highlight w:val="none"/>
        </w:rPr>
        <w:t>提供并负责）</w:t>
      </w:r>
    </w:p>
    <w:p>
      <w:pPr>
        <w:widowControl/>
        <w:spacing w:line="300" w:lineRule="auto"/>
        <w:jc w:val="left"/>
        <w:rPr>
          <w:rFonts w:hAnsi="宋体"/>
          <w:b/>
          <w:color w:val="auto"/>
          <w:sz w:val="28"/>
          <w:szCs w:val="28"/>
          <w:highlight w:val="none"/>
        </w:rPr>
      </w:pPr>
    </w:p>
    <w:p>
      <w:pPr>
        <w:widowControl/>
        <w:spacing w:line="300" w:lineRule="auto"/>
        <w:jc w:val="left"/>
        <w:rPr>
          <w:rFonts w:hAnsi="宋体"/>
          <w:b/>
          <w:color w:val="auto"/>
          <w:sz w:val="28"/>
          <w:szCs w:val="28"/>
          <w:highlight w:val="none"/>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widowControl/>
        <w:jc w:val="left"/>
        <w:rPr>
          <w:rFonts w:hAnsi="宋体"/>
          <w:b/>
          <w:color w:val="auto"/>
          <w:sz w:val="28"/>
          <w:szCs w:val="28"/>
          <w:highlight w:val="none"/>
        </w:rPr>
      </w:pPr>
    </w:p>
    <w:p>
      <w:pPr>
        <w:widowControl/>
        <w:jc w:val="left"/>
        <w:rPr>
          <w:rFonts w:hAnsi="宋体"/>
          <w:b/>
          <w:color w:val="auto"/>
          <w:sz w:val="36"/>
          <w:szCs w:val="36"/>
          <w:highlight w:val="none"/>
        </w:rPr>
      </w:pPr>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8"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根据贵方（项目名称）（项目编号）投标邀请，正式授权下述签字人</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zh-CN"/>
        </w:rPr>
        <w:t>按招标要求，我们的投标总报价为人民币大写</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         。</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rFonts w:asci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p>
    <w:p>
      <w:pPr>
        <w:spacing w:line="360" w:lineRule="auto"/>
        <w:jc w:val="center"/>
        <w:rPr>
          <w:rFonts w:ascii="宋体"/>
          <w:color w:val="auto"/>
          <w:sz w:val="44"/>
          <w:szCs w:val="44"/>
          <w:highlight w:val="none"/>
        </w:rPr>
      </w:pPr>
      <w:r>
        <w:rPr>
          <w:rFonts w:hint="eastAsia" w:ascii="宋体" w:hAnsi="宋体"/>
          <w:color w:val="auto"/>
          <w:sz w:val="44"/>
          <w:szCs w:val="44"/>
          <w:highlight w:val="none"/>
        </w:rPr>
        <w:t>投标项目报价明细表</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投标人</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招标编号及分包号</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投标报价</w:t>
      </w:r>
    </w:p>
    <w:tbl>
      <w:tblPr>
        <w:tblStyle w:val="20"/>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color w:val="auto"/>
                <w:sz w:val="28"/>
                <w:szCs w:val="28"/>
                <w:highlight w:val="none"/>
              </w:rPr>
            </w:pPr>
            <w:r>
              <w:rPr>
                <w:rFonts w:hint="eastAsia" w:ascii="宋体" w:hAnsi="宋体"/>
                <w:b/>
                <w:color w:val="auto"/>
                <w:sz w:val="28"/>
                <w:szCs w:val="28"/>
                <w:highlight w:val="none"/>
              </w:rPr>
              <w:t>分包号</w:t>
            </w:r>
          </w:p>
        </w:tc>
        <w:tc>
          <w:tcPr>
            <w:tcW w:w="1065" w:type="dxa"/>
            <w:vAlign w:val="center"/>
          </w:tcPr>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品牌</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名称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描述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计量</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单位</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数量</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单价</w:t>
            </w:r>
          </w:p>
        </w:tc>
        <w:tc>
          <w:tcPr>
            <w:tcW w:w="1066"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每项</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总价</w:t>
            </w:r>
          </w:p>
        </w:tc>
        <w:tc>
          <w:tcPr>
            <w:tcW w:w="1066" w:type="dxa"/>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质保</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color w:val="auto"/>
                <w:sz w:val="28"/>
                <w:szCs w:val="28"/>
                <w:highlight w:val="none"/>
              </w:rPr>
            </w:pPr>
          </w:p>
        </w:tc>
        <w:tc>
          <w:tcPr>
            <w:tcW w:w="2130" w:type="dxa"/>
            <w:gridSpan w:val="2"/>
            <w:vAlign w:val="center"/>
          </w:tcPr>
          <w:p>
            <w:pPr>
              <w:spacing w:line="360" w:lineRule="auto"/>
              <w:jc w:val="center"/>
              <w:rPr>
                <w:rFonts w:ascii="宋体"/>
                <w:color w:val="auto"/>
                <w:sz w:val="28"/>
                <w:szCs w:val="28"/>
                <w:highlight w:val="none"/>
              </w:rPr>
            </w:pPr>
            <w:r>
              <w:rPr>
                <w:rFonts w:hint="eastAsia" w:ascii="宋体" w:hAnsi="宋体"/>
                <w:color w:val="auto"/>
                <w:sz w:val="28"/>
                <w:szCs w:val="28"/>
                <w:highlight w:val="none"/>
              </w:rPr>
              <w:t>合计总价</w:t>
            </w:r>
          </w:p>
        </w:tc>
        <w:tc>
          <w:tcPr>
            <w:tcW w:w="6392" w:type="dxa"/>
            <w:gridSpan w:val="6"/>
            <w:vAlign w:val="center"/>
          </w:tcPr>
          <w:p>
            <w:pPr>
              <w:spacing w:line="360" w:lineRule="auto"/>
              <w:rPr>
                <w:rFonts w:ascii="宋体"/>
                <w:color w:val="auto"/>
                <w:sz w:val="28"/>
                <w:szCs w:val="28"/>
                <w:highlight w:val="none"/>
                <w:u w:val="single"/>
              </w:rPr>
            </w:pPr>
            <w:r>
              <w:rPr>
                <w:rFonts w:hint="eastAsia" w:ascii="宋体" w:hAnsi="宋体"/>
                <w:color w:val="auto"/>
                <w:sz w:val="28"/>
                <w:szCs w:val="28"/>
                <w:highlight w:val="none"/>
              </w:rPr>
              <w:t>大写：小写：元</w:t>
            </w:r>
          </w:p>
        </w:tc>
      </w:tr>
    </w:tbl>
    <w:p>
      <w:pPr>
        <w:spacing w:line="360" w:lineRule="auto"/>
        <w:rPr>
          <w:rFonts w:ascii="宋体"/>
          <w:color w:val="auto"/>
          <w:sz w:val="28"/>
          <w:szCs w:val="28"/>
          <w:highlight w:val="none"/>
        </w:rPr>
      </w:pPr>
      <w:r>
        <w:rPr>
          <w:rFonts w:hint="eastAsia" w:ascii="宋体" w:hAnsi="宋体"/>
          <w:color w:val="auto"/>
          <w:sz w:val="28"/>
          <w:szCs w:val="28"/>
          <w:highlight w:val="none"/>
        </w:rPr>
        <w:t>（可续页）</w:t>
      </w:r>
    </w:p>
    <w:p>
      <w:pPr>
        <w:spacing w:line="360" w:lineRule="auto"/>
        <w:rPr>
          <w:rFonts w:ascii="宋体"/>
          <w:color w:val="auto"/>
          <w:sz w:val="28"/>
          <w:szCs w:val="28"/>
          <w:highlight w:val="none"/>
        </w:rPr>
      </w:pPr>
    </w:p>
    <w:p>
      <w:pPr>
        <w:spacing w:line="360" w:lineRule="auto"/>
        <w:rPr>
          <w:rFonts w:ascii="宋体"/>
          <w:color w:val="auto"/>
          <w:sz w:val="28"/>
          <w:szCs w:val="28"/>
          <w:highlight w:val="none"/>
          <w:u w:val="single"/>
        </w:rPr>
      </w:pPr>
      <w:r>
        <w:rPr>
          <w:rFonts w:hint="eastAsia" w:ascii="宋体" w:hAnsi="宋体"/>
          <w:color w:val="auto"/>
          <w:sz w:val="28"/>
          <w:szCs w:val="28"/>
          <w:highlight w:val="none"/>
        </w:rPr>
        <w:t>单位盖章：</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授权代表签字：</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r>
        <w:rPr>
          <w:rFonts w:hint="eastAsia" w:ascii="宋体" w:hAnsi="宋体"/>
          <w:color w:val="auto"/>
          <w:sz w:val="28"/>
          <w:szCs w:val="28"/>
          <w:highlight w:val="none"/>
        </w:rPr>
        <w:t>年月日</w:t>
      </w:r>
    </w:p>
    <w:p>
      <w:pPr>
        <w:jc w:val="left"/>
        <w:rPr>
          <w:b/>
          <w:color w:val="auto"/>
          <w:sz w:val="28"/>
          <w:szCs w:val="28"/>
          <w:highlight w:val="none"/>
        </w:rPr>
      </w:pPr>
    </w:p>
    <w:bookmarkEnd w:id="7"/>
    <w:bookmarkEnd w:id="8"/>
    <w:p>
      <w:pPr>
        <w:jc w:val="left"/>
        <w:rPr>
          <w:b/>
          <w:color w:val="auto"/>
          <w:sz w:val="28"/>
          <w:szCs w:val="28"/>
          <w:highlight w:val="none"/>
        </w:rPr>
      </w:pPr>
      <w:r>
        <w:rPr>
          <w:rFonts w:hint="eastAsia"/>
          <w:b/>
          <w:color w:val="auto"/>
          <w:sz w:val="28"/>
          <w:szCs w:val="28"/>
          <w:highlight w:val="none"/>
        </w:rPr>
        <w:t>附件</w:t>
      </w:r>
      <w:r>
        <w:rPr>
          <w:b/>
          <w:color w:val="auto"/>
          <w:sz w:val="28"/>
          <w:szCs w:val="28"/>
          <w:highlight w:val="none"/>
        </w:rPr>
        <w:t>4</w:t>
      </w:r>
      <w:r>
        <w:rPr>
          <w:rFonts w:hint="eastAsia"/>
          <w:b/>
          <w:color w:val="auto"/>
          <w:sz w:val="28"/>
          <w:szCs w:val="28"/>
          <w:highlight w:val="none"/>
        </w:rPr>
        <w:t>：服务要求</w:t>
      </w:r>
    </w:p>
    <w:p>
      <w:pPr>
        <w:pStyle w:val="10"/>
        <w:ind w:left="1470" w:right="1470"/>
        <w:rPr>
          <w:rFonts w:ascii="宋体" w:hAnsi="宋体" w:cs="仿宋"/>
          <w:b/>
          <w:bCs/>
          <w:color w:val="auto"/>
          <w:sz w:val="28"/>
          <w:szCs w:val="28"/>
          <w:highlight w:val="none"/>
        </w:rPr>
      </w:pPr>
    </w:p>
    <w:p>
      <w:pPr>
        <w:pStyle w:val="10"/>
        <w:ind w:left="1470" w:right="1470"/>
        <w:rPr>
          <w:rFonts w:ascii="宋体" w:hAnsi="宋体" w:cs="仿宋"/>
          <w:b/>
          <w:bCs/>
          <w:color w:val="auto"/>
          <w:sz w:val="28"/>
          <w:szCs w:val="28"/>
          <w:highlight w:val="none"/>
        </w:rPr>
      </w:pPr>
    </w:p>
    <w:p>
      <w:pPr>
        <w:pStyle w:val="10"/>
        <w:ind w:left="1470" w:right="1470"/>
        <w:rPr>
          <w:rFonts w:ascii="宋体" w:hAnsi="宋体" w:cs="仿宋"/>
          <w:b/>
          <w:bCs/>
          <w:color w:val="auto"/>
          <w:sz w:val="28"/>
          <w:szCs w:val="28"/>
          <w:highlight w:val="none"/>
        </w:rPr>
      </w:pPr>
    </w:p>
    <w:p>
      <w:pPr>
        <w:pStyle w:val="10"/>
        <w:ind w:left="1470" w:right="1470"/>
        <w:rPr>
          <w:rFonts w:ascii="宋体" w:hAnsi="宋体" w:cs="仿宋"/>
          <w:b/>
          <w:bCs/>
          <w:color w:val="auto"/>
          <w:sz w:val="28"/>
          <w:szCs w:val="28"/>
          <w:highlight w:val="none"/>
        </w:rPr>
      </w:pPr>
    </w:p>
    <w:p>
      <w:pPr>
        <w:pStyle w:val="10"/>
        <w:ind w:left="1470" w:right="1470"/>
        <w:rPr>
          <w:rFonts w:ascii="宋体" w:hAnsi="宋体" w:cs="仿宋"/>
          <w:b/>
          <w:bCs/>
          <w:color w:val="auto"/>
          <w:sz w:val="28"/>
          <w:szCs w:val="28"/>
          <w:highlight w:val="none"/>
        </w:rPr>
      </w:pPr>
    </w:p>
    <w:p>
      <w:pPr>
        <w:pStyle w:val="10"/>
        <w:ind w:left="1470" w:right="1470"/>
        <w:rPr>
          <w:rFonts w:ascii="宋体" w:hAnsi="宋体" w:cs="仿宋"/>
          <w:b/>
          <w:bCs/>
          <w:color w:val="auto"/>
          <w:sz w:val="28"/>
          <w:szCs w:val="28"/>
          <w:highlight w:val="none"/>
        </w:rPr>
      </w:pPr>
    </w:p>
    <w:p>
      <w:pPr>
        <w:pStyle w:val="10"/>
        <w:ind w:left="1470" w:right="1470"/>
        <w:rPr>
          <w:rFonts w:ascii="宋体" w:hAnsi="宋体" w:cs="仿宋"/>
          <w:b/>
          <w:bCs/>
          <w:color w:val="auto"/>
          <w:sz w:val="28"/>
          <w:szCs w:val="28"/>
          <w:highlight w:val="none"/>
        </w:rPr>
      </w:pPr>
    </w:p>
    <w:p>
      <w:pPr>
        <w:pStyle w:val="10"/>
        <w:ind w:left="1470" w:right="1470"/>
        <w:rPr>
          <w:rFonts w:ascii="宋体" w:hAnsi="宋体" w:cs="仿宋"/>
          <w:b/>
          <w:bCs/>
          <w:color w:val="auto"/>
          <w:sz w:val="28"/>
          <w:szCs w:val="28"/>
          <w:highlight w:val="none"/>
        </w:rPr>
      </w:pPr>
    </w:p>
    <w:p>
      <w:pPr>
        <w:pStyle w:val="10"/>
        <w:ind w:left="1470" w:right="1470"/>
        <w:rPr>
          <w:rFonts w:ascii="宋体" w:hAnsi="宋体" w:cs="仿宋"/>
          <w:b/>
          <w:bCs/>
          <w:color w:val="auto"/>
          <w:sz w:val="28"/>
          <w:szCs w:val="28"/>
          <w:highlight w:val="none"/>
        </w:rPr>
      </w:pPr>
    </w:p>
    <w:p>
      <w:pPr>
        <w:pStyle w:val="10"/>
        <w:ind w:left="1470" w:right="1470"/>
        <w:rPr>
          <w:rFonts w:ascii="宋体" w:hAnsi="宋体" w:cs="仿宋"/>
          <w:b/>
          <w:bCs/>
          <w:color w:val="auto"/>
          <w:sz w:val="28"/>
          <w:szCs w:val="28"/>
          <w:highlight w:val="none"/>
        </w:rPr>
      </w:pPr>
    </w:p>
    <w:p>
      <w:pPr>
        <w:pStyle w:val="10"/>
        <w:ind w:left="1470" w:right="1470"/>
        <w:rPr>
          <w:rFonts w:ascii="宋体" w:hAnsi="宋体" w:cs="仿宋"/>
          <w:b/>
          <w:bCs/>
          <w:color w:val="auto"/>
          <w:sz w:val="28"/>
          <w:szCs w:val="28"/>
          <w:highlight w:val="none"/>
        </w:rPr>
      </w:pPr>
    </w:p>
    <w:p>
      <w:pPr>
        <w:pStyle w:val="10"/>
        <w:ind w:left="1470" w:right="1470"/>
        <w:rPr>
          <w:rFonts w:ascii="宋体" w:hAnsi="宋体" w:cs="仿宋"/>
          <w:b/>
          <w:bCs/>
          <w:color w:val="auto"/>
          <w:sz w:val="28"/>
          <w:szCs w:val="28"/>
          <w:highlight w:val="none"/>
        </w:rPr>
      </w:pPr>
    </w:p>
    <w:p>
      <w:pPr>
        <w:pStyle w:val="10"/>
        <w:ind w:left="1470" w:right="1470"/>
        <w:rPr>
          <w:rFonts w:ascii="宋体" w:hAnsi="宋体" w:cs="仿宋"/>
          <w:b/>
          <w:bCs/>
          <w:color w:val="auto"/>
          <w:sz w:val="28"/>
          <w:szCs w:val="28"/>
          <w:highlight w:val="none"/>
        </w:rPr>
      </w:pPr>
    </w:p>
    <w:p>
      <w:pPr>
        <w:pStyle w:val="10"/>
        <w:ind w:left="1470" w:right="1470"/>
        <w:rPr>
          <w:rFonts w:ascii="宋体" w:hAnsi="宋体" w:cs="仿宋"/>
          <w:b/>
          <w:bCs/>
          <w:color w:val="auto"/>
          <w:sz w:val="28"/>
          <w:szCs w:val="28"/>
          <w:highlight w:val="none"/>
        </w:rPr>
      </w:pPr>
    </w:p>
    <w:p>
      <w:pPr>
        <w:pStyle w:val="10"/>
        <w:ind w:left="1470" w:right="1470"/>
        <w:rPr>
          <w:rFonts w:ascii="宋体" w:hAnsi="宋体" w:cs="仿宋"/>
          <w:b/>
          <w:bCs/>
          <w:color w:val="auto"/>
          <w:sz w:val="28"/>
          <w:szCs w:val="28"/>
          <w:highlight w:val="none"/>
        </w:rPr>
      </w:pPr>
    </w:p>
    <w:p>
      <w:pPr>
        <w:pStyle w:val="10"/>
        <w:ind w:left="1470" w:right="1470"/>
        <w:rPr>
          <w:rFonts w:ascii="宋体" w:hAnsi="宋体" w:cs="仿宋"/>
          <w:b/>
          <w:bCs/>
          <w:color w:val="auto"/>
          <w:sz w:val="28"/>
          <w:szCs w:val="28"/>
          <w:highlight w:val="none"/>
        </w:rPr>
      </w:pPr>
    </w:p>
    <w:p>
      <w:pPr>
        <w:pStyle w:val="10"/>
        <w:ind w:left="1470" w:right="1470"/>
        <w:rPr>
          <w:rFonts w:ascii="宋体" w:hAnsi="宋体" w:cs="仿宋"/>
          <w:b/>
          <w:bCs/>
          <w:color w:val="auto"/>
          <w:sz w:val="28"/>
          <w:szCs w:val="28"/>
          <w:highlight w:val="none"/>
        </w:rPr>
      </w:pPr>
    </w:p>
    <w:p>
      <w:pPr>
        <w:pStyle w:val="10"/>
        <w:ind w:left="1470" w:right="1470"/>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spacing w:line="360" w:lineRule="auto"/>
        <w:rPr>
          <w:b/>
          <w:color w:val="auto"/>
          <w:sz w:val="28"/>
          <w:szCs w:val="28"/>
          <w:highlight w:val="none"/>
        </w:rPr>
      </w:pPr>
      <w:r>
        <w:rPr>
          <w:rFonts w:hint="eastAsia"/>
          <w:b/>
          <w:color w:val="auto"/>
          <w:sz w:val="28"/>
          <w:szCs w:val="28"/>
          <w:highlight w:val="none"/>
        </w:rPr>
        <w:t>附件</w:t>
      </w:r>
      <w:r>
        <w:rPr>
          <w:rFonts w:hint="eastAsia"/>
          <w:b/>
          <w:color w:val="auto"/>
          <w:sz w:val="28"/>
          <w:szCs w:val="28"/>
          <w:highlight w:val="none"/>
          <w:lang w:val="en-US" w:eastAsia="zh-CN"/>
        </w:rPr>
        <w:t>5</w:t>
      </w:r>
      <w:r>
        <w:rPr>
          <w:rFonts w:hint="eastAsia"/>
          <w:b/>
          <w:color w:val="auto"/>
          <w:sz w:val="28"/>
          <w:szCs w:val="28"/>
          <w:highlight w:val="none"/>
        </w:rPr>
        <w:t>：</w:t>
      </w:r>
    </w:p>
    <w:p>
      <w:pPr>
        <w:spacing w:line="360" w:lineRule="auto"/>
        <w:jc w:val="center"/>
        <w:rPr>
          <w:b/>
          <w:color w:val="auto"/>
          <w:sz w:val="28"/>
          <w:szCs w:val="28"/>
          <w:highlight w:val="none"/>
        </w:rPr>
      </w:pPr>
      <w:r>
        <w:rPr>
          <w:b/>
          <w:color w:val="auto"/>
          <w:sz w:val="28"/>
          <w:szCs w:val="28"/>
          <w:highlight w:val="none"/>
        </w:rPr>
        <w:t>参考格式，本合同内容条款在正式签署前可具体补充细化，仅作参考，最终合同以采购人法务审查通过的版本为准）</w:t>
      </w:r>
    </w:p>
    <w:p>
      <w:pPr>
        <w:spacing w:line="440" w:lineRule="exact"/>
        <w:jc w:val="center"/>
        <w:rPr>
          <w:b/>
          <w:bCs/>
          <w:color w:val="auto"/>
          <w:highlight w:val="none"/>
        </w:rPr>
      </w:pPr>
      <w:r>
        <w:rPr>
          <w:b/>
          <w:color w:val="auto"/>
          <w:szCs w:val="21"/>
          <w:highlight w:val="none"/>
        </w:rPr>
        <w:t xml:space="preserve"> </w:t>
      </w:r>
    </w:p>
    <w:p>
      <w:pPr>
        <w:rPr>
          <w:color w:val="auto"/>
          <w:highlight w:val="none"/>
        </w:rPr>
      </w:pPr>
    </w:p>
    <w:p>
      <w:pPr>
        <w:spacing w:line="360" w:lineRule="auto"/>
        <w:jc w:val="center"/>
        <w:rPr>
          <w:color w:val="auto"/>
          <w:szCs w:val="21"/>
          <w:highlight w:val="none"/>
        </w:rPr>
      </w:pPr>
      <w:r>
        <w:rPr>
          <w:b/>
          <w:color w:val="auto"/>
          <w:sz w:val="24"/>
          <w:highlight w:val="none"/>
          <w:u w:val="single"/>
        </w:rPr>
        <w:t>（采购人）（项目名称）</w:t>
      </w:r>
      <w:r>
        <w:rPr>
          <w:b/>
          <w:color w:val="auto"/>
          <w:sz w:val="24"/>
          <w:highlight w:val="none"/>
        </w:rPr>
        <w:t>采购合同</w:t>
      </w:r>
      <w:r>
        <w:rPr>
          <w:color w:val="auto"/>
          <w:szCs w:val="21"/>
          <w:highlight w:val="none"/>
        </w:rPr>
        <w:t xml:space="preserve">    </w:t>
      </w:r>
    </w:p>
    <w:p>
      <w:pPr>
        <w:spacing w:line="360" w:lineRule="auto"/>
        <w:jc w:val="center"/>
        <w:rPr>
          <w:b/>
          <w:color w:val="auto"/>
          <w:sz w:val="24"/>
          <w:szCs w:val="22"/>
          <w:highlight w:val="none"/>
        </w:rPr>
      </w:pPr>
      <w:r>
        <w:rPr>
          <w:b/>
          <w:color w:val="auto"/>
          <w:sz w:val="24"/>
          <w:szCs w:val="22"/>
          <w:highlight w:val="none"/>
        </w:rPr>
        <w:t>（服务类）</w:t>
      </w:r>
    </w:p>
    <w:p>
      <w:pPr>
        <w:spacing w:line="360" w:lineRule="auto"/>
        <w:jc w:val="center"/>
        <w:rPr>
          <w:b/>
          <w:color w:val="auto"/>
          <w:szCs w:val="21"/>
          <w:highlight w:val="none"/>
        </w:rPr>
      </w:pPr>
    </w:p>
    <w:p>
      <w:pPr>
        <w:spacing w:line="360" w:lineRule="auto"/>
        <w:jc w:val="center"/>
        <w:rPr>
          <w:color w:val="auto"/>
          <w:szCs w:val="21"/>
          <w:highlight w:val="none"/>
        </w:rPr>
      </w:pPr>
      <w:r>
        <w:rPr>
          <w:color w:val="auto"/>
          <w:szCs w:val="21"/>
          <w:highlight w:val="none"/>
        </w:rPr>
        <w:t xml:space="preserve">  </w:t>
      </w:r>
    </w:p>
    <w:p>
      <w:pPr>
        <w:spacing w:line="360" w:lineRule="auto"/>
        <w:jc w:val="left"/>
        <w:rPr>
          <w:b/>
          <w:color w:val="auto"/>
          <w:szCs w:val="21"/>
          <w:highlight w:val="none"/>
          <w:u w:val="single"/>
        </w:rPr>
      </w:pPr>
      <w:r>
        <w:rPr>
          <w:b/>
          <w:color w:val="auto"/>
          <w:szCs w:val="21"/>
          <w:highlight w:val="none"/>
        </w:rPr>
        <w:t>甲方（采购人）</w:t>
      </w:r>
      <w:r>
        <w:rPr>
          <w:color w:val="auto"/>
          <w:szCs w:val="21"/>
          <w:highlight w:val="none"/>
        </w:rPr>
        <w:t xml:space="preserve">： </w:t>
      </w:r>
      <w:r>
        <w:rPr>
          <w:b/>
          <w:color w:val="auto"/>
          <w:szCs w:val="21"/>
          <w:highlight w:val="none"/>
          <w:u w:val="single"/>
        </w:rPr>
        <w:t xml:space="preserve">                          </w:t>
      </w:r>
    </w:p>
    <w:p>
      <w:pPr>
        <w:spacing w:line="360" w:lineRule="auto"/>
        <w:jc w:val="left"/>
        <w:rPr>
          <w:color w:val="auto"/>
          <w:szCs w:val="21"/>
          <w:highlight w:val="none"/>
          <w:u w:val="single"/>
        </w:rPr>
      </w:pPr>
      <w:r>
        <w:rPr>
          <w:b/>
          <w:color w:val="auto"/>
          <w:szCs w:val="21"/>
          <w:highlight w:val="none"/>
        </w:rPr>
        <w:t>乙方（供应商）</w:t>
      </w:r>
      <w:r>
        <w:rPr>
          <w:color w:val="auto"/>
          <w:szCs w:val="21"/>
          <w:highlight w:val="none"/>
        </w:rPr>
        <w:t>：</w:t>
      </w:r>
      <w:r>
        <w:rPr>
          <w:b/>
          <w:color w:val="auto"/>
          <w:szCs w:val="21"/>
          <w:highlight w:val="none"/>
          <w:u w:val="single"/>
        </w:rPr>
        <w:t xml:space="preserve">                          </w:t>
      </w:r>
    </w:p>
    <w:p>
      <w:pPr>
        <w:spacing w:line="360" w:lineRule="auto"/>
        <w:jc w:val="left"/>
        <w:rPr>
          <w:color w:val="auto"/>
          <w:szCs w:val="21"/>
          <w:highlight w:val="none"/>
          <w:u w:val="single"/>
        </w:rPr>
      </w:pPr>
      <w:r>
        <w:rPr>
          <w:b/>
          <w:color w:val="auto"/>
          <w:szCs w:val="21"/>
          <w:highlight w:val="none"/>
        </w:rPr>
        <w:t>招标编号</w:t>
      </w:r>
      <w:r>
        <w:rPr>
          <w:color w:val="auto"/>
          <w:szCs w:val="21"/>
          <w:highlight w:val="none"/>
        </w:rPr>
        <w:t>：</w:t>
      </w:r>
      <w:r>
        <w:rPr>
          <w:color w:val="auto"/>
          <w:szCs w:val="21"/>
          <w:highlight w:val="none"/>
          <w:u w:val="single"/>
        </w:rPr>
        <w:t xml:space="preserve">                  </w:t>
      </w:r>
      <w:r>
        <w:rPr>
          <w:b/>
          <w:color w:val="auto"/>
          <w:szCs w:val="21"/>
          <w:highlight w:val="none"/>
        </w:rPr>
        <w:t>采购代理机构</w:t>
      </w:r>
      <w:r>
        <w:rPr>
          <w:color w:val="auto"/>
          <w:szCs w:val="21"/>
          <w:highlight w:val="none"/>
        </w:rPr>
        <w:t>：</w:t>
      </w:r>
      <w:r>
        <w:rPr>
          <w:color w:val="auto"/>
          <w:szCs w:val="21"/>
          <w:highlight w:val="none"/>
          <w:u w:val="single"/>
        </w:rPr>
        <w:t xml:space="preserve">                     </w:t>
      </w:r>
    </w:p>
    <w:p>
      <w:pPr>
        <w:spacing w:line="360" w:lineRule="auto"/>
        <w:jc w:val="left"/>
        <w:rPr>
          <w:b/>
          <w:color w:val="auto"/>
          <w:szCs w:val="21"/>
          <w:highlight w:val="none"/>
          <w:u w:val="single"/>
        </w:rPr>
      </w:pPr>
      <w:r>
        <w:rPr>
          <w:b/>
          <w:color w:val="auto"/>
          <w:szCs w:val="21"/>
          <w:highlight w:val="none"/>
        </w:rPr>
        <w:t>签订时间：</w:t>
      </w:r>
      <w:r>
        <w:rPr>
          <w:color w:val="auto"/>
          <w:szCs w:val="21"/>
          <w:highlight w:val="none"/>
          <w:u w:val="single"/>
        </w:rPr>
        <w:t xml:space="preserve">               </w:t>
      </w:r>
    </w:p>
    <w:p>
      <w:pPr>
        <w:spacing w:line="360" w:lineRule="auto"/>
        <w:jc w:val="left"/>
        <w:rPr>
          <w:color w:val="auto"/>
          <w:szCs w:val="21"/>
          <w:highlight w:val="none"/>
        </w:rPr>
      </w:pPr>
    </w:p>
    <w:p>
      <w:pPr>
        <w:snapToGrid w:val="0"/>
        <w:spacing w:line="360" w:lineRule="auto"/>
        <w:ind w:firstLine="480"/>
        <w:rPr>
          <w:color w:val="auto"/>
          <w:szCs w:val="21"/>
          <w:highlight w:val="none"/>
        </w:rPr>
      </w:pPr>
      <w:r>
        <w:rPr>
          <w:color w:val="auto"/>
          <w:szCs w:val="21"/>
          <w:highlight w:val="none"/>
        </w:rPr>
        <w:t>根据《中华人民共和国政府采购法》、《中华人民共和国民法典》等法律、法规规定，按照</w:t>
      </w:r>
      <w:r>
        <w:rPr>
          <w:color w:val="auto"/>
          <w:szCs w:val="21"/>
          <w:highlight w:val="none"/>
          <w:u w:val="single"/>
        </w:rPr>
        <w:t xml:space="preserve"> 项目名称（招标编号：   ） </w:t>
      </w:r>
      <w:r>
        <w:rPr>
          <w:color w:val="auto"/>
          <w:szCs w:val="21"/>
          <w:highlight w:val="none"/>
        </w:rPr>
        <w:t>采购文件、投标（响应）文件规定条款和中标（成交）供应商承诺，甲方向乙方购置相关货物，双方同意以下内容（包括合同附件A、附件B）。</w:t>
      </w:r>
    </w:p>
    <w:p>
      <w:pPr>
        <w:snapToGrid w:val="0"/>
        <w:spacing w:line="360" w:lineRule="auto"/>
        <w:ind w:firstLine="480"/>
        <w:rPr>
          <w:b/>
          <w:color w:val="auto"/>
          <w:szCs w:val="21"/>
          <w:highlight w:val="none"/>
        </w:rPr>
      </w:pPr>
      <w:r>
        <w:rPr>
          <w:b/>
          <w:color w:val="auto"/>
          <w:szCs w:val="21"/>
          <w:highlight w:val="none"/>
        </w:rPr>
        <w:t>第一条　服务内容</w:t>
      </w:r>
      <w:r>
        <w:rPr>
          <w:rFonts w:hint="eastAsia"/>
          <w:b/>
          <w:color w:val="auto"/>
          <w:szCs w:val="21"/>
          <w:highlight w:val="none"/>
        </w:rPr>
        <w:t>、服务期限</w:t>
      </w:r>
    </w:p>
    <w:p>
      <w:pPr>
        <w:snapToGrid w:val="0"/>
        <w:spacing w:line="360" w:lineRule="auto"/>
        <w:ind w:firstLine="480"/>
        <w:rPr>
          <w:color w:val="auto"/>
          <w:szCs w:val="21"/>
          <w:highlight w:val="none"/>
        </w:rPr>
      </w:pPr>
      <w:r>
        <w:rPr>
          <w:color w:val="auto"/>
          <w:szCs w:val="21"/>
          <w:highlight w:val="none"/>
        </w:rPr>
        <w:t>1、乙方所提供的服务必须与采购文件和承诺相一致。服务内容、时限、完成标准、服务费见合同附件A。</w:t>
      </w:r>
    </w:p>
    <w:p>
      <w:pPr>
        <w:snapToGrid w:val="0"/>
        <w:spacing w:line="360" w:lineRule="auto"/>
        <w:ind w:firstLine="480"/>
        <w:rPr>
          <w:color w:val="auto"/>
          <w:szCs w:val="21"/>
          <w:highlight w:val="none"/>
        </w:rPr>
      </w:pPr>
      <w:r>
        <w:rPr>
          <w:color w:val="auto"/>
          <w:szCs w:val="21"/>
          <w:highlight w:val="none"/>
        </w:rPr>
        <w:t>2、如果乙方在工作中因自身过错而发生任何错误或遗漏，乙方应无条件更正，而不得向甲方另外收取服务费，并就因此而对甲方造成的损失承担赔偿责任，若因甲方原因造成工作的延误，将由甲方承担相应的损失。赔偿以合同附件A所载明的该项服务内容对应的服务费为限。</w:t>
      </w:r>
    </w:p>
    <w:p>
      <w:pPr>
        <w:snapToGrid w:val="0"/>
        <w:spacing w:line="360" w:lineRule="auto"/>
        <w:ind w:firstLine="480"/>
        <w:rPr>
          <w:color w:val="auto"/>
          <w:szCs w:val="21"/>
          <w:highlight w:val="none"/>
        </w:rPr>
      </w:pPr>
      <w:r>
        <w:rPr>
          <w:color w:val="auto"/>
          <w:szCs w:val="21"/>
          <w:highlight w:val="none"/>
        </w:rPr>
        <w:t>3、乙方的服务承诺：</w:t>
      </w:r>
    </w:p>
    <w:p>
      <w:pPr>
        <w:snapToGrid w:val="0"/>
        <w:spacing w:line="360" w:lineRule="auto"/>
        <w:ind w:firstLine="240"/>
        <w:rPr>
          <w:color w:val="auto"/>
          <w:szCs w:val="21"/>
          <w:highlight w:val="none"/>
        </w:rPr>
      </w:pPr>
      <w:r>
        <w:rPr>
          <w:color w:val="auto"/>
          <w:szCs w:val="21"/>
          <w:highlight w:val="none"/>
        </w:rPr>
        <w:t>（1）乙方接到甲方通过电话、信函传真、电子邮件、网上提交等方式提出关于附件A所列服务的请求后，在两个有效工作日内给予响应并提供服务。若乙方未予以响应，视为乙方认可甲方要求，乙方必须按照请求执行。</w:t>
      </w:r>
    </w:p>
    <w:p>
      <w:pPr>
        <w:snapToGrid w:val="0"/>
        <w:spacing w:line="360" w:lineRule="auto"/>
        <w:ind w:firstLine="240"/>
        <w:rPr>
          <w:color w:val="auto"/>
          <w:szCs w:val="21"/>
          <w:highlight w:val="none"/>
        </w:rPr>
      </w:pPr>
      <w:r>
        <w:rPr>
          <w:color w:val="auto"/>
          <w:szCs w:val="21"/>
          <w:highlight w:val="none"/>
        </w:rPr>
        <w:t>（2）乙方提供给甲方的服务，必须按照合同附件A规定的标准进行。</w:t>
      </w:r>
    </w:p>
    <w:p>
      <w:pPr>
        <w:pStyle w:val="6"/>
        <w:rPr>
          <w:b/>
          <w:color w:val="auto"/>
          <w:szCs w:val="21"/>
          <w:highlight w:val="none"/>
        </w:rPr>
      </w:pPr>
      <w:r>
        <w:rPr>
          <w:rFonts w:hint="eastAsia"/>
          <w:b/>
          <w:color w:val="auto"/>
          <w:szCs w:val="21"/>
          <w:highlight w:val="none"/>
        </w:rPr>
        <w:t>4、本项目服务期限：</w:t>
      </w:r>
      <w:r>
        <w:rPr>
          <w:rFonts w:hint="eastAsia"/>
          <w:b/>
          <w:color w:val="auto"/>
          <w:szCs w:val="21"/>
          <w:highlight w:val="none"/>
          <w:u w:val="single"/>
        </w:rPr>
        <w:t xml:space="preserve">     </w:t>
      </w:r>
      <w:r>
        <w:rPr>
          <w:rFonts w:hint="eastAsia"/>
          <w:b/>
          <w:color w:val="auto"/>
          <w:szCs w:val="21"/>
          <w:highlight w:val="none"/>
        </w:rPr>
        <w:t>年，自</w:t>
      </w:r>
      <w:r>
        <w:rPr>
          <w:rFonts w:hint="eastAsia"/>
          <w:b/>
          <w:color w:val="auto"/>
          <w:szCs w:val="21"/>
          <w:highlight w:val="none"/>
          <w:u w:val="single"/>
        </w:rPr>
        <w:t xml:space="preserve">      </w:t>
      </w:r>
      <w:r>
        <w:rPr>
          <w:b/>
          <w:color w:val="auto"/>
          <w:szCs w:val="21"/>
          <w:highlight w:val="none"/>
          <w:u w:val="single"/>
        </w:rPr>
        <w:t xml:space="preserve"> </w:t>
      </w:r>
      <w:r>
        <w:rPr>
          <w:b/>
          <w:color w:val="auto"/>
          <w:szCs w:val="21"/>
          <w:highlight w:val="none"/>
        </w:rPr>
        <w:t>至</w:t>
      </w:r>
      <w:r>
        <w:rPr>
          <w:b/>
          <w:color w:val="auto"/>
          <w:szCs w:val="21"/>
          <w:highlight w:val="none"/>
          <w:u w:val="single"/>
        </w:rPr>
        <w:t xml:space="preserve"> </w:t>
      </w:r>
      <w:r>
        <w:rPr>
          <w:rFonts w:hint="eastAsia"/>
          <w:b/>
          <w:color w:val="auto"/>
          <w:szCs w:val="21"/>
          <w:highlight w:val="none"/>
          <w:u w:val="single"/>
        </w:rPr>
        <w:t xml:space="preserve">      </w:t>
      </w:r>
      <w:r>
        <w:rPr>
          <w:b/>
          <w:color w:val="auto"/>
          <w:szCs w:val="21"/>
          <w:highlight w:val="none"/>
        </w:rPr>
        <w:t>。</w:t>
      </w:r>
    </w:p>
    <w:p>
      <w:pPr>
        <w:snapToGrid w:val="0"/>
        <w:spacing w:line="360" w:lineRule="auto"/>
        <w:ind w:firstLine="480"/>
        <w:rPr>
          <w:color w:val="auto"/>
          <w:szCs w:val="21"/>
          <w:highlight w:val="none"/>
        </w:rPr>
      </w:pPr>
      <w:r>
        <w:rPr>
          <w:b/>
          <w:color w:val="auto"/>
          <w:szCs w:val="21"/>
          <w:highlight w:val="none"/>
        </w:rPr>
        <w:t>第二条　服务费及支付方式</w:t>
      </w:r>
      <w:r>
        <w:rPr>
          <w:rFonts w:hint="eastAsia"/>
          <w:b/>
          <w:color w:val="auto"/>
          <w:szCs w:val="21"/>
          <w:highlight w:val="none"/>
        </w:rPr>
        <w:t xml:space="preserve"> </w:t>
      </w:r>
    </w:p>
    <w:p>
      <w:pPr>
        <w:snapToGrid w:val="0"/>
        <w:spacing w:line="360" w:lineRule="auto"/>
        <w:ind w:firstLine="480"/>
        <w:rPr>
          <w:color w:val="auto"/>
          <w:szCs w:val="21"/>
          <w:highlight w:val="none"/>
        </w:rPr>
      </w:pPr>
      <w:r>
        <w:rPr>
          <w:color w:val="auto"/>
          <w:szCs w:val="21"/>
          <w:highlight w:val="none"/>
        </w:rPr>
        <w:t>1、服务费总金额为</w:t>
      </w:r>
      <w:r>
        <w:rPr>
          <w:color w:val="auto"/>
          <w:szCs w:val="21"/>
          <w:highlight w:val="none"/>
          <w:u w:val="single"/>
        </w:rPr>
        <w:t xml:space="preserve">       </w:t>
      </w:r>
      <w:r>
        <w:rPr>
          <w:color w:val="auto"/>
          <w:szCs w:val="21"/>
          <w:highlight w:val="none"/>
        </w:rPr>
        <w:t>元</w:t>
      </w:r>
      <w:r>
        <w:rPr>
          <w:rFonts w:hint="eastAsia"/>
          <w:color w:val="auto"/>
          <w:szCs w:val="21"/>
          <w:highlight w:val="none"/>
        </w:rPr>
        <w:t>/年</w:t>
      </w:r>
      <w:r>
        <w:rPr>
          <w:color w:val="auto"/>
          <w:szCs w:val="21"/>
          <w:highlight w:val="none"/>
        </w:rPr>
        <w:t>，大写</w:t>
      </w:r>
      <w:r>
        <w:rPr>
          <w:color w:val="auto"/>
          <w:szCs w:val="21"/>
          <w:highlight w:val="none"/>
          <w:u w:val="single"/>
        </w:rPr>
        <w:t xml:space="preserve">               </w:t>
      </w:r>
      <w:r>
        <w:rPr>
          <w:color w:val="auto"/>
          <w:szCs w:val="21"/>
          <w:highlight w:val="none"/>
        </w:rPr>
        <w:t>（人民币）:</w:t>
      </w:r>
      <w:r>
        <w:rPr>
          <w:rFonts w:hint="eastAsia"/>
          <w:color w:val="auto"/>
          <w:szCs w:val="21"/>
          <w:highlight w:val="none"/>
        </w:rPr>
        <w:t xml:space="preserve"> </w:t>
      </w:r>
      <w:r>
        <w:rPr>
          <w:rFonts w:hint="eastAsia"/>
          <w:color w:val="auto"/>
          <w:szCs w:val="21"/>
          <w:highlight w:val="none"/>
          <w:u w:val="single"/>
        </w:rPr>
        <w:t xml:space="preserve">              </w:t>
      </w:r>
      <w:r>
        <w:rPr>
          <w:color w:val="auto"/>
          <w:szCs w:val="21"/>
          <w:highlight w:val="none"/>
        </w:rPr>
        <w:t>。</w:t>
      </w:r>
    </w:p>
    <w:p>
      <w:pPr>
        <w:snapToGrid w:val="0"/>
        <w:spacing w:line="360" w:lineRule="auto"/>
        <w:ind w:firstLine="480"/>
        <w:rPr>
          <w:color w:val="auto"/>
          <w:szCs w:val="21"/>
          <w:highlight w:val="none"/>
        </w:rPr>
      </w:pPr>
      <w:r>
        <w:rPr>
          <w:color w:val="auto"/>
          <w:szCs w:val="21"/>
          <w:highlight w:val="none"/>
        </w:rPr>
        <w:t>2、本合同约定服务费仅包含合同附件A中列明的工作。如果甲方要求扩大项目范围，或因甲方改变已经议定的项目内容导致乙方需重复进行项目步骤，对于增加工作部分，双方应及时协商，无论服务费是否发生变更，均需签署《项目变更补充合同》作为依据。</w:t>
      </w:r>
    </w:p>
    <w:p>
      <w:pPr>
        <w:snapToGrid w:val="0"/>
        <w:spacing w:line="360" w:lineRule="auto"/>
        <w:ind w:firstLine="480"/>
        <w:rPr>
          <w:color w:val="auto"/>
          <w:szCs w:val="21"/>
          <w:highlight w:val="none"/>
        </w:rPr>
      </w:pPr>
      <w:r>
        <w:rPr>
          <w:color w:val="auto"/>
          <w:szCs w:val="21"/>
          <w:highlight w:val="none"/>
        </w:rPr>
        <w:t>3、甲乙双方一致同意项目服务费按阶段以人民币形式支付。每阶段末，甲方将在验收确认该阶段服务完成合格，并且乙方发出该阶段工作的服务费账单及正式有效的税务发票后个工作日内，向乙方支付约定的服务费。</w:t>
      </w:r>
    </w:p>
    <w:p>
      <w:pPr>
        <w:snapToGrid w:val="0"/>
        <w:spacing w:line="360" w:lineRule="auto"/>
        <w:ind w:firstLine="480"/>
        <w:rPr>
          <w:color w:val="auto"/>
          <w:szCs w:val="21"/>
          <w:highlight w:val="none"/>
        </w:rPr>
      </w:pPr>
      <w:r>
        <w:rPr>
          <w:color w:val="auto"/>
          <w:szCs w:val="21"/>
          <w:highlight w:val="none"/>
        </w:rPr>
        <w:t>4、阶段付款的比例及时间约定如下：</w:t>
      </w:r>
    </w:p>
    <w:p>
      <w:pPr>
        <w:snapToGrid w:val="0"/>
        <w:spacing w:line="360" w:lineRule="auto"/>
        <w:ind w:firstLine="420" w:firstLineChars="200"/>
        <w:rPr>
          <w:color w:val="auto"/>
          <w:szCs w:val="21"/>
          <w:highlight w:val="none"/>
        </w:rPr>
      </w:pPr>
      <w:r>
        <w:rPr>
          <w:color w:val="auto"/>
          <w:szCs w:val="21"/>
          <w:highlight w:val="none"/>
        </w:rPr>
        <w:t>项目阶段付款金额付款时间</w:t>
      </w:r>
    </w:p>
    <w:p>
      <w:pPr>
        <w:snapToGrid w:val="0"/>
        <w:spacing w:line="360" w:lineRule="auto"/>
        <w:ind w:firstLine="480"/>
        <w:rPr>
          <w:color w:val="auto"/>
          <w:szCs w:val="21"/>
          <w:highlight w:val="none"/>
        </w:rPr>
      </w:pPr>
      <w:r>
        <w:rPr>
          <w:color w:val="auto"/>
          <w:szCs w:val="21"/>
          <w:highlight w:val="none"/>
        </w:rPr>
        <w:t>第一阶段</w:t>
      </w:r>
      <w:r>
        <w:rPr>
          <w:color w:val="auto"/>
          <w:szCs w:val="21"/>
          <w:highlight w:val="none"/>
        </w:rPr>
        <w:tab/>
      </w:r>
      <w:r>
        <w:rPr>
          <w:color w:val="auto"/>
          <w:szCs w:val="21"/>
          <w:highlight w:val="none"/>
          <w:u w:val="single"/>
        </w:rPr>
        <w:t>　　</w:t>
      </w:r>
      <w:r>
        <w:rPr>
          <w:color w:val="auto"/>
          <w:szCs w:val="21"/>
          <w:highlight w:val="none"/>
        </w:rPr>
        <w:t>元附件A所列服务内容之序号（ ）~（）结束之后；………………；</w:t>
      </w:r>
    </w:p>
    <w:p>
      <w:pPr>
        <w:snapToGrid w:val="0"/>
        <w:spacing w:line="360" w:lineRule="auto"/>
        <w:ind w:firstLine="480"/>
        <w:rPr>
          <w:color w:val="auto"/>
          <w:szCs w:val="21"/>
          <w:highlight w:val="none"/>
        </w:rPr>
      </w:pPr>
      <w:r>
        <w:rPr>
          <w:color w:val="auto"/>
          <w:szCs w:val="21"/>
          <w:highlight w:val="none"/>
        </w:rPr>
        <w:t>第</w:t>
      </w:r>
      <w:r>
        <w:rPr>
          <w:color w:val="auto"/>
          <w:szCs w:val="21"/>
          <w:highlight w:val="none"/>
          <w:u w:val="single"/>
        </w:rPr>
        <w:t xml:space="preserve">   </w:t>
      </w:r>
      <w:r>
        <w:rPr>
          <w:color w:val="auto"/>
          <w:szCs w:val="21"/>
          <w:highlight w:val="none"/>
        </w:rPr>
        <w:t>阶段</w:t>
      </w:r>
      <w:r>
        <w:rPr>
          <w:color w:val="auto"/>
          <w:szCs w:val="21"/>
          <w:highlight w:val="none"/>
          <w:u w:val="single"/>
        </w:rPr>
        <w:t xml:space="preserve">　 </w:t>
      </w:r>
      <w:r>
        <w:rPr>
          <w:color w:val="auto"/>
          <w:szCs w:val="21"/>
          <w:highlight w:val="none"/>
        </w:rPr>
        <w:t>元附件A所列全部服务项目结束汇报之后；验收单或验收报告双方已签字确认无异议，并且甲方按本合同第三条第二款规定留存质量保证金后，甲方在个工作日内支付剩余货款。</w:t>
      </w:r>
    </w:p>
    <w:p>
      <w:pPr>
        <w:snapToGrid w:val="0"/>
        <w:spacing w:line="360" w:lineRule="auto"/>
        <w:ind w:left="-61" w:leftChars="-29" w:firstLine="514" w:firstLineChars="245"/>
        <w:rPr>
          <w:color w:val="auto"/>
          <w:szCs w:val="21"/>
          <w:highlight w:val="none"/>
        </w:rPr>
      </w:pPr>
      <w:r>
        <w:rPr>
          <w:color w:val="auto"/>
          <w:szCs w:val="21"/>
          <w:highlight w:val="none"/>
        </w:rPr>
        <w:t>5、具体的付款方式：</w:t>
      </w:r>
      <w:r>
        <w:rPr>
          <w:rFonts w:hint="eastAsia"/>
          <w:color w:val="auto"/>
          <w:szCs w:val="21"/>
          <w:highlight w:val="none"/>
          <w:u w:val="single"/>
        </w:rPr>
        <w:t xml:space="preserve">        </w:t>
      </w:r>
      <w:r>
        <w:rPr>
          <w:color w:val="auto"/>
          <w:szCs w:val="21"/>
          <w:highlight w:val="none"/>
        </w:rPr>
        <w:t>。</w:t>
      </w:r>
    </w:p>
    <w:p>
      <w:pPr>
        <w:snapToGrid w:val="0"/>
        <w:spacing w:line="360" w:lineRule="auto"/>
        <w:ind w:left="-61" w:leftChars="-29" w:firstLine="514" w:firstLineChars="245"/>
        <w:rPr>
          <w:color w:val="auto"/>
          <w:szCs w:val="21"/>
          <w:highlight w:val="none"/>
        </w:rPr>
      </w:pPr>
      <w:r>
        <w:rPr>
          <w:color w:val="auto"/>
          <w:szCs w:val="21"/>
          <w:highlight w:val="none"/>
        </w:rPr>
        <w:t>6、有关发票方面的任何问题，甲方应在收到发票后及时书面通知乙方，乙方应及时作出解释或解决问题，以使甲方能按时付款。</w:t>
      </w:r>
    </w:p>
    <w:p>
      <w:pPr>
        <w:snapToGrid w:val="0"/>
        <w:spacing w:line="360" w:lineRule="auto"/>
        <w:ind w:left="-61" w:leftChars="-29" w:firstLine="514" w:firstLineChars="245"/>
        <w:rPr>
          <w:color w:val="auto"/>
          <w:szCs w:val="21"/>
          <w:highlight w:val="none"/>
        </w:rPr>
      </w:pPr>
      <w:r>
        <w:rPr>
          <w:color w:val="auto"/>
          <w:szCs w:val="21"/>
          <w:highlight w:val="none"/>
        </w:rPr>
        <w:t>7、乙方将自行承担项目实施范围内合理的差旅费用。</w:t>
      </w:r>
    </w:p>
    <w:p>
      <w:pPr>
        <w:snapToGrid w:val="0"/>
        <w:spacing w:line="360" w:lineRule="auto"/>
        <w:ind w:left="-61" w:leftChars="-29" w:firstLine="514" w:firstLineChars="245"/>
        <w:rPr>
          <w:color w:val="auto"/>
          <w:szCs w:val="21"/>
          <w:highlight w:val="none"/>
        </w:rPr>
      </w:pPr>
      <w:r>
        <w:rPr>
          <w:color w:val="auto"/>
          <w:szCs w:val="21"/>
          <w:highlight w:val="none"/>
        </w:rPr>
        <w:t>8、乙方同意免除项目杂费。</w:t>
      </w:r>
    </w:p>
    <w:p>
      <w:pPr>
        <w:snapToGrid w:val="0"/>
        <w:spacing w:line="360" w:lineRule="auto"/>
        <w:ind w:left="-61" w:leftChars="-29" w:firstLine="588"/>
        <w:rPr>
          <w:b/>
          <w:color w:val="auto"/>
          <w:szCs w:val="21"/>
          <w:highlight w:val="none"/>
        </w:rPr>
      </w:pPr>
      <w:r>
        <w:rPr>
          <w:b/>
          <w:color w:val="auto"/>
          <w:szCs w:val="21"/>
          <w:highlight w:val="none"/>
        </w:rPr>
        <w:t>第三条　履约、质量保证金</w:t>
      </w:r>
    </w:p>
    <w:p>
      <w:pPr>
        <w:snapToGrid w:val="0"/>
        <w:spacing w:line="360" w:lineRule="auto"/>
        <w:ind w:left="-61" w:leftChars="-29" w:firstLine="588"/>
        <w:rPr>
          <w:color w:val="auto"/>
          <w:szCs w:val="21"/>
          <w:highlight w:val="none"/>
        </w:rPr>
      </w:pPr>
      <w:r>
        <w:rPr>
          <w:color w:val="auto"/>
          <w:szCs w:val="21"/>
          <w:highlight w:val="none"/>
        </w:rPr>
        <w:t>1、乙方在签订本合同之前，须按本合同约定服务费总金额（≤10%）比例向甲方交纳履约保证金。待服务验收合格无异议后5个工作日内无息返还。</w:t>
      </w:r>
    </w:p>
    <w:p>
      <w:pPr>
        <w:snapToGrid w:val="0"/>
        <w:spacing w:line="360" w:lineRule="auto"/>
        <w:ind w:left="-61" w:leftChars="-29" w:firstLine="588"/>
        <w:rPr>
          <w:color w:val="auto"/>
          <w:szCs w:val="21"/>
          <w:highlight w:val="none"/>
        </w:rPr>
      </w:pPr>
      <w:r>
        <w:rPr>
          <w:color w:val="auto"/>
          <w:szCs w:val="21"/>
          <w:highlight w:val="none"/>
        </w:rPr>
        <w:t>2、甲方按本合同总价款5%比例留存质量保证金，质量保证期____个月，甲方应在质量保证期届满后5个工作日内按规定无息返还乙方。</w:t>
      </w:r>
    </w:p>
    <w:p>
      <w:pPr>
        <w:snapToGrid w:val="0"/>
        <w:spacing w:line="360" w:lineRule="auto"/>
        <w:ind w:firstLine="480"/>
        <w:rPr>
          <w:b/>
          <w:color w:val="auto"/>
          <w:szCs w:val="21"/>
          <w:highlight w:val="none"/>
        </w:rPr>
      </w:pPr>
      <w:r>
        <w:rPr>
          <w:b/>
          <w:color w:val="auto"/>
          <w:szCs w:val="21"/>
          <w:highlight w:val="none"/>
        </w:rPr>
        <w:t>第四条　合同的变更、终止与转让</w:t>
      </w:r>
    </w:p>
    <w:p>
      <w:pPr>
        <w:snapToGrid w:val="0"/>
        <w:spacing w:line="360" w:lineRule="auto"/>
        <w:ind w:firstLine="480"/>
        <w:rPr>
          <w:color w:val="auto"/>
          <w:szCs w:val="21"/>
          <w:highlight w:val="none"/>
        </w:rPr>
      </w:pPr>
      <w:r>
        <w:rPr>
          <w:color w:val="auto"/>
          <w:szCs w:val="21"/>
          <w:highlight w:val="none"/>
        </w:rPr>
        <w:t>1、按照《中华人民共和国政府采购法》第50条规定，本合同一经签订，甲乙双方不得擅自变更、中止或终止。</w:t>
      </w:r>
    </w:p>
    <w:p>
      <w:pPr>
        <w:snapToGrid w:val="0"/>
        <w:spacing w:line="360" w:lineRule="auto"/>
        <w:rPr>
          <w:color w:val="auto"/>
          <w:szCs w:val="21"/>
          <w:highlight w:val="none"/>
        </w:rPr>
      </w:pPr>
      <w:r>
        <w:rPr>
          <w:color w:val="auto"/>
          <w:szCs w:val="21"/>
          <w:highlight w:val="none"/>
        </w:rPr>
        <w:t>2、乙方不得擅自转让</w:t>
      </w:r>
      <w:r>
        <w:rPr>
          <w:rFonts w:hint="eastAsia"/>
          <w:color w:val="auto"/>
          <w:szCs w:val="21"/>
          <w:highlight w:val="none"/>
        </w:rPr>
        <w:t>、分包</w:t>
      </w:r>
      <w:r>
        <w:rPr>
          <w:color w:val="auto"/>
          <w:szCs w:val="21"/>
          <w:highlight w:val="none"/>
        </w:rPr>
        <w:t>其应履行的合同义务。</w:t>
      </w:r>
    </w:p>
    <w:p>
      <w:pPr>
        <w:snapToGrid w:val="0"/>
        <w:spacing w:line="360" w:lineRule="auto"/>
        <w:rPr>
          <w:color w:val="auto"/>
          <w:szCs w:val="21"/>
          <w:highlight w:val="none"/>
        </w:rPr>
      </w:pPr>
      <w:r>
        <w:rPr>
          <w:color w:val="auto"/>
          <w:szCs w:val="21"/>
          <w:highlight w:val="none"/>
        </w:rPr>
        <w:t>3、双方除非事先得到对方的书面同意或本合同另有约定，任何一方不得将本合同项下的任何权利、义务、责任转让给任何第三方。</w:t>
      </w:r>
    </w:p>
    <w:p>
      <w:pPr>
        <w:snapToGrid w:val="0"/>
        <w:spacing w:line="360" w:lineRule="auto"/>
        <w:rPr>
          <w:color w:val="auto"/>
          <w:szCs w:val="21"/>
          <w:highlight w:val="none"/>
        </w:rPr>
      </w:pPr>
      <w:r>
        <w:rPr>
          <w:color w:val="auto"/>
          <w:szCs w:val="21"/>
          <w:highlight w:val="none"/>
        </w:rPr>
        <w:t>4、乙方逾期未完成约定义务超过</w:t>
      </w:r>
      <w:r>
        <w:rPr>
          <w:rFonts w:hint="eastAsia"/>
          <w:color w:val="auto"/>
          <w:szCs w:val="21"/>
          <w:highlight w:val="none"/>
          <w:u w:val="single"/>
        </w:rPr>
        <w:t xml:space="preserve">    </w:t>
      </w:r>
      <w:r>
        <w:rPr>
          <w:color w:val="auto"/>
          <w:szCs w:val="21"/>
          <w:highlight w:val="none"/>
        </w:rPr>
        <w:t>日，甲方有权单方解除本合同。</w:t>
      </w:r>
    </w:p>
    <w:p>
      <w:pPr>
        <w:snapToGrid w:val="0"/>
        <w:spacing w:line="360" w:lineRule="auto"/>
        <w:rPr>
          <w:color w:val="auto"/>
          <w:szCs w:val="21"/>
          <w:highlight w:val="none"/>
        </w:rPr>
      </w:pPr>
      <w:r>
        <w:rPr>
          <w:color w:val="auto"/>
          <w:szCs w:val="21"/>
          <w:highlight w:val="none"/>
        </w:rPr>
        <w:t>5、乙方履行本合同约定义务时，未达到甲方要求，修改或整改超过次，仍然无法达到甲方要求，甲方有权单方解除本合同。</w:t>
      </w:r>
    </w:p>
    <w:p>
      <w:pPr>
        <w:snapToGrid w:val="0"/>
        <w:spacing w:line="360" w:lineRule="auto"/>
        <w:ind w:left="560"/>
        <w:rPr>
          <w:b/>
          <w:color w:val="auto"/>
          <w:szCs w:val="21"/>
          <w:highlight w:val="none"/>
        </w:rPr>
      </w:pPr>
      <w:r>
        <w:rPr>
          <w:b/>
          <w:color w:val="auto"/>
          <w:szCs w:val="21"/>
          <w:highlight w:val="none"/>
        </w:rPr>
        <w:t>第五条违约责任</w:t>
      </w:r>
    </w:p>
    <w:p>
      <w:pPr>
        <w:snapToGrid w:val="0"/>
        <w:spacing w:line="360" w:lineRule="auto"/>
        <w:rPr>
          <w:color w:val="auto"/>
          <w:szCs w:val="21"/>
          <w:highlight w:val="none"/>
        </w:rPr>
      </w:pPr>
      <w:r>
        <w:rPr>
          <w:color w:val="auto"/>
          <w:szCs w:val="21"/>
          <w:highlight w:val="none"/>
        </w:rPr>
        <w:t xml:space="preserve">    1、乙方应提供符合本合同约定和行业规范及惯例的专业化服务，如果达不到甲方的要求，乙方应立即更换人员或改进方法，以达到甲方要求。乙方如因服务错误、失误等原因导致甲方解除合同，乙方应承担全部责任外，还应退甲方还全部服务费</w:t>
      </w:r>
      <w:r>
        <w:rPr>
          <w:color w:val="auto"/>
          <w:highlight w:val="none"/>
        </w:rPr>
        <w:t>并向甲方支付合同总价 10%的违约金，造成甲方损失的，乙方还 应承担赔偿责任</w:t>
      </w:r>
      <w:r>
        <w:rPr>
          <w:color w:val="auto"/>
          <w:szCs w:val="21"/>
          <w:highlight w:val="none"/>
        </w:rPr>
        <w:t>。 </w:t>
      </w:r>
    </w:p>
    <w:p>
      <w:pPr>
        <w:snapToGrid w:val="0"/>
        <w:spacing w:line="360" w:lineRule="auto"/>
        <w:ind w:firstLine="480"/>
        <w:rPr>
          <w:color w:val="auto"/>
          <w:szCs w:val="21"/>
          <w:highlight w:val="none"/>
        </w:rPr>
      </w:pPr>
      <w:r>
        <w:rPr>
          <w:color w:val="auto"/>
          <w:szCs w:val="21"/>
          <w:highlight w:val="none"/>
        </w:rPr>
        <w:t>2、乙方如果未按本合同约定的服务内容和方式履行合同项下义务，则甲方可以采取必要的补救措施，由此产生的风险和费用将由乙方承担。同时，甲方有权决定是否继续履行合同。如果甲方解除合同，则乙方应退还全部服务费并承担由此而给甲方造成的损失。</w:t>
      </w:r>
    </w:p>
    <w:p>
      <w:pPr>
        <w:snapToGrid w:val="0"/>
        <w:spacing w:line="360" w:lineRule="auto"/>
        <w:ind w:firstLine="480"/>
        <w:rPr>
          <w:color w:val="auto"/>
          <w:szCs w:val="21"/>
          <w:highlight w:val="none"/>
        </w:rPr>
      </w:pPr>
      <w:r>
        <w:rPr>
          <w:color w:val="auto"/>
          <w:szCs w:val="21"/>
          <w:highlight w:val="none"/>
        </w:rPr>
        <w:t>3、乙方逾期完成服务的，乙方应按本合同约定服务费总金额每日1‰比例向甲方支付违约金，由甲方从待付款中扣除；逾期超过约定日期15个工作日不能完成服务的，甲方可解除本合同。</w:t>
      </w:r>
    </w:p>
    <w:p>
      <w:pPr>
        <w:snapToGrid w:val="0"/>
        <w:spacing w:line="360" w:lineRule="auto"/>
        <w:ind w:firstLine="480"/>
        <w:rPr>
          <w:color w:val="auto"/>
          <w:szCs w:val="21"/>
          <w:highlight w:val="none"/>
        </w:rPr>
      </w:pPr>
      <w:r>
        <w:rPr>
          <w:color w:val="auto"/>
          <w:szCs w:val="21"/>
          <w:highlight w:val="none"/>
        </w:rPr>
        <w:t>4、乙方因逾期完成服务或因其他违约行为导致甲方解除合同的，乙方应</w:t>
      </w:r>
      <w:r>
        <w:rPr>
          <w:color w:val="auto"/>
          <w:highlight w:val="none"/>
        </w:rPr>
        <w:t>返还全部服务费，并</w:t>
      </w:r>
      <w:r>
        <w:rPr>
          <w:color w:val="auto"/>
          <w:szCs w:val="21"/>
          <w:highlight w:val="none"/>
        </w:rPr>
        <w:t>向甲方支付本合同约定服务费总金额10%比例的违约金，如造成甲方损失超过违约金的，超出部分由乙方继续承担赔偿责任。</w:t>
      </w:r>
    </w:p>
    <w:p>
      <w:pPr>
        <w:snapToGrid w:val="0"/>
        <w:spacing w:line="360" w:lineRule="auto"/>
        <w:ind w:firstLine="422" w:firstLineChars="200"/>
        <w:rPr>
          <w:b/>
          <w:color w:val="auto"/>
          <w:szCs w:val="21"/>
          <w:highlight w:val="none"/>
        </w:rPr>
      </w:pPr>
      <w:r>
        <w:rPr>
          <w:b/>
          <w:color w:val="auto"/>
          <w:szCs w:val="21"/>
          <w:highlight w:val="none"/>
        </w:rPr>
        <w:t>第六条　争议处理</w:t>
      </w:r>
    </w:p>
    <w:p>
      <w:pPr>
        <w:snapToGrid w:val="0"/>
        <w:spacing w:line="360" w:lineRule="auto"/>
        <w:ind w:firstLine="420" w:firstLineChars="200"/>
        <w:rPr>
          <w:color w:val="auto"/>
          <w:szCs w:val="21"/>
          <w:highlight w:val="none"/>
        </w:rPr>
      </w:pPr>
      <w:r>
        <w:rPr>
          <w:color w:val="auto"/>
          <w:szCs w:val="21"/>
          <w:highlight w:val="none"/>
        </w:rPr>
        <w:t>甲乙双方如对本合同约定条款的理解存在歧义或在本合同履行过程中发生争议，双方应友好协商解决，协商不能解决的，任何一方均可向甲方所在地人民法院提起诉讼。</w:t>
      </w:r>
    </w:p>
    <w:p>
      <w:pPr>
        <w:snapToGrid w:val="0"/>
        <w:spacing w:line="360" w:lineRule="auto"/>
        <w:ind w:firstLine="422" w:firstLineChars="200"/>
        <w:rPr>
          <w:b/>
          <w:color w:val="auto"/>
          <w:szCs w:val="21"/>
          <w:highlight w:val="none"/>
        </w:rPr>
      </w:pPr>
      <w:r>
        <w:rPr>
          <w:b/>
          <w:color w:val="auto"/>
          <w:szCs w:val="21"/>
          <w:highlight w:val="none"/>
        </w:rPr>
        <w:t>第七条不可抗力</w:t>
      </w:r>
    </w:p>
    <w:p>
      <w:pPr>
        <w:snapToGrid w:val="0"/>
        <w:spacing w:line="360" w:lineRule="auto"/>
        <w:ind w:firstLine="420" w:firstLineChars="200"/>
        <w:rPr>
          <w:color w:val="auto"/>
          <w:szCs w:val="21"/>
          <w:highlight w:val="none"/>
        </w:rPr>
      </w:pPr>
      <w:r>
        <w:rPr>
          <w:color w:val="auto"/>
          <w:szCs w:val="21"/>
          <w:highlight w:val="none"/>
        </w:rPr>
        <w:t>1、“不可抗力”是指所有超出本合同双方控制范围的事件，该事件应不可预见，或虽然可以预见，但通过合理努力无法阻止或避免其发生，且这类事件发生于本合同签字之后，并且阻止任何一方全部或部分履行本合同。</w:t>
      </w:r>
    </w:p>
    <w:p>
      <w:pPr>
        <w:snapToGrid w:val="0"/>
        <w:spacing w:line="360" w:lineRule="auto"/>
        <w:ind w:firstLine="420" w:firstLineChars="200"/>
        <w:rPr>
          <w:color w:val="auto"/>
          <w:szCs w:val="21"/>
          <w:highlight w:val="none"/>
        </w:rPr>
      </w:pPr>
      <w:r>
        <w:rPr>
          <w:color w:val="auto"/>
          <w:szCs w:val="21"/>
          <w:highlight w:val="none"/>
        </w:rPr>
        <w:t>2、由于不可抗力事件，致使任何一方不能履行其在本合同项下的义务，该方不承担由此给另一方造成的损失；该方应及时通知另一方其不能履行或延迟履行合同义务的原因，并应尽快向另一方提供有关发生不可抗力的证明文件，按事故对本合同的影响程度，双方协商是否终止本合同，或部分免除本合同的义务。</w:t>
      </w:r>
    </w:p>
    <w:p>
      <w:pPr>
        <w:snapToGrid w:val="0"/>
        <w:spacing w:line="360" w:lineRule="auto"/>
        <w:ind w:firstLine="422" w:firstLineChars="200"/>
        <w:rPr>
          <w:color w:val="auto"/>
          <w:szCs w:val="21"/>
          <w:highlight w:val="none"/>
        </w:rPr>
      </w:pPr>
      <w:r>
        <w:rPr>
          <w:b/>
          <w:color w:val="auto"/>
          <w:szCs w:val="21"/>
          <w:highlight w:val="none"/>
        </w:rPr>
        <w:t>第八条其他</w:t>
      </w:r>
    </w:p>
    <w:p>
      <w:pPr>
        <w:snapToGrid w:val="0"/>
        <w:spacing w:line="360" w:lineRule="auto"/>
        <w:ind w:firstLine="420" w:firstLineChars="200"/>
        <w:rPr>
          <w:color w:val="auto"/>
          <w:szCs w:val="21"/>
          <w:highlight w:val="none"/>
        </w:rPr>
      </w:pPr>
      <w:r>
        <w:rPr>
          <w:color w:val="auto"/>
          <w:szCs w:val="21"/>
          <w:highlight w:val="none"/>
        </w:rPr>
        <w:t>1、合同附件A和合同附件B是本合同不可分割的组成部分，与本合同具有同等法律效力。</w:t>
      </w:r>
    </w:p>
    <w:p>
      <w:pPr>
        <w:snapToGrid w:val="0"/>
        <w:spacing w:line="360" w:lineRule="auto"/>
        <w:ind w:firstLine="420" w:firstLineChars="200"/>
        <w:rPr>
          <w:color w:val="auto"/>
          <w:szCs w:val="21"/>
          <w:highlight w:val="none"/>
        </w:rPr>
      </w:pPr>
      <w:r>
        <w:rPr>
          <w:color w:val="auto"/>
          <w:szCs w:val="21"/>
          <w:highlight w:val="none"/>
        </w:rPr>
        <w:t>2、本合同未尽事宜，由甲乙双方负责人协商后达成书面补充协议，补充协议具备与本合同同等法律效力。</w:t>
      </w:r>
    </w:p>
    <w:p>
      <w:pPr>
        <w:snapToGrid w:val="0"/>
        <w:spacing w:line="360" w:lineRule="auto"/>
        <w:ind w:firstLine="420" w:firstLineChars="200"/>
        <w:rPr>
          <w:color w:val="auto"/>
          <w:szCs w:val="21"/>
          <w:highlight w:val="none"/>
        </w:rPr>
      </w:pPr>
      <w:r>
        <w:rPr>
          <w:color w:val="auto"/>
          <w:szCs w:val="21"/>
          <w:highlight w:val="none"/>
        </w:rPr>
        <w:t>3、对本合同内容的任何修改和变更需要用书面形式，并经双方签字盖章后生效。</w:t>
      </w:r>
    </w:p>
    <w:p>
      <w:pPr>
        <w:snapToGrid w:val="0"/>
        <w:spacing w:line="360" w:lineRule="auto"/>
        <w:ind w:firstLine="422" w:firstLineChars="200"/>
        <w:rPr>
          <w:b/>
          <w:color w:val="auto"/>
          <w:szCs w:val="21"/>
          <w:highlight w:val="none"/>
        </w:rPr>
      </w:pPr>
      <w:r>
        <w:rPr>
          <w:b/>
          <w:color w:val="auto"/>
          <w:szCs w:val="21"/>
          <w:highlight w:val="none"/>
        </w:rPr>
        <w:t>第九条　签订本合同依据</w:t>
      </w:r>
    </w:p>
    <w:p>
      <w:pPr>
        <w:snapToGrid w:val="0"/>
        <w:spacing w:line="360" w:lineRule="auto"/>
        <w:ind w:firstLine="420" w:firstLineChars="200"/>
        <w:rPr>
          <w:color w:val="auto"/>
          <w:szCs w:val="21"/>
          <w:highlight w:val="none"/>
        </w:rPr>
      </w:pPr>
      <w:r>
        <w:rPr>
          <w:color w:val="auto"/>
          <w:szCs w:val="21"/>
          <w:highlight w:val="none"/>
        </w:rPr>
        <w:t>1、甲方发出的采购文件、中标（成交）通知书；</w:t>
      </w:r>
    </w:p>
    <w:p>
      <w:pPr>
        <w:snapToGrid w:val="0"/>
        <w:spacing w:line="360" w:lineRule="auto"/>
        <w:ind w:firstLine="420" w:firstLineChars="200"/>
        <w:rPr>
          <w:color w:val="auto"/>
          <w:szCs w:val="21"/>
          <w:highlight w:val="none"/>
        </w:rPr>
      </w:pPr>
      <w:r>
        <w:rPr>
          <w:color w:val="auto"/>
          <w:szCs w:val="21"/>
          <w:highlight w:val="none"/>
        </w:rPr>
        <w:t>2、乙方提供的投标（响应）文件；</w:t>
      </w:r>
    </w:p>
    <w:p>
      <w:pPr>
        <w:snapToGrid w:val="0"/>
        <w:spacing w:line="360" w:lineRule="auto"/>
        <w:ind w:firstLine="420" w:firstLineChars="200"/>
        <w:rPr>
          <w:color w:val="auto"/>
          <w:szCs w:val="21"/>
          <w:highlight w:val="none"/>
          <w:u w:val="single"/>
        </w:rPr>
      </w:pPr>
      <w:r>
        <w:rPr>
          <w:color w:val="auto"/>
          <w:szCs w:val="21"/>
          <w:highlight w:val="none"/>
        </w:rPr>
        <w:t>3、投标承诺书。</w:t>
      </w:r>
    </w:p>
    <w:p>
      <w:pPr>
        <w:snapToGrid w:val="0"/>
        <w:spacing w:line="360" w:lineRule="auto"/>
        <w:ind w:firstLine="422" w:firstLineChars="200"/>
        <w:rPr>
          <w:color w:val="auto"/>
          <w:szCs w:val="21"/>
          <w:highlight w:val="none"/>
        </w:rPr>
      </w:pPr>
      <w:r>
        <w:rPr>
          <w:b/>
          <w:color w:val="auto"/>
          <w:szCs w:val="21"/>
          <w:highlight w:val="none"/>
        </w:rPr>
        <w:t>第十条　</w:t>
      </w:r>
      <w:r>
        <w:rPr>
          <w:color w:val="auto"/>
          <w:szCs w:val="21"/>
          <w:highlight w:val="none"/>
        </w:rPr>
        <w:t>本合同一式</w:t>
      </w:r>
      <w:r>
        <w:rPr>
          <w:color w:val="auto"/>
          <w:szCs w:val="21"/>
          <w:highlight w:val="none"/>
          <w:u w:val="single"/>
        </w:rPr>
        <w:t xml:space="preserve">    </w:t>
      </w:r>
      <w:r>
        <w:rPr>
          <w:color w:val="auto"/>
          <w:szCs w:val="21"/>
          <w:highlight w:val="none"/>
        </w:rPr>
        <w:t>份，甲方</w:t>
      </w:r>
      <w:r>
        <w:rPr>
          <w:color w:val="auto"/>
          <w:szCs w:val="21"/>
          <w:highlight w:val="none"/>
          <w:u w:val="single"/>
        </w:rPr>
        <w:t xml:space="preserve">   </w:t>
      </w:r>
      <w:r>
        <w:rPr>
          <w:color w:val="auto"/>
          <w:szCs w:val="21"/>
          <w:highlight w:val="none"/>
        </w:rPr>
        <w:t>份，乙方</w:t>
      </w:r>
      <w:r>
        <w:rPr>
          <w:color w:val="auto"/>
          <w:szCs w:val="21"/>
          <w:highlight w:val="none"/>
          <w:u w:val="single"/>
        </w:rPr>
        <w:t xml:space="preserve">   </w:t>
      </w:r>
      <w:r>
        <w:rPr>
          <w:color w:val="auto"/>
          <w:szCs w:val="21"/>
          <w:highlight w:val="none"/>
        </w:rPr>
        <w:t>份。（如有需要可另增加）</w:t>
      </w:r>
    </w:p>
    <w:p>
      <w:pPr>
        <w:snapToGrid w:val="0"/>
        <w:spacing w:line="360" w:lineRule="auto"/>
        <w:ind w:firstLine="420" w:firstLineChars="200"/>
        <w:rPr>
          <w:color w:val="auto"/>
          <w:szCs w:val="21"/>
          <w:highlight w:val="none"/>
        </w:rPr>
      </w:pPr>
      <w:r>
        <w:rPr>
          <w:color w:val="auto"/>
          <w:szCs w:val="21"/>
          <w:highlight w:val="none"/>
        </w:rPr>
        <w:t>本合同自甲乙双方签字盖章后生效。</w:t>
      </w:r>
    </w:p>
    <w:p>
      <w:pPr>
        <w:snapToGrid w:val="0"/>
        <w:spacing w:line="360" w:lineRule="auto"/>
        <w:ind w:firstLine="420" w:firstLineChars="200"/>
        <w:rPr>
          <w:color w:val="auto"/>
          <w:szCs w:val="21"/>
          <w:highlight w:val="none"/>
        </w:rPr>
      </w:pPr>
    </w:p>
    <w:p>
      <w:pPr>
        <w:snapToGrid w:val="0"/>
        <w:spacing w:line="360" w:lineRule="auto"/>
        <w:ind w:firstLine="420" w:firstLineChars="200"/>
        <w:rPr>
          <w:color w:val="auto"/>
          <w:szCs w:val="21"/>
          <w:highlight w:val="none"/>
        </w:rPr>
      </w:pPr>
    </w:p>
    <w:p>
      <w:pPr>
        <w:snapToGrid w:val="0"/>
        <w:spacing w:line="360" w:lineRule="auto"/>
        <w:ind w:firstLine="420" w:firstLineChars="200"/>
        <w:rPr>
          <w:color w:val="auto"/>
          <w:szCs w:val="21"/>
          <w:highlight w:val="none"/>
        </w:rPr>
      </w:pPr>
    </w:p>
    <w:p>
      <w:pPr>
        <w:snapToGrid w:val="0"/>
        <w:spacing w:line="360" w:lineRule="auto"/>
        <w:ind w:firstLine="420" w:firstLineChars="200"/>
        <w:rPr>
          <w:color w:val="auto"/>
          <w:szCs w:val="21"/>
          <w:highlight w:val="none"/>
        </w:rPr>
      </w:pPr>
    </w:p>
    <w:p>
      <w:pPr>
        <w:widowControl/>
        <w:spacing w:line="360" w:lineRule="auto"/>
        <w:jc w:val="left"/>
        <w:rPr>
          <w:b/>
          <w:color w:val="auto"/>
          <w:szCs w:val="21"/>
          <w:highlight w:val="none"/>
        </w:rPr>
      </w:pPr>
    </w:p>
    <w:p>
      <w:pPr>
        <w:widowControl/>
        <w:spacing w:line="360" w:lineRule="auto"/>
        <w:jc w:val="left"/>
        <w:rPr>
          <w:b/>
          <w:color w:val="auto"/>
          <w:szCs w:val="21"/>
          <w:highlight w:val="none"/>
        </w:rPr>
      </w:pPr>
    </w:p>
    <w:p>
      <w:pPr>
        <w:widowControl/>
        <w:spacing w:line="360" w:lineRule="auto"/>
        <w:jc w:val="left"/>
        <w:rPr>
          <w:b/>
          <w:color w:val="auto"/>
          <w:szCs w:val="21"/>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9" w:hRule="atLeast"/>
        </w:trPr>
        <w:tc>
          <w:tcPr>
            <w:tcW w:w="4516" w:type="dxa"/>
            <w:vAlign w:val="center"/>
          </w:tcPr>
          <w:p>
            <w:pPr>
              <w:spacing w:line="360" w:lineRule="auto"/>
              <w:jc w:val="left"/>
              <w:rPr>
                <w:color w:val="auto"/>
                <w:szCs w:val="21"/>
                <w:highlight w:val="none"/>
              </w:rPr>
            </w:pPr>
            <w:r>
              <w:rPr>
                <w:color w:val="auto"/>
                <w:szCs w:val="21"/>
                <w:highlight w:val="none"/>
              </w:rPr>
              <w:t>甲方（公章）</w:t>
            </w:r>
          </w:p>
          <w:p>
            <w:pPr>
              <w:spacing w:line="360" w:lineRule="auto"/>
              <w:ind w:firstLine="560"/>
              <w:jc w:val="left"/>
              <w:rPr>
                <w:color w:val="auto"/>
                <w:szCs w:val="21"/>
                <w:highlight w:val="none"/>
              </w:rPr>
            </w:pPr>
          </w:p>
          <w:p>
            <w:pPr>
              <w:spacing w:line="360" w:lineRule="auto"/>
              <w:ind w:firstLine="560"/>
              <w:jc w:val="left"/>
              <w:rPr>
                <w:color w:val="auto"/>
                <w:szCs w:val="21"/>
                <w:highlight w:val="none"/>
              </w:rPr>
            </w:pPr>
          </w:p>
          <w:p>
            <w:pPr>
              <w:spacing w:line="360" w:lineRule="auto"/>
              <w:ind w:firstLine="525" w:firstLineChars="250"/>
              <w:jc w:val="left"/>
              <w:rPr>
                <w:color w:val="auto"/>
                <w:szCs w:val="21"/>
                <w:highlight w:val="none"/>
              </w:rPr>
            </w:pPr>
            <w:r>
              <w:rPr>
                <w:color w:val="auto"/>
                <w:szCs w:val="21"/>
                <w:highlight w:val="none"/>
              </w:rPr>
              <w:t>年   月    日</w:t>
            </w:r>
          </w:p>
        </w:tc>
        <w:tc>
          <w:tcPr>
            <w:tcW w:w="4517" w:type="dxa"/>
            <w:vAlign w:val="center"/>
          </w:tcPr>
          <w:p>
            <w:pPr>
              <w:spacing w:line="360" w:lineRule="auto"/>
              <w:jc w:val="left"/>
              <w:rPr>
                <w:color w:val="auto"/>
                <w:szCs w:val="21"/>
                <w:highlight w:val="none"/>
              </w:rPr>
            </w:pPr>
            <w:r>
              <w:rPr>
                <w:color w:val="auto"/>
                <w:szCs w:val="21"/>
                <w:highlight w:val="none"/>
              </w:rPr>
              <w:t>乙方（公章）</w:t>
            </w:r>
          </w:p>
          <w:p>
            <w:pPr>
              <w:spacing w:line="360" w:lineRule="auto"/>
              <w:ind w:firstLine="560"/>
              <w:jc w:val="left"/>
              <w:rPr>
                <w:color w:val="auto"/>
                <w:szCs w:val="21"/>
                <w:highlight w:val="none"/>
              </w:rPr>
            </w:pPr>
          </w:p>
          <w:p>
            <w:pPr>
              <w:spacing w:line="360" w:lineRule="auto"/>
              <w:ind w:firstLine="560"/>
              <w:jc w:val="left"/>
              <w:rPr>
                <w:color w:val="auto"/>
                <w:szCs w:val="21"/>
                <w:highlight w:val="none"/>
              </w:rPr>
            </w:pPr>
          </w:p>
          <w:p>
            <w:pPr>
              <w:spacing w:line="360" w:lineRule="auto"/>
              <w:ind w:firstLine="525" w:firstLineChars="250"/>
              <w:jc w:val="left"/>
              <w:rPr>
                <w:color w:val="auto"/>
                <w:szCs w:val="21"/>
                <w:highlight w:val="none"/>
              </w:rPr>
            </w:pPr>
            <w:r>
              <w:rPr>
                <w:color w:val="auto"/>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4516" w:type="dxa"/>
            <w:vAlign w:val="center"/>
          </w:tcPr>
          <w:p>
            <w:pPr>
              <w:spacing w:line="360" w:lineRule="auto"/>
              <w:jc w:val="left"/>
              <w:rPr>
                <w:color w:val="auto"/>
                <w:szCs w:val="21"/>
                <w:highlight w:val="none"/>
              </w:rPr>
            </w:pPr>
            <w:r>
              <w:rPr>
                <w:color w:val="auto"/>
                <w:szCs w:val="21"/>
                <w:highlight w:val="none"/>
              </w:rPr>
              <w:t xml:space="preserve">单位地址： </w:t>
            </w:r>
          </w:p>
        </w:tc>
        <w:tc>
          <w:tcPr>
            <w:tcW w:w="4517" w:type="dxa"/>
            <w:vAlign w:val="center"/>
          </w:tcPr>
          <w:p>
            <w:pPr>
              <w:spacing w:line="360" w:lineRule="auto"/>
              <w:jc w:val="left"/>
              <w:rPr>
                <w:color w:val="auto"/>
                <w:szCs w:val="21"/>
                <w:highlight w:val="none"/>
              </w:rPr>
            </w:pPr>
            <w:r>
              <w:rPr>
                <w:color w:val="auto"/>
                <w:szCs w:val="21"/>
                <w:highlight w:val="none"/>
              </w:rPr>
              <w:t>单位地址：</w:t>
            </w:r>
            <w:r>
              <w:rPr>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7" w:hRule="atLeast"/>
        </w:trPr>
        <w:tc>
          <w:tcPr>
            <w:tcW w:w="4516" w:type="dxa"/>
            <w:vAlign w:val="center"/>
          </w:tcPr>
          <w:p>
            <w:pPr>
              <w:spacing w:before="156" w:beforeLines="50" w:line="360" w:lineRule="auto"/>
              <w:jc w:val="left"/>
              <w:rPr>
                <w:color w:val="auto"/>
                <w:szCs w:val="21"/>
                <w:highlight w:val="none"/>
              </w:rPr>
            </w:pPr>
            <w:r>
              <w:rPr>
                <w:color w:val="auto"/>
                <w:szCs w:val="21"/>
                <w:highlight w:val="none"/>
              </w:rPr>
              <w:t>法定代表人（或委托代理人）</w:t>
            </w:r>
          </w:p>
          <w:p>
            <w:pPr>
              <w:spacing w:line="360" w:lineRule="auto"/>
              <w:jc w:val="left"/>
              <w:rPr>
                <w:color w:val="auto"/>
                <w:szCs w:val="21"/>
                <w:highlight w:val="none"/>
              </w:rPr>
            </w:pPr>
            <w:r>
              <w:rPr>
                <w:color w:val="auto"/>
                <w:szCs w:val="21"/>
                <w:highlight w:val="none"/>
              </w:rPr>
              <w:t>（签字）：</w:t>
            </w:r>
          </w:p>
          <w:p>
            <w:pPr>
              <w:spacing w:line="360" w:lineRule="auto"/>
              <w:jc w:val="left"/>
              <w:rPr>
                <w:color w:val="auto"/>
                <w:szCs w:val="21"/>
                <w:highlight w:val="none"/>
              </w:rPr>
            </w:pPr>
          </w:p>
          <w:p>
            <w:pPr>
              <w:spacing w:line="360" w:lineRule="auto"/>
              <w:jc w:val="left"/>
              <w:rPr>
                <w:color w:val="auto"/>
                <w:szCs w:val="21"/>
                <w:highlight w:val="none"/>
              </w:rPr>
            </w:pPr>
          </w:p>
        </w:tc>
        <w:tc>
          <w:tcPr>
            <w:tcW w:w="4517" w:type="dxa"/>
            <w:vAlign w:val="center"/>
          </w:tcPr>
          <w:p>
            <w:pPr>
              <w:spacing w:before="156" w:beforeLines="50" w:line="360" w:lineRule="auto"/>
              <w:jc w:val="left"/>
              <w:rPr>
                <w:color w:val="auto"/>
                <w:szCs w:val="21"/>
                <w:highlight w:val="none"/>
              </w:rPr>
            </w:pPr>
            <w:r>
              <w:rPr>
                <w:color w:val="auto"/>
                <w:szCs w:val="21"/>
                <w:highlight w:val="none"/>
              </w:rPr>
              <w:t>法定代表人（或委托代理人）</w:t>
            </w:r>
          </w:p>
          <w:p>
            <w:pPr>
              <w:spacing w:line="360" w:lineRule="auto"/>
              <w:jc w:val="left"/>
              <w:rPr>
                <w:color w:val="auto"/>
                <w:szCs w:val="21"/>
                <w:highlight w:val="none"/>
              </w:rPr>
            </w:pPr>
            <w:r>
              <w:rPr>
                <w:color w:val="auto"/>
                <w:szCs w:val="21"/>
                <w:highlight w:val="none"/>
              </w:rPr>
              <w:t>（签字）：</w:t>
            </w:r>
          </w:p>
          <w:p>
            <w:pPr>
              <w:spacing w:line="360" w:lineRule="auto"/>
              <w:jc w:val="left"/>
              <w:rPr>
                <w:color w:val="auto"/>
                <w:szCs w:val="21"/>
                <w:highlight w:val="none"/>
              </w:rPr>
            </w:pPr>
          </w:p>
          <w:p>
            <w:pPr>
              <w:spacing w:line="360" w:lineRule="auto"/>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4516" w:type="dxa"/>
            <w:vAlign w:val="center"/>
          </w:tcPr>
          <w:p>
            <w:pPr>
              <w:spacing w:line="360" w:lineRule="auto"/>
              <w:rPr>
                <w:color w:val="auto"/>
                <w:szCs w:val="21"/>
                <w:highlight w:val="none"/>
              </w:rPr>
            </w:pPr>
            <w:r>
              <w:rPr>
                <w:color w:val="auto"/>
                <w:szCs w:val="21"/>
                <w:highlight w:val="none"/>
              </w:rPr>
              <w:t>电话：</w:t>
            </w:r>
          </w:p>
        </w:tc>
        <w:tc>
          <w:tcPr>
            <w:tcW w:w="4517" w:type="dxa"/>
            <w:vAlign w:val="center"/>
          </w:tcPr>
          <w:p>
            <w:pPr>
              <w:spacing w:line="360" w:lineRule="auto"/>
              <w:jc w:val="left"/>
              <w:rPr>
                <w:color w:val="auto"/>
                <w:szCs w:val="21"/>
                <w:highlight w:val="none"/>
              </w:rPr>
            </w:pPr>
            <w:r>
              <w:rPr>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4516" w:type="dxa"/>
            <w:vAlign w:val="center"/>
          </w:tcPr>
          <w:p>
            <w:pPr>
              <w:spacing w:line="360" w:lineRule="auto"/>
              <w:rPr>
                <w:color w:val="auto"/>
                <w:szCs w:val="21"/>
                <w:highlight w:val="none"/>
              </w:rPr>
            </w:pPr>
            <w:r>
              <w:rPr>
                <w:color w:val="auto"/>
                <w:szCs w:val="21"/>
                <w:highlight w:val="none"/>
              </w:rPr>
              <w:t>电子邮箱：</w:t>
            </w:r>
          </w:p>
        </w:tc>
        <w:tc>
          <w:tcPr>
            <w:tcW w:w="4517" w:type="dxa"/>
            <w:vAlign w:val="center"/>
          </w:tcPr>
          <w:p>
            <w:pPr>
              <w:spacing w:line="360" w:lineRule="auto"/>
              <w:jc w:val="left"/>
              <w:rPr>
                <w:color w:val="auto"/>
                <w:szCs w:val="21"/>
                <w:highlight w:val="none"/>
              </w:rPr>
            </w:pPr>
            <w:r>
              <w:rPr>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trPr>
        <w:tc>
          <w:tcPr>
            <w:tcW w:w="4516" w:type="dxa"/>
            <w:vAlign w:val="center"/>
          </w:tcPr>
          <w:p>
            <w:pPr>
              <w:spacing w:line="360" w:lineRule="auto"/>
              <w:rPr>
                <w:color w:val="auto"/>
                <w:szCs w:val="21"/>
                <w:highlight w:val="none"/>
              </w:rPr>
            </w:pPr>
            <w:r>
              <w:rPr>
                <w:color w:val="auto"/>
                <w:szCs w:val="21"/>
                <w:highlight w:val="none"/>
              </w:rPr>
              <w:t>开户银行：</w:t>
            </w:r>
          </w:p>
          <w:p>
            <w:pPr>
              <w:spacing w:line="360" w:lineRule="auto"/>
              <w:rPr>
                <w:color w:val="auto"/>
                <w:szCs w:val="21"/>
                <w:highlight w:val="none"/>
                <w:u w:val="single"/>
              </w:rPr>
            </w:pPr>
          </w:p>
        </w:tc>
        <w:tc>
          <w:tcPr>
            <w:tcW w:w="4517" w:type="dxa"/>
            <w:vAlign w:val="center"/>
          </w:tcPr>
          <w:p>
            <w:pPr>
              <w:spacing w:line="360" w:lineRule="auto"/>
              <w:jc w:val="left"/>
              <w:rPr>
                <w:color w:val="auto"/>
                <w:szCs w:val="21"/>
                <w:highlight w:val="none"/>
              </w:rPr>
            </w:pPr>
            <w:r>
              <w:rPr>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4516" w:type="dxa"/>
            <w:vAlign w:val="center"/>
          </w:tcPr>
          <w:p>
            <w:pPr>
              <w:spacing w:line="360" w:lineRule="auto"/>
              <w:rPr>
                <w:color w:val="auto"/>
                <w:szCs w:val="21"/>
                <w:highlight w:val="none"/>
              </w:rPr>
            </w:pPr>
            <w:r>
              <w:rPr>
                <w:color w:val="auto"/>
                <w:szCs w:val="21"/>
                <w:highlight w:val="none"/>
              </w:rPr>
              <w:t>账号：</w:t>
            </w:r>
          </w:p>
        </w:tc>
        <w:tc>
          <w:tcPr>
            <w:tcW w:w="4517" w:type="dxa"/>
            <w:vAlign w:val="center"/>
          </w:tcPr>
          <w:p>
            <w:pPr>
              <w:spacing w:line="360" w:lineRule="auto"/>
              <w:jc w:val="left"/>
              <w:rPr>
                <w:color w:val="auto"/>
                <w:szCs w:val="21"/>
                <w:highlight w:val="none"/>
              </w:rPr>
            </w:pPr>
            <w:r>
              <w:rPr>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4516" w:type="dxa"/>
            <w:vAlign w:val="center"/>
          </w:tcPr>
          <w:p>
            <w:pPr>
              <w:spacing w:line="360" w:lineRule="auto"/>
              <w:rPr>
                <w:color w:val="auto"/>
                <w:szCs w:val="21"/>
                <w:highlight w:val="none"/>
              </w:rPr>
            </w:pPr>
            <w:r>
              <w:rPr>
                <w:color w:val="auto"/>
                <w:szCs w:val="21"/>
                <w:highlight w:val="none"/>
              </w:rPr>
              <w:t>邮政编码：</w:t>
            </w:r>
          </w:p>
        </w:tc>
        <w:tc>
          <w:tcPr>
            <w:tcW w:w="4517" w:type="dxa"/>
            <w:vAlign w:val="center"/>
          </w:tcPr>
          <w:p>
            <w:pPr>
              <w:spacing w:line="360" w:lineRule="auto"/>
              <w:jc w:val="left"/>
              <w:rPr>
                <w:color w:val="auto"/>
                <w:szCs w:val="21"/>
                <w:highlight w:val="none"/>
              </w:rPr>
            </w:pPr>
            <w:r>
              <w:rPr>
                <w:color w:val="auto"/>
                <w:szCs w:val="21"/>
                <w:highlight w:val="none"/>
              </w:rPr>
              <w:t>邮政编码：</w:t>
            </w:r>
          </w:p>
        </w:tc>
      </w:tr>
    </w:tbl>
    <w:p>
      <w:pPr>
        <w:pStyle w:val="12"/>
        <w:adjustRightInd w:val="0"/>
        <w:snapToGrid w:val="0"/>
        <w:spacing w:line="360" w:lineRule="auto"/>
        <w:ind w:firstLine="767"/>
        <w:rPr>
          <w:rFonts w:cs="仿宋"/>
          <w:color w:val="auto"/>
          <w:highlight w:val="none"/>
        </w:rPr>
      </w:pPr>
    </w:p>
    <w:p>
      <w:pPr>
        <w:pStyle w:val="12"/>
        <w:adjustRightInd w:val="0"/>
        <w:snapToGrid w:val="0"/>
        <w:spacing w:before="120" w:after="120" w:line="360" w:lineRule="auto"/>
        <w:ind w:firstLine="767"/>
        <w:rPr>
          <w:rFonts w:cs="仿宋"/>
          <w:color w:val="auto"/>
          <w:sz w:val="24"/>
          <w:highlight w:val="none"/>
        </w:rPr>
      </w:pP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宋体"/>
    <w:panose1 w:val="00000000000000000000"/>
    <w:charset w:val="00"/>
    <w:family w:val="swiss"/>
    <w:pitch w:val="default"/>
    <w:sig w:usb0="00000000" w:usb1="00000000" w:usb2="00000028" w:usb3="00000000" w:csb0="0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b/>
      </w:rPr>
      <w:fldChar w:fldCharType="begin"/>
    </w:r>
    <w:r>
      <w:rPr>
        <w:b/>
      </w:rPr>
      <w:instrText xml:space="preserve">PAGE  \* Arabic  \* MERGEFORMAT</w:instrText>
    </w:r>
    <w:r>
      <w:rPr>
        <w:b/>
      </w:rPr>
      <w:fldChar w:fldCharType="separate"/>
    </w:r>
    <w:r>
      <w:rPr>
        <w:b/>
        <w:lang w:val="zh-CN"/>
      </w:rPr>
      <w:t>24</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25</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2年招标文件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3870E"/>
    <w:multiLevelType w:val="multilevel"/>
    <w:tmpl w:val="6343870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mMTlkYWQ1MDQxY2M5NTRlNzE5NDZkZmRiZWE0ZjEifQ=="/>
  </w:docVars>
  <w:rsids>
    <w:rsidRoot w:val="00201076"/>
    <w:rsid w:val="0000144D"/>
    <w:rsid w:val="00002B2D"/>
    <w:rsid w:val="00003305"/>
    <w:rsid w:val="00003606"/>
    <w:rsid w:val="000054CA"/>
    <w:rsid w:val="0000571D"/>
    <w:rsid w:val="00022B05"/>
    <w:rsid w:val="00023D12"/>
    <w:rsid w:val="00026E76"/>
    <w:rsid w:val="00027312"/>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4303"/>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46"/>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5B08"/>
    <w:rsid w:val="00106DC3"/>
    <w:rsid w:val="00107357"/>
    <w:rsid w:val="00107759"/>
    <w:rsid w:val="001105C0"/>
    <w:rsid w:val="00110C58"/>
    <w:rsid w:val="00111060"/>
    <w:rsid w:val="00111577"/>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1B93"/>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3ECF"/>
    <w:rsid w:val="002144B5"/>
    <w:rsid w:val="00214EF4"/>
    <w:rsid w:val="00217A6D"/>
    <w:rsid w:val="00221DE6"/>
    <w:rsid w:val="002228CD"/>
    <w:rsid w:val="002238C0"/>
    <w:rsid w:val="0022420E"/>
    <w:rsid w:val="00225151"/>
    <w:rsid w:val="00225AFD"/>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2A3"/>
    <w:rsid w:val="00271C38"/>
    <w:rsid w:val="00281343"/>
    <w:rsid w:val="0028272C"/>
    <w:rsid w:val="002832EA"/>
    <w:rsid w:val="002838CB"/>
    <w:rsid w:val="00283C8F"/>
    <w:rsid w:val="00285A3E"/>
    <w:rsid w:val="002868F2"/>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8D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2D2D"/>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92E"/>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595A"/>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3D9"/>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1553"/>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128C"/>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C5EBF"/>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340D"/>
    <w:rsid w:val="00646947"/>
    <w:rsid w:val="00650D24"/>
    <w:rsid w:val="006519C1"/>
    <w:rsid w:val="006526AB"/>
    <w:rsid w:val="0065591F"/>
    <w:rsid w:val="0065630D"/>
    <w:rsid w:val="0066030C"/>
    <w:rsid w:val="0066287E"/>
    <w:rsid w:val="00662ACF"/>
    <w:rsid w:val="006634D8"/>
    <w:rsid w:val="00665444"/>
    <w:rsid w:val="0066661E"/>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E2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53"/>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1F1"/>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22EE"/>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3A14"/>
    <w:rsid w:val="007449D5"/>
    <w:rsid w:val="00745E15"/>
    <w:rsid w:val="007475EE"/>
    <w:rsid w:val="007478D2"/>
    <w:rsid w:val="00750F8A"/>
    <w:rsid w:val="00751019"/>
    <w:rsid w:val="007559EB"/>
    <w:rsid w:val="00757520"/>
    <w:rsid w:val="007577E7"/>
    <w:rsid w:val="00757A75"/>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B7382"/>
    <w:rsid w:val="007C1C1A"/>
    <w:rsid w:val="007C1EAE"/>
    <w:rsid w:val="007C2E80"/>
    <w:rsid w:val="007C3DF3"/>
    <w:rsid w:val="007C47D1"/>
    <w:rsid w:val="007C5873"/>
    <w:rsid w:val="007C5CBD"/>
    <w:rsid w:val="007C671F"/>
    <w:rsid w:val="007C6FAB"/>
    <w:rsid w:val="007C7398"/>
    <w:rsid w:val="007C76B7"/>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2BAE"/>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84EF5"/>
    <w:rsid w:val="008863F6"/>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003"/>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1967"/>
    <w:rsid w:val="008F27E6"/>
    <w:rsid w:val="008F3832"/>
    <w:rsid w:val="008F3E40"/>
    <w:rsid w:val="008F5028"/>
    <w:rsid w:val="008F5C5E"/>
    <w:rsid w:val="008F69C7"/>
    <w:rsid w:val="008F6A7C"/>
    <w:rsid w:val="008F6BF4"/>
    <w:rsid w:val="00903200"/>
    <w:rsid w:val="00903978"/>
    <w:rsid w:val="00903B9A"/>
    <w:rsid w:val="00903E7B"/>
    <w:rsid w:val="009048A7"/>
    <w:rsid w:val="00904C79"/>
    <w:rsid w:val="00905847"/>
    <w:rsid w:val="00906F0C"/>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1DE6"/>
    <w:rsid w:val="00963E09"/>
    <w:rsid w:val="00966797"/>
    <w:rsid w:val="00967F78"/>
    <w:rsid w:val="00970C17"/>
    <w:rsid w:val="00971732"/>
    <w:rsid w:val="00972A26"/>
    <w:rsid w:val="0097627C"/>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5326"/>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5E24"/>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051B"/>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060"/>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6C85"/>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87B"/>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1BDE"/>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A7EEA"/>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45D0"/>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24F"/>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157"/>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4BCF"/>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37E23"/>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8204A8"/>
    <w:rsid w:val="01F86CD9"/>
    <w:rsid w:val="036159EE"/>
    <w:rsid w:val="03664F47"/>
    <w:rsid w:val="05B253F0"/>
    <w:rsid w:val="05B517B2"/>
    <w:rsid w:val="0666393D"/>
    <w:rsid w:val="078D73D6"/>
    <w:rsid w:val="07D33D16"/>
    <w:rsid w:val="083A505A"/>
    <w:rsid w:val="09637941"/>
    <w:rsid w:val="0B0E4EF0"/>
    <w:rsid w:val="0B675B31"/>
    <w:rsid w:val="0BDF51D7"/>
    <w:rsid w:val="0C3615C8"/>
    <w:rsid w:val="0C4861BD"/>
    <w:rsid w:val="0C7E7AA1"/>
    <w:rsid w:val="0CFE3A2E"/>
    <w:rsid w:val="0D336E17"/>
    <w:rsid w:val="0D512134"/>
    <w:rsid w:val="0D873213"/>
    <w:rsid w:val="0D9425DE"/>
    <w:rsid w:val="0D99361C"/>
    <w:rsid w:val="10030D22"/>
    <w:rsid w:val="104C5CB9"/>
    <w:rsid w:val="107D340A"/>
    <w:rsid w:val="10EB4170"/>
    <w:rsid w:val="10F05838"/>
    <w:rsid w:val="113C24CA"/>
    <w:rsid w:val="119D0D41"/>
    <w:rsid w:val="11D57EAE"/>
    <w:rsid w:val="12162C3B"/>
    <w:rsid w:val="121A19A4"/>
    <w:rsid w:val="130F1D58"/>
    <w:rsid w:val="145263CB"/>
    <w:rsid w:val="146723C1"/>
    <w:rsid w:val="14896182"/>
    <w:rsid w:val="155010AB"/>
    <w:rsid w:val="15572C10"/>
    <w:rsid w:val="15737A45"/>
    <w:rsid w:val="1584594C"/>
    <w:rsid w:val="15871B74"/>
    <w:rsid w:val="15907301"/>
    <w:rsid w:val="15A069B5"/>
    <w:rsid w:val="15A90346"/>
    <w:rsid w:val="15B24E31"/>
    <w:rsid w:val="16AA09BD"/>
    <w:rsid w:val="17652C65"/>
    <w:rsid w:val="17833DE3"/>
    <w:rsid w:val="19775424"/>
    <w:rsid w:val="1A241EC0"/>
    <w:rsid w:val="1AE96A89"/>
    <w:rsid w:val="1C121D57"/>
    <w:rsid w:val="1C4A137C"/>
    <w:rsid w:val="1C8F1DE9"/>
    <w:rsid w:val="1DA871CA"/>
    <w:rsid w:val="1E69597A"/>
    <w:rsid w:val="1F11313D"/>
    <w:rsid w:val="1F8F1E16"/>
    <w:rsid w:val="1F956998"/>
    <w:rsid w:val="1FA31BDA"/>
    <w:rsid w:val="20DC5C02"/>
    <w:rsid w:val="20DE7ECC"/>
    <w:rsid w:val="20FE711F"/>
    <w:rsid w:val="21130FE1"/>
    <w:rsid w:val="21241474"/>
    <w:rsid w:val="21A70E96"/>
    <w:rsid w:val="225E4DAF"/>
    <w:rsid w:val="22891E2D"/>
    <w:rsid w:val="22A743B8"/>
    <w:rsid w:val="22D33607"/>
    <w:rsid w:val="23FD2509"/>
    <w:rsid w:val="243943F8"/>
    <w:rsid w:val="24E05430"/>
    <w:rsid w:val="267A7579"/>
    <w:rsid w:val="26A5722A"/>
    <w:rsid w:val="272231F7"/>
    <w:rsid w:val="27961F1E"/>
    <w:rsid w:val="27AD7C03"/>
    <w:rsid w:val="28C46277"/>
    <w:rsid w:val="29062B05"/>
    <w:rsid w:val="29127A38"/>
    <w:rsid w:val="2A467945"/>
    <w:rsid w:val="2AAA7342"/>
    <w:rsid w:val="2AB43BC5"/>
    <w:rsid w:val="2B556F15"/>
    <w:rsid w:val="2B7F4BC3"/>
    <w:rsid w:val="2C2E6CCF"/>
    <w:rsid w:val="2CE81BAF"/>
    <w:rsid w:val="2D585846"/>
    <w:rsid w:val="2DAC05D8"/>
    <w:rsid w:val="2DE728EA"/>
    <w:rsid w:val="2E726843"/>
    <w:rsid w:val="2EDC02FF"/>
    <w:rsid w:val="2EE87C86"/>
    <w:rsid w:val="2EEC5388"/>
    <w:rsid w:val="2F2B3847"/>
    <w:rsid w:val="2F744DEF"/>
    <w:rsid w:val="306D5BCA"/>
    <w:rsid w:val="31532E79"/>
    <w:rsid w:val="3172033E"/>
    <w:rsid w:val="3227588C"/>
    <w:rsid w:val="325F6558"/>
    <w:rsid w:val="331653E5"/>
    <w:rsid w:val="341C30A3"/>
    <w:rsid w:val="351529A9"/>
    <w:rsid w:val="355A74E9"/>
    <w:rsid w:val="35FD1F7A"/>
    <w:rsid w:val="36616918"/>
    <w:rsid w:val="366D672C"/>
    <w:rsid w:val="3676129B"/>
    <w:rsid w:val="36E3150F"/>
    <w:rsid w:val="372D7109"/>
    <w:rsid w:val="3836614A"/>
    <w:rsid w:val="384A4707"/>
    <w:rsid w:val="385D644E"/>
    <w:rsid w:val="38F33167"/>
    <w:rsid w:val="39C83C69"/>
    <w:rsid w:val="39CE5E1D"/>
    <w:rsid w:val="3A6F45CA"/>
    <w:rsid w:val="3A9701E9"/>
    <w:rsid w:val="3B4244C5"/>
    <w:rsid w:val="3C003247"/>
    <w:rsid w:val="3C8E6F2D"/>
    <w:rsid w:val="3D6145DC"/>
    <w:rsid w:val="3E495BEB"/>
    <w:rsid w:val="3E5E0082"/>
    <w:rsid w:val="3EDB4EA4"/>
    <w:rsid w:val="3EEA69EE"/>
    <w:rsid w:val="3F9F3463"/>
    <w:rsid w:val="3FC31914"/>
    <w:rsid w:val="405D6728"/>
    <w:rsid w:val="40FD6FDA"/>
    <w:rsid w:val="41110191"/>
    <w:rsid w:val="41273A6E"/>
    <w:rsid w:val="414A37BB"/>
    <w:rsid w:val="41692FEC"/>
    <w:rsid w:val="41B45A04"/>
    <w:rsid w:val="42643A73"/>
    <w:rsid w:val="429F3390"/>
    <w:rsid w:val="42AA1012"/>
    <w:rsid w:val="43FB66E3"/>
    <w:rsid w:val="44DC7F4B"/>
    <w:rsid w:val="45651876"/>
    <w:rsid w:val="45CC523B"/>
    <w:rsid w:val="466F6CEB"/>
    <w:rsid w:val="46AA377D"/>
    <w:rsid w:val="49363676"/>
    <w:rsid w:val="49713AA7"/>
    <w:rsid w:val="499A2688"/>
    <w:rsid w:val="49D47D5A"/>
    <w:rsid w:val="49F62026"/>
    <w:rsid w:val="4A4B48E3"/>
    <w:rsid w:val="4B1A7369"/>
    <w:rsid w:val="4B5137BF"/>
    <w:rsid w:val="4D5F3329"/>
    <w:rsid w:val="4D774E55"/>
    <w:rsid w:val="4DA86B45"/>
    <w:rsid w:val="4E3720DD"/>
    <w:rsid w:val="4EAC6BB4"/>
    <w:rsid w:val="4F510F39"/>
    <w:rsid w:val="4FAF38AA"/>
    <w:rsid w:val="51011569"/>
    <w:rsid w:val="51497070"/>
    <w:rsid w:val="51E025FE"/>
    <w:rsid w:val="52922F88"/>
    <w:rsid w:val="52AA4A52"/>
    <w:rsid w:val="52FD675A"/>
    <w:rsid w:val="532B7AD5"/>
    <w:rsid w:val="53526AF2"/>
    <w:rsid w:val="53D80FA7"/>
    <w:rsid w:val="542D758B"/>
    <w:rsid w:val="5448002A"/>
    <w:rsid w:val="5473349C"/>
    <w:rsid w:val="549E05E7"/>
    <w:rsid w:val="54A3797A"/>
    <w:rsid w:val="54B6223B"/>
    <w:rsid w:val="54E15A0F"/>
    <w:rsid w:val="55344B23"/>
    <w:rsid w:val="562E512A"/>
    <w:rsid w:val="56732DC5"/>
    <w:rsid w:val="56C21B98"/>
    <w:rsid w:val="57360F05"/>
    <w:rsid w:val="581F495D"/>
    <w:rsid w:val="58484116"/>
    <w:rsid w:val="588F1169"/>
    <w:rsid w:val="58DA78C0"/>
    <w:rsid w:val="58E017CC"/>
    <w:rsid w:val="594C6863"/>
    <w:rsid w:val="598446EC"/>
    <w:rsid w:val="59F4590F"/>
    <w:rsid w:val="5A770570"/>
    <w:rsid w:val="5AC859BF"/>
    <w:rsid w:val="5B4C17F1"/>
    <w:rsid w:val="5BCA1CC1"/>
    <w:rsid w:val="5C0F2072"/>
    <w:rsid w:val="5CFC1D50"/>
    <w:rsid w:val="5E6C25B6"/>
    <w:rsid w:val="5E84123F"/>
    <w:rsid w:val="5F0028BB"/>
    <w:rsid w:val="5F2528F6"/>
    <w:rsid w:val="5F9764C2"/>
    <w:rsid w:val="603300A7"/>
    <w:rsid w:val="607E0927"/>
    <w:rsid w:val="60D968DA"/>
    <w:rsid w:val="60F41422"/>
    <w:rsid w:val="619D5BCC"/>
    <w:rsid w:val="61D33667"/>
    <w:rsid w:val="62107539"/>
    <w:rsid w:val="6233128F"/>
    <w:rsid w:val="62635DDC"/>
    <w:rsid w:val="62FE3555"/>
    <w:rsid w:val="63D7368B"/>
    <w:rsid w:val="63EA24F1"/>
    <w:rsid w:val="657A0549"/>
    <w:rsid w:val="665A104A"/>
    <w:rsid w:val="66965A28"/>
    <w:rsid w:val="66ED444E"/>
    <w:rsid w:val="67484273"/>
    <w:rsid w:val="68A603CF"/>
    <w:rsid w:val="692D28FB"/>
    <w:rsid w:val="69D32689"/>
    <w:rsid w:val="69E27B06"/>
    <w:rsid w:val="69EA623B"/>
    <w:rsid w:val="6A0F3694"/>
    <w:rsid w:val="6A5445FC"/>
    <w:rsid w:val="6A5C1E75"/>
    <w:rsid w:val="6AB76CFB"/>
    <w:rsid w:val="6ABA08C1"/>
    <w:rsid w:val="6B4E3809"/>
    <w:rsid w:val="6BC1702A"/>
    <w:rsid w:val="6C282248"/>
    <w:rsid w:val="6CBD55AC"/>
    <w:rsid w:val="6DE636A7"/>
    <w:rsid w:val="6DE86594"/>
    <w:rsid w:val="6E5C2511"/>
    <w:rsid w:val="6F5C4ECE"/>
    <w:rsid w:val="718764FD"/>
    <w:rsid w:val="71E20941"/>
    <w:rsid w:val="725831A5"/>
    <w:rsid w:val="73607DE9"/>
    <w:rsid w:val="73711235"/>
    <w:rsid w:val="746F7775"/>
    <w:rsid w:val="753E278B"/>
    <w:rsid w:val="75BE6EB5"/>
    <w:rsid w:val="7815375E"/>
    <w:rsid w:val="790D6252"/>
    <w:rsid w:val="7AE40810"/>
    <w:rsid w:val="7B0749C7"/>
    <w:rsid w:val="7BBB6C68"/>
    <w:rsid w:val="7C574749"/>
    <w:rsid w:val="7C8E2CF6"/>
    <w:rsid w:val="7C967B8B"/>
    <w:rsid w:val="7CD015B7"/>
    <w:rsid w:val="7E4931C0"/>
    <w:rsid w:val="7E7248EE"/>
    <w:rsid w:val="7EEF6C2A"/>
    <w:rsid w:val="7F074C20"/>
    <w:rsid w:val="7F363A3A"/>
    <w:rsid w:val="7F8968A6"/>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55"/>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4"/>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9"/>
    <w:qFormat/>
    <w:locked/>
    <w:uiPriority w:val="0"/>
    <w:pPr>
      <w:ind w:firstLine="420"/>
    </w:pPr>
  </w:style>
  <w:style w:type="paragraph" w:styleId="7">
    <w:name w:val="annotation text"/>
    <w:basedOn w:val="1"/>
    <w:link w:val="27"/>
    <w:qFormat/>
    <w:uiPriority w:val="99"/>
    <w:pPr>
      <w:jc w:val="left"/>
    </w:pPr>
    <w:rPr>
      <w:sz w:val="24"/>
      <w:szCs w:val="20"/>
    </w:rPr>
  </w:style>
  <w:style w:type="paragraph" w:styleId="8">
    <w:name w:val="Body Text"/>
    <w:basedOn w:val="1"/>
    <w:link w:val="45"/>
    <w:unhideWhenUsed/>
    <w:qFormat/>
    <w:locked/>
    <w:uiPriority w:val="99"/>
    <w:pPr>
      <w:spacing w:after="120"/>
    </w:pPr>
  </w:style>
  <w:style w:type="paragraph" w:styleId="9">
    <w:name w:val="Body Text Indent"/>
    <w:basedOn w:val="1"/>
    <w:link w:val="28"/>
    <w:qFormat/>
    <w:uiPriority w:val="99"/>
    <w:pPr>
      <w:ind w:firstLine="575" w:firstLineChars="274"/>
    </w:pPr>
    <w:rPr>
      <w:rFonts w:ascii="等线" w:eastAsia="等线"/>
      <w:sz w:val="22"/>
      <w:szCs w:val="20"/>
    </w:rPr>
  </w:style>
  <w:style w:type="paragraph" w:styleId="10">
    <w:name w:val="Block Text"/>
    <w:basedOn w:val="1"/>
    <w:unhideWhenUsed/>
    <w:qFormat/>
    <w:locked/>
    <w:uiPriority w:val="99"/>
    <w:pPr>
      <w:spacing w:after="120"/>
      <w:ind w:left="1440" w:leftChars="700" w:right="1440" w:rightChars="700"/>
    </w:pPr>
  </w:style>
  <w:style w:type="paragraph" w:styleId="11">
    <w:name w:val="index 4"/>
    <w:basedOn w:val="1"/>
    <w:next w:val="1"/>
    <w:qFormat/>
    <w:uiPriority w:val="99"/>
    <w:pPr>
      <w:ind w:left="600" w:leftChars="600"/>
    </w:pPr>
    <w:rPr>
      <w:rFonts w:ascii="Verdana" w:hAnsi="Verdana"/>
    </w:rPr>
  </w:style>
  <w:style w:type="paragraph" w:styleId="12">
    <w:name w:val="Plain Text"/>
    <w:basedOn w:val="1"/>
    <w:link w:val="29"/>
    <w:qFormat/>
    <w:uiPriority w:val="0"/>
    <w:rPr>
      <w:rFonts w:ascii="宋体" w:hAnsi="Courier New"/>
      <w:szCs w:val="20"/>
    </w:rPr>
  </w:style>
  <w:style w:type="paragraph" w:styleId="13">
    <w:name w:val="Date"/>
    <w:basedOn w:val="1"/>
    <w:next w:val="1"/>
    <w:link w:val="30"/>
    <w:qFormat/>
    <w:uiPriority w:val="99"/>
    <w:pPr>
      <w:ind w:left="100" w:leftChars="2500"/>
    </w:pPr>
    <w:rPr>
      <w:sz w:val="24"/>
      <w:szCs w:val="20"/>
    </w:rPr>
  </w:style>
  <w:style w:type="paragraph" w:styleId="14">
    <w:name w:val="Balloon Text"/>
    <w:basedOn w:val="1"/>
    <w:link w:val="58"/>
    <w:semiHidden/>
    <w:unhideWhenUsed/>
    <w:qFormat/>
    <w:uiPriority w:val="99"/>
    <w:rPr>
      <w:sz w:val="18"/>
      <w:szCs w:val="18"/>
    </w:rPr>
  </w:style>
  <w:style w:type="paragraph" w:styleId="15">
    <w:name w:val="footer"/>
    <w:basedOn w:val="1"/>
    <w:link w:val="31"/>
    <w:qFormat/>
    <w:uiPriority w:val="99"/>
    <w:pPr>
      <w:tabs>
        <w:tab w:val="center" w:pos="4153"/>
        <w:tab w:val="right" w:pos="8306"/>
      </w:tabs>
      <w:snapToGrid w:val="0"/>
      <w:jc w:val="left"/>
    </w:pPr>
    <w:rPr>
      <w:kern w:val="0"/>
      <w:sz w:val="18"/>
      <w:szCs w:val="18"/>
    </w:rPr>
  </w:style>
  <w:style w:type="paragraph" w:styleId="16">
    <w:name w:val="header"/>
    <w:basedOn w:val="1"/>
    <w:link w:val="32"/>
    <w:qFormat/>
    <w:uiPriority w:val="99"/>
    <w:pPr>
      <w:pBdr>
        <w:bottom w:val="single" w:color="auto" w:sz="6" w:space="1"/>
      </w:pBdr>
      <w:tabs>
        <w:tab w:val="center" w:pos="4153"/>
        <w:tab w:val="right" w:pos="8306"/>
      </w:tabs>
      <w:snapToGrid w:val="0"/>
      <w:jc w:val="center"/>
    </w:pPr>
    <w:rPr>
      <w:sz w:val="18"/>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link w:val="57"/>
    <w:qFormat/>
    <w:uiPriority w:val="0"/>
    <w:pPr>
      <w:spacing w:before="240" w:after="60"/>
      <w:jc w:val="center"/>
      <w:outlineLvl w:val="0"/>
    </w:pPr>
    <w:rPr>
      <w:rFonts w:asciiTheme="majorHAnsi" w:hAnsiTheme="majorHAnsi" w:eastAsiaTheme="majorEastAsia" w:cstheme="majorBidi"/>
      <w:b/>
      <w:bCs/>
      <w:sz w:val="32"/>
      <w:szCs w:val="32"/>
    </w:rPr>
  </w:style>
  <w:style w:type="paragraph" w:styleId="19">
    <w:name w:val="annotation subject"/>
    <w:basedOn w:val="7"/>
    <w:next w:val="7"/>
    <w:link w:val="33"/>
    <w:qFormat/>
    <w:uiPriority w:val="99"/>
    <w:rPr>
      <w:b/>
    </w:r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locked/>
    <w:uiPriority w:val="0"/>
  </w:style>
  <w:style w:type="character" w:styleId="24">
    <w:name w:val="Hyperlink"/>
    <w:qFormat/>
    <w:uiPriority w:val="99"/>
    <w:rPr>
      <w:rFonts w:cs="Times New Roman"/>
      <w:color w:val="0563C1"/>
      <w:u w:val="single"/>
    </w:rPr>
  </w:style>
  <w:style w:type="character" w:styleId="25">
    <w:name w:val="annotation reference"/>
    <w:basedOn w:val="22"/>
    <w:qFormat/>
    <w:uiPriority w:val="99"/>
    <w:rPr>
      <w:rFonts w:cs="Times New Roman"/>
      <w:sz w:val="21"/>
    </w:rPr>
  </w:style>
  <w:style w:type="character" w:customStyle="1" w:styleId="26">
    <w:name w:val="标题 1 字符"/>
    <w:link w:val="3"/>
    <w:qFormat/>
    <w:locked/>
    <w:uiPriority w:val="99"/>
    <w:rPr>
      <w:rFonts w:cs="Times New Roman"/>
      <w:b/>
      <w:kern w:val="44"/>
      <w:sz w:val="44"/>
    </w:rPr>
  </w:style>
  <w:style w:type="character" w:customStyle="1" w:styleId="27">
    <w:name w:val="批注文字 字符"/>
    <w:link w:val="7"/>
    <w:qFormat/>
    <w:locked/>
    <w:uiPriority w:val="99"/>
    <w:rPr>
      <w:rFonts w:cs="Times New Roman"/>
      <w:kern w:val="2"/>
      <w:sz w:val="24"/>
    </w:rPr>
  </w:style>
  <w:style w:type="character" w:customStyle="1" w:styleId="28">
    <w:name w:val="正文文本缩进 字符"/>
    <w:link w:val="9"/>
    <w:qFormat/>
    <w:locked/>
    <w:uiPriority w:val="99"/>
    <w:rPr>
      <w:rFonts w:ascii="等线" w:eastAsia="等线" w:cs="Times New Roman"/>
      <w:kern w:val="2"/>
      <w:sz w:val="22"/>
    </w:rPr>
  </w:style>
  <w:style w:type="character" w:customStyle="1" w:styleId="29">
    <w:name w:val="纯文本 字符"/>
    <w:link w:val="12"/>
    <w:qFormat/>
    <w:locked/>
    <w:uiPriority w:val="0"/>
    <w:rPr>
      <w:rFonts w:ascii="宋体" w:hAnsi="Courier New" w:cs="Times New Roman"/>
      <w:kern w:val="2"/>
      <w:sz w:val="21"/>
    </w:rPr>
  </w:style>
  <w:style w:type="character" w:customStyle="1" w:styleId="30">
    <w:name w:val="日期 字符"/>
    <w:link w:val="13"/>
    <w:qFormat/>
    <w:locked/>
    <w:uiPriority w:val="99"/>
    <w:rPr>
      <w:rFonts w:cs="Times New Roman"/>
      <w:kern w:val="2"/>
      <w:sz w:val="24"/>
    </w:rPr>
  </w:style>
  <w:style w:type="character" w:customStyle="1" w:styleId="31">
    <w:name w:val="页脚 字符"/>
    <w:link w:val="15"/>
    <w:semiHidden/>
    <w:qFormat/>
    <w:locked/>
    <w:uiPriority w:val="99"/>
    <w:rPr>
      <w:rFonts w:cs="Times New Roman"/>
      <w:sz w:val="18"/>
      <w:szCs w:val="18"/>
    </w:rPr>
  </w:style>
  <w:style w:type="character" w:customStyle="1" w:styleId="32">
    <w:name w:val="页眉 字符"/>
    <w:link w:val="16"/>
    <w:qFormat/>
    <w:locked/>
    <w:uiPriority w:val="99"/>
    <w:rPr>
      <w:rFonts w:cs="Times New Roman"/>
      <w:kern w:val="2"/>
      <w:sz w:val="18"/>
    </w:rPr>
  </w:style>
  <w:style w:type="character" w:customStyle="1" w:styleId="33">
    <w:name w:val="批注主题 字符"/>
    <w:link w:val="19"/>
    <w:qFormat/>
    <w:locked/>
    <w:uiPriority w:val="99"/>
    <w:rPr>
      <w:rFonts w:cs="Times New Roman"/>
      <w:b/>
      <w:kern w:val="2"/>
      <w:sz w:val="24"/>
    </w:rPr>
  </w:style>
  <w:style w:type="paragraph" w:customStyle="1" w:styleId="34">
    <w:name w:val="Char"/>
    <w:basedOn w:val="1"/>
    <w:qFormat/>
    <w:uiPriority w:val="99"/>
    <w:pPr>
      <w:tabs>
        <w:tab w:val="left" w:pos="360"/>
      </w:tabs>
    </w:pPr>
    <w:rPr>
      <w:sz w:val="24"/>
    </w:rPr>
  </w:style>
  <w:style w:type="character" w:customStyle="1" w:styleId="35">
    <w:name w:val="列出段落 字符"/>
    <w:link w:val="36"/>
    <w:qFormat/>
    <w:locked/>
    <w:uiPriority w:val="0"/>
  </w:style>
  <w:style w:type="paragraph" w:styleId="36">
    <w:name w:val="List Paragraph"/>
    <w:basedOn w:val="1"/>
    <w:link w:val="35"/>
    <w:qFormat/>
    <w:uiPriority w:val="34"/>
    <w:pPr>
      <w:widowControl/>
      <w:ind w:firstLine="420" w:firstLineChars="200"/>
      <w:jc w:val="left"/>
    </w:pPr>
    <w:rPr>
      <w:kern w:val="0"/>
      <w:sz w:val="20"/>
      <w:szCs w:val="20"/>
    </w:rPr>
  </w:style>
  <w:style w:type="table" w:customStyle="1" w:styleId="37">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laceholder Text"/>
    <w:semiHidden/>
    <w:qFormat/>
    <w:uiPriority w:val="99"/>
    <w:rPr>
      <w:rFonts w:cs="Times New Roman"/>
      <w:color w:val="808080"/>
    </w:rPr>
  </w:style>
  <w:style w:type="paragraph" w:customStyle="1" w:styleId="39">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0">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1">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
    <w:name w:val="列出段落2"/>
    <w:basedOn w:val="1"/>
    <w:qFormat/>
    <w:uiPriority w:val="99"/>
    <w:pPr>
      <w:ind w:firstLine="420" w:firstLineChars="200"/>
    </w:pPr>
    <w:rPr>
      <w:rFonts w:ascii="Calibri" w:hAnsi="Calibri"/>
      <w:szCs w:val="22"/>
    </w:rPr>
  </w:style>
  <w:style w:type="character" w:customStyle="1" w:styleId="43">
    <w:name w:val="标题 2 Char Char Char"/>
    <w:qFormat/>
    <w:uiPriority w:val="99"/>
    <w:rPr>
      <w:rFonts w:ascii="Arial" w:hAnsi="Arial" w:eastAsia="黑体"/>
      <w:b/>
      <w:kern w:val="2"/>
      <w:sz w:val="32"/>
      <w:lang w:val="en-US" w:eastAsia="zh-CN"/>
    </w:rPr>
  </w:style>
  <w:style w:type="paragraph" w:customStyle="1" w:styleId="44">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5">
    <w:name w:val="正文文本 字符"/>
    <w:link w:val="8"/>
    <w:qFormat/>
    <w:uiPriority w:val="99"/>
    <w:rPr>
      <w:kern w:val="2"/>
      <w:sz w:val="21"/>
      <w:szCs w:val="24"/>
    </w:rPr>
  </w:style>
  <w:style w:type="paragraph" w:customStyle="1" w:styleId="46">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7">
    <w:name w:val="正文2"/>
    <w:basedOn w:val="1"/>
    <w:qFormat/>
    <w:uiPriority w:val="0"/>
    <w:pPr>
      <w:spacing w:before="156" w:line="360" w:lineRule="auto"/>
      <w:ind w:firstLine="510" w:firstLineChars="200"/>
    </w:pPr>
    <w:rPr>
      <w:sz w:val="24"/>
    </w:rPr>
  </w:style>
  <w:style w:type="paragraph" w:customStyle="1" w:styleId="48">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9">
    <w:name w:val="A9"/>
    <w:qFormat/>
    <w:uiPriority w:val="0"/>
    <w:rPr>
      <w:rFonts w:cs="PSFEIH+StoneSans"/>
      <w:color w:val="262424"/>
      <w:sz w:val="20"/>
      <w:szCs w:val="20"/>
    </w:rPr>
  </w:style>
  <w:style w:type="paragraph" w:customStyle="1" w:styleId="50">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1">
    <w:name w:val="A14"/>
    <w:qFormat/>
    <w:uiPriority w:val="99"/>
    <w:rPr>
      <w:rFonts w:cs="Open Sans Light"/>
      <w:color w:val="FFFFFF"/>
      <w:sz w:val="13"/>
      <w:szCs w:val="13"/>
    </w:rPr>
  </w:style>
  <w:style w:type="paragraph" w:customStyle="1" w:styleId="52">
    <w:name w:val="表格文字"/>
    <w:basedOn w:val="1"/>
    <w:next w:val="8"/>
    <w:qFormat/>
    <w:uiPriority w:val="0"/>
    <w:rPr>
      <w:sz w:val="24"/>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4">
    <w:name w:val="标题 4 字符"/>
    <w:basedOn w:val="22"/>
    <w:link w:val="5"/>
    <w:semiHidden/>
    <w:qFormat/>
    <w:uiPriority w:val="0"/>
    <w:rPr>
      <w:rFonts w:asciiTheme="majorHAnsi" w:hAnsiTheme="majorHAnsi" w:eastAsiaTheme="majorEastAsia" w:cstheme="majorBidi"/>
      <w:b/>
      <w:bCs/>
      <w:kern w:val="2"/>
      <w:sz w:val="28"/>
      <w:szCs w:val="28"/>
    </w:rPr>
  </w:style>
  <w:style w:type="character" w:customStyle="1" w:styleId="55">
    <w:name w:val="标题 3 字符"/>
    <w:basedOn w:val="22"/>
    <w:link w:val="4"/>
    <w:semiHidden/>
    <w:qFormat/>
    <w:uiPriority w:val="0"/>
    <w:rPr>
      <w:b/>
      <w:bCs/>
      <w:kern w:val="2"/>
      <w:sz w:val="32"/>
      <w:szCs w:val="32"/>
    </w:rPr>
  </w:style>
  <w:style w:type="paragraph" w:customStyle="1" w:styleId="56">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57">
    <w:name w:val="标题 字符"/>
    <w:basedOn w:val="22"/>
    <w:link w:val="18"/>
    <w:qFormat/>
    <w:uiPriority w:val="0"/>
    <w:rPr>
      <w:rFonts w:asciiTheme="majorHAnsi" w:hAnsiTheme="majorHAnsi" w:eastAsiaTheme="majorEastAsia" w:cstheme="majorBidi"/>
      <w:b/>
      <w:bCs/>
      <w:kern w:val="2"/>
      <w:sz w:val="32"/>
      <w:szCs w:val="32"/>
    </w:rPr>
  </w:style>
  <w:style w:type="character" w:customStyle="1" w:styleId="58">
    <w:name w:val="批注框文本 字符"/>
    <w:basedOn w:val="22"/>
    <w:link w:val="14"/>
    <w:semiHidden/>
    <w:qFormat/>
    <w:uiPriority w:val="99"/>
    <w:rPr>
      <w:kern w:val="2"/>
      <w:sz w:val="18"/>
      <w:szCs w:val="18"/>
    </w:rPr>
  </w:style>
  <w:style w:type="character" w:customStyle="1" w:styleId="59">
    <w:name w:val="正文缩进 字符"/>
    <w:link w:val="6"/>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0259B6-59C0-49EA-B0F1-FC2A8D728CB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14525</Words>
  <Characters>15038</Characters>
  <Lines>114</Lines>
  <Paragraphs>32</Paragraphs>
  <TotalTime>64</TotalTime>
  <ScaleCrop>false</ScaleCrop>
  <LinksUpToDate>false</LinksUpToDate>
  <CharactersWithSpaces>15390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2022-09-15T05:31:00Z</dcterms:created>
  <dc:creator>微软用户</dc:creator>
  <cp:lastModifiedBy>Administrator</cp:lastModifiedBy>
  <cp:lastPrinted>2019-11-22T01:53:00Z</cp:lastPrinted>
  <dcterms:modified xsi:type="dcterms:W3CDTF">2022-10-12T07:46:10Z</dcterms:modified>
  <dc:title>淮海工学院A8-10号楼学生宿舍家具招标书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9D0EC760B7E944E3B385CF7864F3B23A</vt:lpwstr>
  </property>
</Properties>
</file>