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1"/>
      <w:bookmarkStart w:id="1" w:name="OLE_LINK2"/>
      <w:r>
        <w:rPr>
          <w:b/>
          <w:sz w:val="44"/>
          <w:szCs w:val="44"/>
          <w:highlight w:val="none"/>
        </w:rPr>
        <w:t>南京信息工程大学</w:t>
      </w:r>
      <w:bookmarkEnd w:id="0"/>
      <w:bookmarkEnd w:id="1"/>
      <w:r>
        <w:rPr>
          <w:rFonts w:hint="eastAsia" w:eastAsia="宋体"/>
          <w:b/>
          <w:sz w:val="44"/>
          <w:szCs w:val="44"/>
          <w:highlight w:val="none"/>
          <w:lang w:eastAsia="zh-CN"/>
        </w:rPr>
        <w:t>气象科普站</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9"/>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lang w:val="en-US" w:eastAsia="zh-CN"/>
        </w:rPr>
        <w:t xml:space="preserve"> </w:t>
      </w:r>
      <w:r>
        <w:rPr>
          <w:rFonts w:hint="eastAsia" w:ascii="宋体" w:hAnsi="宋体" w:cs="宋体"/>
          <w:sz w:val="28"/>
          <w:szCs w:val="28"/>
          <w:highlight w:val="none"/>
          <w:u w:val="single"/>
        </w:rPr>
        <w:t>JZCG-2021-00148</w:t>
      </w:r>
      <w:r>
        <w:rPr>
          <w:rFonts w:hint="eastAsia" w:ascii="宋体" w:hAnsi="宋体" w:cs="仿宋"/>
          <w:sz w:val="28"/>
          <w:szCs w:val="28"/>
          <w:highlight w:val="none"/>
          <w:u w:val="single"/>
          <w:lang w:val="en-US" w:eastAsia="zh-CN"/>
        </w:rPr>
        <w:t xml:space="preserve"> </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年</w:t>
      </w:r>
      <w:r>
        <w:rPr>
          <w:rFonts w:hint="eastAsia" w:ascii="宋体" w:hAnsi="宋体" w:cs="仿宋"/>
          <w:sz w:val="28"/>
          <w:szCs w:val="28"/>
          <w:highlight w:val="none"/>
          <w:u w:val="single"/>
          <w:lang w:val="en-US" w:eastAsia="zh-CN"/>
        </w:rPr>
        <w:t>11</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12</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15</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lang w:eastAsia="zh-CN"/>
        </w:rPr>
        <w:t>学生工作处</w:t>
      </w:r>
      <w:r>
        <w:rPr>
          <w:rFonts w:ascii="宋体" w:hAnsi="宋体"/>
          <w:sz w:val="28"/>
          <w:szCs w:val="28"/>
          <w:highlight w:val="none"/>
        </w:rPr>
        <w:t>委托，就</w:t>
      </w:r>
      <w:r>
        <w:rPr>
          <w:rFonts w:hint="eastAsia" w:ascii="宋体" w:hAnsi="宋体"/>
          <w:sz w:val="28"/>
          <w:szCs w:val="28"/>
          <w:highlight w:val="none"/>
          <w:lang w:eastAsia="zh-CN"/>
        </w:rPr>
        <w:t>南京信息工程大学气象科普站</w:t>
      </w:r>
      <w:r>
        <w:rPr>
          <w:rFonts w:hint="eastAsia" w:ascii="宋体" w:hAnsi="宋体"/>
          <w:sz w:val="28"/>
          <w:szCs w:val="28"/>
          <w:highlight w:val="none"/>
          <w:lang w:val="en-US" w:eastAsia="zh-CN"/>
        </w:rPr>
        <w:t>采购</w:t>
      </w:r>
      <w:r>
        <w:rPr>
          <w:rFonts w:hint="eastAsia" w:ascii="宋体" w:hAnsi="宋体"/>
          <w:sz w:val="28"/>
          <w:szCs w:val="28"/>
          <w:highlight w:val="none"/>
        </w:rPr>
        <w:t>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43"/>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3"/>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lang w:eastAsia="zh-CN"/>
        </w:rPr>
        <w:t>气象科普站</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cs="仿宋"/>
          <w:sz w:val="28"/>
          <w:szCs w:val="28"/>
          <w:highlight w:val="none"/>
          <w:lang w:eastAsia="zh-CN"/>
        </w:rPr>
        <w:t>根据南京信息工程大学2019年第四次校长办公会要求，为有效针对考生及家长关注焦点，提炼学校特色优势，现继续在优秀生源基地中学推送信大气象科普站。</w:t>
      </w:r>
      <w:r>
        <w:rPr>
          <w:rFonts w:hint="eastAsia" w:ascii="宋体" w:hAnsi="宋体"/>
          <w:sz w:val="28"/>
          <w:szCs w:val="28"/>
          <w:highlight w:val="none"/>
        </w:rPr>
        <w:t>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7"/>
          <w:b/>
          <w:color w:val="auto"/>
          <w:sz w:val="24"/>
          <w:highlight w:val="none"/>
        </w:rPr>
        <w:t>https://bulletin.nuist.edu.cn/779/lis</w:t>
      </w:r>
      <w:r>
        <w:rPr>
          <w:rStyle w:val="27"/>
          <w:color w:val="auto"/>
          <w:sz w:val="24"/>
          <w:highlight w:val="none"/>
        </w:rPr>
        <w:t>t.htm</w:t>
      </w:r>
      <w:r>
        <w:rPr>
          <w:rStyle w:val="27"/>
          <w:color w:val="auto"/>
          <w:sz w:val="24"/>
          <w:highlight w:val="none"/>
        </w:rPr>
        <w:fldChar w:fldCharType="end"/>
      </w:r>
      <w:r>
        <w:rPr>
          <w:rFonts w:hint="eastAsia" w:ascii="宋体" w:hAnsi="宋体"/>
          <w:sz w:val="28"/>
          <w:szCs w:val="28"/>
          <w:highlight w:val="none"/>
        </w:rPr>
        <w:t>和</w:t>
      </w:r>
      <w:r>
        <w:rPr>
          <w:highlight w:val="none"/>
          <w:u w:val="single"/>
        </w:rPr>
        <w:fldChar w:fldCharType="begin"/>
      </w:r>
      <w:r>
        <w:rPr>
          <w:highlight w:val="none"/>
          <w:u w:val="single"/>
        </w:rPr>
        <w:instrText xml:space="preserve"> HYPERLINK "http://zbc.nuist.edu.cn" </w:instrText>
      </w:r>
      <w:r>
        <w:rPr>
          <w:highlight w:val="none"/>
          <w:u w:val="singl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51"/>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51"/>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240" w:beforeLines="100" w:after="24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hint="eastAsia" w:ascii="宋体" w:hAnsi="宋体" w:cs="宋体"/>
          <w:bCs/>
          <w:sz w:val="28"/>
          <w:szCs w:val="28"/>
          <w:highlight w:val="none"/>
          <w:lang w:eastAsia="zh-CN"/>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r>
        <w:rPr>
          <w:rFonts w:hint="eastAsia" w:ascii="宋体" w:hAnsi="宋体" w:cs="宋体"/>
          <w:bCs/>
          <w:sz w:val="28"/>
          <w:szCs w:val="28"/>
          <w:highlight w:val="none"/>
          <w:lang w:eastAsia="zh-CN"/>
        </w:rPr>
        <w:t>；</w:t>
      </w:r>
    </w:p>
    <w:p>
      <w:pPr>
        <w:snapToGrid w:val="0"/>
        <w:spacing w:line="538" w:lineRule="exact"/>
        <w:ind w:firstLine="560" w:firstLineChars="200"/>
        <w:rPr>
          <w:rFonts w:hint="eastAsia" w:ascii="宋体" w:hAnsi="宋体" w:cs="宋体"/>
          <w:bCs/>
          <w:sz w:val="28"/>
          <w:szCs w:val="28"/>
          <w:highlight w:val="none"/>
          <w:lang w:eastAsia="zh-CN"/>
        </w:rPr>
      </w:pPr>
      <w:r>
        <w:rPr>
          <w:rFonts w:hint="eastAsia" w:ascii="宋体" w:hAnsi="宋体" w:cs="宋体"/>
          <w:bCs/>
          <w:sz w:val="28"/>
          <w:szCs w:val="28"/>
          <w:highlight w:val="none"/>
          <w:lang w:val="en-US" w:eastAsia="zh-CN"/>
        </w:rPr>
        <w:t>7.</w:t>
      </w:r>
      <w:r>
        <w:rPr>
          <w:rFonts w:hint="eastAsia" w:ascii="宋体" w:hAnsi="宋体" w:cs="宋体"/>
          <w:bCs/>
          <w:sz w:val="28"/>
          <w:szCs w:val="28"/>
          <w:highlight w:val="none"/>
        </w:rPr>
        <w:t>有依法缴纳社会保障资金的良好记录，提供距开标时间六个月内任意一月份的依法缴纳社会保障资金的凭据复印件加盖公章；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lang w:val="en-US" w:eastAsia="zh-CN"/>
        </w:rPr>
        <w:t>8</w:t>
      </w:r>
      <w:r>
        <w:rPr>
          <w:rFonts w:hint="eastAsia" w:ascii="宋体" w:hAnsi="宋体" w:cs="宋体"/>
          <w:bCs/>
          <w:sz w:val="28"/>
          <w:szCs w:val="28"/>
          <w:highlight w:val="none"/>
        </w:rPr>
        <w:t>.本项目拒绝下述供应商参加本次采购活动的情形：</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0" w:firstLineChars="200"/>
        <w:rPr>
          <w:rFonts w:hint="eastAsia"/>
          <w:highlight w:val="none"/>
        </w:rPr>
      </w:pPr>
      <w:r>
        <w:rPr>
          <w:rFonts w:hint="eastAsia" w:ascii="宋体" w:hAnsi="宋体" w:cs="宋体"/>
          <w:bCs/>
          <w:sz w:val="28"/>
          <w:szCs w:val="28"/>
          <w:highlight w:val="none"/>
          <w:lang w:val="en-US" w:eastAsia="zh-CN"/>
        </w:rPr>
        <w:t>9</w:t>
      </w:r>
      <w:r>
        <w:rPr>
          <w:rFonts w:hint="eastAsia" w:ascii="宋体" w:hAnsi="宋体" w:cs="宋体"/>
          <w:bCs/>
          <w:sz w:val="28"/>
          <w:szCs w:val="28"/>
          <w:highlight w:val="none"/>
        </w:rPr>
        <w:t>.本项目</w:t>
      </w:r>
      <w:r>
        <w:rPr>
          <w:rFonts w:hint="eastAsia" w:ascii="宋体" w:hAnsi="宋体" w:cs="宋体"/>
          <w:bCs/>
          <w:sz w:val="28"/>
          <w:szCs w:val="28"/>
          <w:highlight w:val="none"/>
          <w:u w:val="single"/>
        </w:rPr>
        <w:t>不接受</w:t>
      </w:r>
      <w:r>
        <w:rPr>
          <w:rFonts w:hint="eastAsia" w:ascii="宋体" w:hAnsi="宋体" w:cs="宋体"/>
          <w:bCs/>
          <w:sz w:val="28"/>
          <w:szCs w:val="28"/>
          <w:highlight w:val="none"/>
        </w:rPr>
        <w:t>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六、本项目预算价为</w:t>
      </w:r>
      <w:r>
        <w:rPr>
          <w:rFonts w:hint="eastAsia" w:ascii="宋体" w:hAnsi="宋体" w:cs="宋体"/>
          <w:sz w:val="28"/>
          <w:szCs w:val="28"/>
          <w:highlight w:val="none"/>
          <w:lang w:val="en-US" w:eastAsia="zh-CN"/>
        </w:rPr>
        <w:t>45.00</w:t>
      </w:r>
      <w:r>
        <w:rPr>
          <w:rFonts w:hint="eastAsia" w:ascii="宋体" w:hAnsi="宋体" w:cs="宋体"/>
          <w:sz w:val="28"/>
          <w:szCs w:val="28"/>
          <w:highlight w:val="none"/>
        </w:rPr>
        <w:t>万元，本项目只接受人民币报价。</w:t>
      </w:r>
      <w:r>
        <w:rPr>
          <w:rFonts w:hint="eastAsia" w:ascii="宋体" w:hAnsi="宋体" w:cs="宋体"/>
          <w:sz w:val="28"/>
          <w:szCs w:val="28"/>
          <w:highlight w:val="none"/>
          <w:lang w:eastAsia="zh-CN"/>
        </w:rPr>
        <w:t>投标价超出预算价，投标无效。</w:t>
      </w:r>
    </w:p>
    <w:p>
      <w:pPr>
        <w:spacing w:before="240" w:beforeLines="100" w:after="240" w:afterLines="100" w:line="360" w:lineRule="auto"/>
        <w:ind w:firstLine="548" w:firstLineChars="196"/>
        <w:jc w:val="center"/>
        <w:rPr>
          <w:rFonts w:hint="eastAsia" w:ascii="黑体" w:hAnsi="黑体" w:eastAsia="黑体" w:cs="宋体"/>
          <w:sz w:val="28"/>
          <w:szCs w:val="28"/>
          <w:highlight w:val="none"/>
        </w:rPr>
      </w:pPr>
      <w:bookmarkStart w:id="4" w:name="_Hlk9866140"/>
    </w:p>
    <w:p>
      <w:pPr>
        <w:spacing w:before="240" w:beforeLines="100" w:after="240" w:afterLines="100" w:line="360" w:lineRule="auto"/>
        <w:ind w:firstLine="548" w:firstLineChars="196"/>
        <w:jc w:val="center"/>
        <w:rPr>
          <w:rFonts w:hint="eastAsia" w:ascii="黑体" w:hAnsi="黑体" w:eastAsia="黑体" w:cs="宋体"/>
          <w:sz w:val="28"/>
          <w:szCs w:val="28"/>
          <w:highlight w:val="none"/>
        </w:rPr>
      </w:pP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240" w:beforeLines="100" w:after="240"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宋体" w:hAnsi="宋体" w:cs="宋体"/>
          <w:sz w:val="28"/>
          <w:szCs w:val="28"/>
          <w:highlight w:val="none"/>
        </w:rPr>
        <w:t>JZCG-2021-00148</w:t>
      </w:r>
      <w:r>
        <w:rPr>
          <w:rFonts w:hint="eastAsia" w:ascii="宋体" w:hAnsi="宋体" w:cs="宋体"/>
          <w:b w:val="0"/>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针对国内供应货物，签订合同后，20日内预付合同金额的30%，全部货物交货</w:t>
      </w:r>
      <w:r>
        <w:rPr>
          <w:rFonts w:hint="eastAsia" w:ascii="宋体" w:hAnsi="宋体" w:cs="宋体"/>
          <w:sz w:val="28"/>
          <w:szCs w:val="28"/>
          <w:highlight w:val="none"/>
          <w:u w:val="none"/>
        </w:rPr>
        <w:t>并最终</w:t>
      </w:r>
      <w:r>
        <w:rPr>
          <w:rFonts w:hint="eastAsia" w:ascii="宋体" w:hAnsi="宋体" w:cs="宋体"/>
          <w:sz w:val="28"/>
          <w:szCs w:val="28"/>
          <w:highlight w:val="none"/>
        </w:rPr>
        <w:t>验收合格后，凭验收凭证和货物验收合格等文件20</w:t>
      </w:r>
      <w:r>
        <w:rPr>
          <w:rFonts w:hint="eastAsia" w:ascii="宋体" w:hAnsi="宋体" w:cs="宋体"/>
          <w:sz w:val="28"/>
          <w:szCs w:val="28"/>
          <w:highlight w:val="none"/>
          <w:lang w:eastAsia="zh-CN"/>
        </w:rPr>
        <w:t>日</w:t>
      </w:r>
      <w:r>
        <w:rPr>
          <w:rFonts w:hint="eastAsia" w:ascii="宋体" w:hAnsi="宋体" w:cs="宋体"/>
          <w:sz w:val="28"/>
          <w:szCs w:val="28"/>
          <w:highlight w:val="none"/>
        </w:rPr>
        <w:t>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；开户银行：中国农业银行南京盘城支行。请各投标人务必在转账留言栏备注填写“JZCG-2021-00148</w:t>
      </w:r>
      <w:r>
        <w:rPr>
          <w:rFonts w:hint="eastAsia" w:ascii="宋体" w:hAnsi="宋体" w:cs="宋体"/>
          <w:b w:val="0"/>
          <w:bCs/>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w:t>
      </w:r>
      <w:r>
        <w:rPr>
          <w:rFonts w:hint="eastAsia" w:ascii="宋体" w:hAnsi="宋体" w:cs="宋体"/>
          <w:sz w:val="28"/>
          <w:szCs w:val="28"/>
          <w:highlight w:val="none"/>
        </w:rPr>
        <w:t>中标价10%。</w:t>
      </w:r>
    </w:p>
    <w:p>
      <w:pPr>
        <w:spacing w:line="360" w:lineRule="auto"/>
        <w:ind w:firstLine="548" w:firstLineChars="196"/>
        <w:rPr>
          <w:rFonts w:hint="eastAsia" w:ascii="宋体" w:eastAsia="宋体" w:cs="宋体"/>
          <w:b/>
          <w:bCs/>
          <w:sz w:val="28"/>
          <w:szCs w:val="28"/>
          <w:highlight w:val="none"/>
          <w:lang w:eastAsia="zh-CN"/>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lang w:eastAsia="zh-CN"/>
        </w:rPr>
        <w:t>（</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b/>
          <w:bCs/>
          <w:sz w:val="28"/>
          <w:szCs w:val="28"/>
          <w:highlight w:val="none"/>
          <w:lang w:eastAsia="zh-CN"/>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240" w:beforeLines="100" w:after="240"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19</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w:t>
      </w:r>
      <w:r>
        <w:rPr>
          <w:rFonts w:hint="eastAsia" w:ascii="宋体" w:hAnsi="宋体"/>
          <w:sz w:val="28"/>
          <w:szCs w:val="28"/>
          <w:highlight w:val="none"/>
        </w:rPr>
        <w:t>名邮箱，请各投标单位在投标前密切关注报名邮箱）</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rPr>
        <w:t>202</w:t>
      </w:r>
      <w:r>
        <w:rPr>
          <w:rFonts w:hint="eastAsia" w:ascii="宋体" w:hAnsi="宋体"/>
          <w:sz w:val="28"/>
          <w:szCs w:val="28"/>
          <w:highlight w:val="none"/>
          <w:lang w:val="en-US" w:eastAsia="zh-CN"/>
        </w:rPr>
        <w:t>1</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2</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w:t>
      </w:r>
      <w:r>
        <w:rPr>
          <w:rFonts w:hint="eastAsia" w:ascii="宋体" w:hAnsi="宋体"/>
          <w:sz w:val="28"/>
          <w:szCs w:val="28"/>
          <w:highlight w:val="none"/>
          <w:lang w:val="en-US" w:eastAsia="zh-CN"/>
        </w:rPr>
        <w:t>3</w:t>
      </w:r>
      <w:r>
        <w:rPr>
          <w:rFonts w:hint="eastAsia" w:ascii="宋体" w:hAnsi="宋体"/>
          <w:sz w:val="28"/>
          <w:szCs w:val="28"/>
          <w:highlight w:val="none"/>
        </w:rPr>
        <w:t>0。</w:t>
      </w:r>
      <w:bookmarkStart w:id="7" w:name="_Hlk32349437"/>
    </w:p>
    <w:bookmarkEnd w:id="7"/>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（3）邮寄送达地点：南京市浦口区宁六路219号南京信息工程大学</w:t>
      </w:r>
      <w:r>
        <w:rPr>
          <w:rFonts w:hint="eastAsia" w:ascii="宋体" w:hAnsi="宋体"/>
          <w:sz w:val="28"/>
          <w:szCs w:val="28"/>
          <w:highlight w:val="none"/>
        </w:rPr>
        <w:t>东苑大学生创业中心3号楼（体育馆北面三层小楼）210室招标办。联系人：马老师、</w:t>
      </w:r>
      <w:r>
        <w:rPr>
          <w:rFonts w:hint="eastAsia" w:ascii="宋体" w:hAnsi="宋体"/>
          <w:sz w:val="28"/>
          <w:szCs w:val="28"/>
          <w:highlight w:val="none"/>
          <w:lang w:val="en-US" w:eastAsia="zh-CN"/>
        </w:rPr>
        <w:t>罗老师、刘</w:t>
      </w:r>
      <w:r>
        <w:rPr>
          <w:rFonts w:hint="eastAsia" w:ascii="宋体" w:hAnsi="宋体"/>
          <w:sz w:val="28"/>
          <w:szCs w:val="28"/>
          <w:highlight w:val="none"/>
        </w:rPr>
        <w:t>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rPr>
        <w:t>202</w:t>
      </w:r>
      <w:r>
        <w:rPr>
          <w:rFonts w:hint="eastAsia" w:ascii="宋体" w:hAnsi="宋体"/>
          <w:sz w:val="28"/>
          <w:szCs w:val="28"/>
          <w:highlight w:val="none"/>
          <w:lang w:val="en-US" w:eastAsia="zh-CN"/>
        </w:rPr>
        <w:t>1</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2</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w:t>
      </w:r>
      <w:r>
        <w:rPr>
          <w:rFonts w:hint="eastAsia" w:ascii="宋体" w:hAnsi="宋体"/>
          <w:sz w:val="28"/>
          <w:szCs w:val="28"/>
          <w:highlight w:val="none"/>
          <w:lang w:val="en-US" w:eastAsia="zh-CN"/>
        </w:rPr>
        <w:t>3</w:t>
      </w:r>
      <w:r>
        <w:rPr>
          <w:rFonts w:hint="eastAsia" w:ascii="宋体" w:hAnsi="宋体"/>
          <w:sz w:val="28"/>
          <w:szCs w:val="28"/>
          <w:highlight w:val="none"/>
        </w:rPr>
        <w:t>0</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w:t>
      </w:r>
      <w:r>
        <w:rPr>
          <w:rFonts w:hint="eastAsia" w:ascii="宋体" w:hAnsi="宋体"/>
          <w:sz w:val="28"/>
          <w:szCs w:val="28"/>
          <w:highlight w:val="none"/>
          <w:lang w:val="en-US" w:eastAsia="zh-CN"/>
        </w:rPr>
        <w:t>罗老师、刘</w:t>
      </w:r>
      <w:r>
        <w:rPr>
          <w:rFonts w:hint="eastAsia" w:ascii="宋体" w:hAnsi="宋体"/>
          <w:sz w:val="28"/>
          <w:szCs w:val="28"/>
          <w:highlight w:val="none"/>
        </w:rPr>
        <w:t>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hint="eastAsia" w:ascii="宋体" w:hAnsi="宋体"/>
          <w:sz w:val="28"/>
          <w:szCs w:val="28"/>
          <w:highlight w:val="none"/>
          <w:lang w:val="en-US" w:eastAsia="zh-CN"/>
        </w:rPr>
        <w:t xml:space="preserve"> 025-58731378</w:t>
      </w:r>
      <w:r>
        <w:rPr>
          <w:rFonts w:hint="eastAsia" w:ascii="宋体" w:hAnsi="宋体"/>
          <w:sz w:val="28"/>
          <w:szCs w:val="28"/>
          <w:highlight w:val="none"/>
        </w:rPr>
        <w:t>，联系人：</w:t>
      </w:r>
      <w:r>
        <w:rPr>
          <w:rFonts w:hint="eastAsia" w:ascii="宋体" w:hAnsi="宋体"/>
          <w:sz w:val="28"/>
          <w:szCs w:val="28"/>
          <w:highlight w:val="none"/>
          <w:lang w:eastAsia="zh-CN"/>
        </w:rPr>
        <w:t>赵</w:t>
      </w:r>
      <w:r>
        <w:rPr>
          <w:rFonts w:hint="eastAsia" w:ascii="宋体" w:hAnsi="宋体"/>
          <w:sz w:val="28"/>
          <w:szCs w:val="28"/>
          <w:highlight w:val="none"/>
        </w:rPr>
        <w:t>老师。</w:t>
      </w:r>
    </w:p>
    <w:p>
      <w:pPr>
        <w:pStyle w:val="9"/>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2"/>
        <w:spacing w:line="360" w:lineRule="auto"/>
        <w:ind w:left="99" w:leftChars="47" w:firstLine="4919" w:firstLineChars="1750"/>
        <w:rPr>
          <w:rStyle w:val="50"/>
          <w:rFonts w:ascii="宋体" w:hAnsi="Times New Roman" w:eastAsia="宋体"/>
          <w:sz w:val="28"/>
          <w:szCs w:val="28"/>
          <w:highlight w:val="none"/>
        </w:rPr>
      </w:pPr>
      <w:r>
        <w:rPr>
          <w:rStyle w:val="50"/>
          <w:rFonts w:ascii="宋体" w:hAnsi="宋体" w:eastAsia="宋体"/>
          <w:sz w:val="28"/>
          <w:szCs w:val="28"/>
          <w:highlight w:val="none"/>
        </w:rPr>
        <w:t>20</w:t>
      </w:r>
      <w:r>
        <w:rPr>
          <w:rStyle w:val="50"/>
          <w:rFonts w:hint="eastAsia" w:ascii="宋体" w:hAnsi="宋体" w:eastAsia="宋体"/>
          <w:sz w:val="28"/>
          <w:szCs w:val="28"/>
          <w:highlight w:val="none"/>
        </w:rPr>
        <w:t>2</w:t>
      </w:r>
      <w:r>
        <w:rPr>
          <w:rStyle w:val="50"/>
          <w:rFonts w:hint="eastAsia" w:ascii="宋体" w:hAnsi="宋体"/>
          <w:sz w:val="28"/>
          <w:szCs w:val="28"/>
          <w:highlight w:val="none"/>
          <w:lang w:val="en-US"/>
        </w:rPr>
        <w:t>1</w:t>
      </w:r>
      <w:r>
        <w:rPr>
          <w:rStyle w:val="50"/>
          <w:rFonts w:hint="eastAsia" w:ascii="宋体" w:hAnsi="宋体" w:eastAsia="宋体"/>
          <w:sz w:val="28"/>
          <w:szCs w:val="28"/>
          <w:highlight w:val="none"/>
        </w:rPr>
        <w:t>年</w:t>
      </w:r>
      <w:r>
        <w:rPr>
          <w:rStyle w:val="50"/>
          <w:rFonts w:hint="eastAsia" w:ascii="宋体" w:hAnsi="宋体"/>
          <w:sz w:val="28"/>
          <w:szCs w:val="28"/>
          <w:highlight w:val="none"/>
          <w:lang w:val="en-US"/>
        </w:rPr>
        <w:t>11</w:t>
      </w:r>
      <w:r>
        <w:rPr>
          <w:rStyle w:val="50"/>
          <w:rFonts w:hint="eastAsia" w:ascii="宋体" w:hAnsi="宋体" w:eastAsia="宋体"/>
          <w:sz w:val="28"/>
          <w:szCs w:val="28"/>
          <w:highlight w:val="none"/>
        </w:rPr>
        <w:t>月</w:t>
      </w:r>
      <w:r>
        <w:rPr>
          <w:rStyle w:val="50"/>
          <w:rFonts w:hint="eastAsia" w:ascii="宋体" w:hAnsi="宋体"/>
          <w:sz w:val="28"/>
          <w:szCs w:val="28"/>
          <w:highlight w:val="none"/>
          <w:lang w:val="en-US"/>
        </w:rPr>
        <w:t>12</w:t>
      </w:r>
      <w:r>
        <w:rPr>
          <w:rStyle w:val="50"/>
          <w:rFonts w:hint="eastAsia" w:ascii="宋体" w:hAnsi="宋体" w:eastAsia="宋体"/>
          <w:sz w:val="28"/>
          <w:szCs w:val="28"/>
          <w:highlight w:val="none"/>
        </w:rPr>
        <w:t>日</w:t>
      </w:r>
    </w:p>
    <w:bookmarkEnd w:id="8"/>
    <w:p>
      <w:pPr>
        <w:pStyle w:val="11"/>
        <w:adjustRightInd w:val="0"/>
        <w:snapToGrid w:val="0"/>
        <w:spacing w:before="120" w:after="120" w:line="360" w:lineRule="auto"/>
        <w:rPr>
          <w:rStyle w:val="50"/>
          <w:rFonts w:ascii="宋体" w:hAnsi="宋体" w:eastAsia="宋体"/>
          <w:b w:val="0"/>
          <w:sz w:val="28"/>
          <w:szCs w:val="28"/>
          <w:highlight w:val="none"/>
        </w:rPr>
      </w:pPr>
      <w:r>
        <w:rPr>
          <w:rStyle w:val="50"/>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numPr>
          <w:ilvl w:val="0"/>
          <w:numId w:val="1"/>
        </w:numPr>
        <w:tabs>
          <w:tab w:val="left" w:pos="900"/>
        </w:tabs>
        <w:spacing w:line="560" w:lineRule="exact"/>
        <w:jc w:val="both"/>
        <w:rPr>
          <w:rFonts w:hint="eastAsia" w:ascii="宋体" w:hAnsi="宋体" w:eastAsia="宋体" w:cs="宋体"/>
          <w:kern w:val="2"/>
          <w:sz w:val="28"/>
          <w:szCs w:val="28"/>
          <w:highlight w:val="none"/>
          <w:lang w:val="en-US" w:eastAsia="zh-CN" w:bidi="ar"/>
        </w:rPr>
      </w:pPr>
      <w:r>
        <w:rPr>
          <w:rFonts w:hint="eastAsia" w:ascii="宋体" w:hAnsi="宋体" w:eastAsia="宋体" w:cs="宋体"/>
          <w:kern w:val="2"/>
          <w:sz w:val="28"/>
          <w:szCs w:val="28"/>
          <w:highlight w:val="none"/>
          <w:lang w:val="en-US" w:eastAsia="zh-CN" w:bidi="ar"/>
        </w:rPr>
        <w:t>项目名称：南京信息工程大学校园气象科普站采购项目</w:t>
      </w:r>
    </w:p>
    <w:p>
      <w:pPr>
        <w:pStyle w:val="19"/>
        <w:numPr>
          <w:ilvl w:val="0"/>
          <w:numId w:val="0"/>
        </w:numPr>
        <w:rPr>
          <w:rFonts w:hint="eastAsia" w:ascii="宋体" w:hAnsi="宋体" w:eastAsia="宋体" w:cs="宋体"/>
          <w:kern w:val="2"/>
          <w:sz w:val="28"/>
          <w:szCs w:val="28"/>
          <w:highlight w:val="none"/>
          <w:lang w:val="en-US" w:eastAsia="zh-CN" w:bidi="ar"/>
        </w:rPr>
      </w:pPr>
      <w:r>
        <w:rPr>
          <w:rFonts w:hint="eastAsia" w:ascii="宋体" w:hAnsi="宋体" w:eastAsia="宋体" w:cs="宋体"/>
          <w:kern w:val="2"/>
          <w:sz w:val="28"/>
          <w:szCs w:val="28"/>
          <w:highlight w:val="none"/>
          <w:lang w:val="en-US" w:eastAsia="zh-CN" w:bidi="ar"/>
        </w:rPr>
        <w:t>二、项目采购内容：</w:t>
      </w:r>
    </w:p>
    <w:p>
      <w:pPr>
        <w:pStyle w:val="18"/>
        <w:rPr>
          <w:rFonts w:hint="eastAsia" w:ascii="宋体" w:hAnsi="宋体" w:eastAsia="宋体" w:cs="宋体"/>
          <w:kern w:val="2"/>
          <w:sz w:val="28"/>
          <w:szCs w:val="28"/>
          <w:highlight w:val="none"/>
          <w:lang w:val="en-US" w:eastAsia="zh-CN" w:bidi="ar"/>
        </w:rPr>
      </w:pPr>
      <w:r>
        <w:rPr>
          <w:rFonts w:hint="eastAsia" w:ascii="宋体" w:hAnsi="宋体" w:eastAsia="宋体" w:cs="宋体"/>
          <w:kern w:val="2"/>
          <w:sz w:val="28"/>
          <w:szCs w:val="28"/>
          <w:highlight w:val="none"/>
          <w:lang w:val="en-US" w:eastAsia="zh-CN" w:bidi="ar"/>
        </w:rPr>
        <w:t>本次气象科普站采购项目，意在将气象知识向校园科普，增加青少年、儿童等全龄段对气象的了解，提升各界对气象常识的认知，亦是南京信息工程大学与地方中小学校园文化沟通的桥梁。校园气象站的建设，以突出生态建设为主导、彰显文化为目标、普及气象知识为宗旨，展现气象现代化，引导中小学生对气象的兴趣，利于中小学生拓展知识面，培养其探索求真的精神，为气象事业备足后备力量!</w:t>
      </w:r>
    </w:p>
    <w:p>
      <w:pPr>
        <w:numPr>
          <w:ilvl w:val="0"/>
          <w:numId w:val="0"/>
        </w:numPr>
        <w:tabs>
          <w:tab w:val="left" w:pos="900"/>
        </w:tabs>
        <w:spacing w:line="560" w:lineRule="exact"/>
        <w:jc w:val="left"/>
        <w:rPr>
          <w:rFonts w:hint="eastAsia" w:ascii="宋体" w:hAnsi="宋体" w:eastAsia="宋体" w:cs="宋体"/>
          <w:b/>
          <w:bCs w:val="0"/>
          <w:sz w:val="28"/>
          <w:szCs w:val="28"/>
          <w:highlight w:val="none"/>
          <w:lang w:val="en-US" w:eastAsia="zh-CN"/>
        </w:rPr>
      </w:pPr>
      <w:r>
        <w:rPr>
          <w:rFonts w:hint="eastAsia" w:ascii="宋体" w:hAnsi="宋体" w:cs="宋体"/>
          <w:b/>
          <w:bCs w:val="0"/>
          <w:sz w:val="28"/>
          <w:szCs w:val="28"/>
          <w:highlight w:val="none"/>
          <w:lang w:val="en-US" w:eastAsia="zh-CN"/>
        </w:rPr>
        <w:t>本次采购设备</w:t>
      </w:r>
      <w:r>
        <w:rPr>
          <w:rFonts w:hint="eastAsia" w:ascii="宋体" w:hAnsi="宋体" w:eastAsia="宋体" w:cs="宋体"/>
          <w:b/>
          <w:bCs w:val="0"/>
          <w:sz w:val="28"/>
          <w:szCs w:val="28"/>
          <w:highlight w:val="none"/>
          <w:lang w:val="en-US" w:eastAsia="zh-CN"/>
        </w:rPr>
        <w:t>数量、主要技术要求</w:t>
      </w:r>
      <w:r>
        <w:rPr>
          <w:rFonts w:hint="eastAsia" w:ascii="宋体" w:hAnsi="宋体" w:cs="宋体"/>
          <w:b/>
          <w:bCs w:val="0"/>
          <w:sz w:val="28"/>
          <w:szCs w:val="28"/>
          <w:highlight w:val="none"/>
          <w:lang w:val="en-US" w:eastAsia="zh-CN"/>
        </w:rPr>
        <w:t>如下</w:t>
      </w:r>
      <w:r>
        <w:rPr>
          <w:rFonts w:hint="eastAsia" w:ascii="宋体" w:hAnsi="宋体" w:eastAsia="宋体" w:cs="宋体"/>
          <w:b/>
          <w:bCs w:val="0"/>
          <w:sz w:val="28"/>
          <w:szCs w:val="28"/>
          <w:highlight w:val="none"/>
          <w:lang w:val="en-US" w:eastAsia="zh-CN"/>
        </w:rPr>
        <w:t>：</w:t>
      </w:r>
    </w:p>
    <w:tbl>
      <w:tblPr>
        <w:tblStyle w:val="21"/>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
        <w:gridCol w:w="712"/>
        <w:gridCol w:w="688"/>
        <w:gridCol w:w="402"/>
        <w:gridCol w:w="389"/>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80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firstLine="4006" w:firstLineChars="1900"/>
              <w:jc w:val="both"/>
              <w:rPr>
                <w:rFonts w:hint="eastAsia" w:ascii="宋体" w:hAnsi="宋体" w:eastAsia="宋体" w:cs="宋体"/>
                <w:kern w:val="2"/>
                <w:sz w:val="21"/>
                <w:szCs w:val="21"/>
                <w:highlight w:val="none"/>
              </w:rPr>
            </w:pPr>
            <w:r>
              <w:rPr>
                <w:rFonts w:hint="eastAsia" w:ascii="宋体" w:hAnsi="宋体" w:eastAsia="宋体" w:cs="宋体"/>
                <w:b/>
                <w:bCs/>
                <w:kern w:val="2"/>
                <w:sz w:val="21"/>
                <w:szCs w:val="21"/>
                <w:highlight w:val="none"/>
                <w:lang w:val="en-US" w:eastAsia="zh-CN" w:bidi="ar"/>
              </w:rPr>
              <w:t>设备采购清单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1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序号</w:t>
            </w:r>
          </w:p>
        </w:tc>
        <w:tc>
          <w:tcPr>
            <w:tcW w:w="712"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材料名称</w:t>
            </w:r>
          </w:p>
        </w:tc>
        <w:tc>
          <w:tcPr>
            <w:tcW w:w="688"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规格型号</w:t>
            </w:r>
          </w:p>
        </w:tc>
        <w:tc>
          <w:tcPr>
            <w:tcW w:w="402"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单位</w:t>
            </w:r>
          </w:p>
        </w:tc>
        <w:tc>
          <w:tcPr>
            <w:tcW w:w="389"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数量</w:t>
            </w:r>
          </w:p>
        </w:tc>
        <w:tc>
          <w:tcPr>
            <w:tcW w:w="629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highlight w:val="none"/>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00"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b/>
                <w:bCs/>
                <w:kern w:val="2"/>
                <w:sz w:val="21"/>
                <w:szCs w:val="21"/>
                <w:highlight w:val="none"/>
                <w:lang w:val="en-US" w:eastAsia="zh-CN" w:bidi="ar"/>
              </w:rPr>
              <w:t>气象监测站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71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六要素校园气象监测站</w:t>
            </w:r>
          </w:p>
        </w:tc>
        <w:tc>
          <w:tcPr>
            <w:tcW w:w="68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小气候信息采集系统</w:t>
            </w:r>
          </w:p>
        </w:tc>
        <w:tc>
          <w:tcPr>
            <w:tcW w:w="40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套</w:t>
            </w:r>
          </w:p>
        </w:tc>
        <w:tc>
          <w:tcPr>
            <w:tcW w:w="38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w:t>
            </w:r>
          </w:p>
        </w:tc>
        <w:tc>
          <w:tcPr>
            <w:tcW w:w="6296" w:type="dxa"/>
            <w:tcBorders>
              <w:top w:val="single" w:color="auto" w:sz="4" w:space="0"/>
              <w:left w:val="nil"/>
              <w:bottom w:val="single" w:color="auto" w:sz="4" w:space="0"/>
              <w:right w:val="single" w:color="auto" w:sz="4" w:space="0"/>
            </w:tcBorders>
            <w:noWrap w:val="0"/>
            <w:vAlign w:val="center"/>
          </w:tcPr>
          <w:p>
            <w:pPr>
              <w:ind w:firstLine="0" w:firstLineChars="0"/>
              <w:jc w:val="left"/>
              <w:rPr>
                <w:rFonts w:hint="eastAsia"/>
                <w:highlight w:val="none"/>
                <w:lang w:val="en-US" w:eastAsia="zh-CN"/>
              </w:rPr>
            </w:pPr>
            <w:r>
              <w:rPr>
                <w:rFonts w:hint="eastAsia" w:ascii="宋体" w:hAnsi="宋体" w:cs="Arial"/>
                <w:kern w:val="0"/>
                <w:sz w:val="18"/>
                <w:szCs w:val="18"/>
                <w:highlight w:val="none"/>
              </w:rPr>
              <w:t>★</w:t>
            </w:r>
            <w:r>
              <w:rPr>
                <w:rFonts w:hint="eastAsia"/>
                <w:highlight w:val="none"/>
                <w:lang w:val="en-US" w:eastAsia="zh-CN"/>
              </w:rPr>
              <w:t xml:space="preserve">1、温度：测量范围：-50～100℃ ，准 确 度：≤±0.3℃ ，分辨率：0.1℃ </w:t>
            </w:r>
          </w:p>
          <w:p>
            <w:pPr>
              <w:ind w:firstLine="0" w:firstLineChars="0"/>
              <w:jc w:val="left"/>
              <w:rPr>
                <w:rFonts w:hint="eastAsia"/>
                <w:highlight w:val="none"/>
                <w:lang w:val="en-US" w:eastAsia="zh-CN"/>
              </w:rPr>
            </w:pPr>
            <w:r>
              <w:rPr>
                <w:rFonts w:hint="eastAsia" w:ascii="宋体" w:hAnsi="宋体" w:cs="Arial"/>
                <w:kern w:val="0"/>
                <w:sz w:val="18"/>
                <w:szCs w:val="18"/>
                <w:highlight w:val="none"/>
              </w:rPr>
              <w:t>★</w:t>
            </w:r>
            <w:r>
              <w:rPr>
                <w:rFonts w:hint="eastAsia"/>
                <w:highlight w:val="none"/>
                <w:lang w:val="en-US" w:eastAsia="zh-CN"/>
              </w:rPr>
              <w:t>2、湿度：测量范围：0～100%RH，准确 度：≤±3%RH，分辨率：0.1%</w:t>
            </w:r>
          </w:p>
          <w:p>
            <w:pPr>
              <w:ind w:firstLine="0" w:firstLineChars="0"/>
              <w:jc w:val="left"/>
              <w:rPr>
                <w:rFonts w:hint="eastAsia"/>
                <w:highlight w:val="none"/>
                <w:lang w:val="en-US" w:eastAsia="zh-CN"/>
              </w:rPr>
            </w:pPr>
            <w:r>
              <w:rPr>
                <w:rFonts w:hint="eastAsia" w:ascii="宋体" w:hAnsi="宋体" w:cs="Arial"/>
                <w:kern w:val="0"/>
                <w:sz w:val="18"/>
                <w:szCs w:val="18"/>
                <w:highlight w:val="none"/>
              </w:rPr>
              <w:t>★</w:t>
            </w:r>
            <w:r>
              <w:rPr>
                <w:rFonts w:hint="eastAsia"/>
                <w:highlight w:val="none"/>
                <w:lang w:val="en-US" w:eastAsia="zh-CN"/>
              </w:rPr>
              <w:t>3、风速：测量范围：0～70m/s，准 确 度：±(0.3+0.03V)m/s，分 辨 率：0.1m/s</w:t>
            </w:r>
          </w:p>
          <w:p>
            <w:pPr>
              <w:ind w:firstLine="0" w:firstLineChars="0"/>
              <w:jc w:val="left"/>
              <w:rPr>
                <w:rFonts w:hint="eastAsia"/>
                <w:highlight w:val="none"/>
                <w:lang w:val="en-US" w:eastAsia="zh-CN"/>
              </w:rPr>
            </w:pPr>
            <w:r>
              <w:rPr>
                <w:rFonts w:hint="eastAsia" w:ascii="宋体" w:hAnsi="宋体" w:eastAsia="宋体" w:cs="宋体"/>
                <w:b/>
                <w:bCs/>
                <w:highlight w:val="none"/>
                <w:lang w:val="en-US" w:eastAsia="zh-CN"/>
              </w:rPr>
              <w:t>▲</w:t>
            </w:r>
            <w:r>
              <w:rPr>
                <w:rFonts w:hint="eastAsia"/>
                <w:highlight w:val="none"/>
                <w:lang w:val="en-US" w:eastAsia="zh-CN"/>
              </w:rPr>
              <w:t>4、风向：测量范围：0～360°，准 确 度：±3°，分 辨 率：1°</w:t>
            </w:r>
          </w:p>
          <w:p>
            <w:pPr>
              <w:numPr>
                <w:ilvl w:val="0"/>
                <w:numId w:val="0"/>
              </w:numPr>
              <w:ind w:leftChars="0"/>
              <w:rPr>
                <w:rFonts w:hint="eastAsia"/>
                <w:highlight w:val="none"/>
                <w:lang w:eastAsia="zh-CN"/>
              </w:rPr>
            </w:pPr>
            <w:r>
              <w:rPr>
                <w:rFonts w:hint="eastAsia" w:ascii="宋体" w:hAnsi="宋体" w:cs="Arial"/>
                <w:kern w:val="0"/>
                <w:sz w:val="18"/>
                <w:szCs w:val="18"/>
                <w:highlight w:val="none"/>
              </w:rPr>
              <w:t>★</w:t>
            </w:r>
            <w:r>
              <w:rPr>
                <w:rFonts w:hint="eastAsia"/>
                <w:highlight w:val="none"/>
                <w:lang w:val="en-US" w:eastAsia="zh-CN"/>
              </w:rPr>
              <w:t>5、雨量：</w:t>
            </w:r>
            <w:r>
              <w:rPr>
                <w:rFonts w:hint="eastAsia"/>
                <w:highlight w:val="none"/>
                <w:lang w:eastAsia="zh-CN"/>
              </w:rPr>
              <w:t>承水口径：Ф200 ± 0.6mm 测量范围：≤4mm/min（降水强度），分辨率：0.2mm（6.28ml），准确度：±4%</w:t>
            </w:r>
            <w:r>
              <w:rPr>
                <w:rFonts w:hint="eastAsia"/>
                <w:highlight w:val="none"/>
                <w:lang w:val="en-US" w:eastAsia="zh-CN"/>
              </w:rPr>
              <w:t xml:space="preserve"> </w:t>
            </w:r>
            <w:r>
              <w:rPr>
                <w:rFonts w:hint="eastAsia"/>
                <w:highlight w:val="none"/>
                <w:lang w:eastAsia="zh-CN"/>
              </w:rPr>
              <w:t xml:space="preserve">工作温度：0～50℃  贮存温度：-10℃～50℃ </w:t>
            </w:r>
          </w:p>
          <w:p>
            <w:pPr>
              <w:keepNext w:val="0"/>
              <w:keepLines w:val="0"/>
              <w:widowControl w:val="0"/>
              <w:suppressLineNumbers w:val="0"/>
              <w:spacing w:before="0" w:beforeAutospacing="0" w:after="0" w:afterAutospacing="0"/>
              <w:ind w:left="0" w:right="0"/>
              <w:jc w:val="left"/>
              <w:rPr>
                <w:rFonts w:hint="eastAsia"/>
                <w:highlight w:val="none"/>
                <w:lang w:val="en-US" w:eastAsia="zh-CN"/>
              </w:rPr>
            </w:pPr>
            <w:r>
              <w:rPr>
                <w:rFonts w:hint="eastAsia" w:ascii="宋体" w:hAnsi="宋体" w:cs="Arial"/>
                <w:kern w:val="0"/>
                <w:sz w:val="18"/>
                <w:szCs w:val="18"/>
                <w:highlight w:val="none"/>
              </w:rPr>
              <w:t>★</w:t>
            </w:r>
            <w:r>
              <w:rPr>
                <w:rFonts w:hint="eastAsia"/>
                <w:highlight w:val="none"/>
                <w:lang w:val="en-US" w:eastAsia="zh-CN"/>
              </w:rPr>
              <w:t>6、数据采集仪：</w:t>
            </w:r>
          </w:p>
          <w:p>
            <w:pPr>
              <w:numPr>
                <w:ilvl w:val="0"/>
                <w:numId w:val="0"/>
              </w:numPr>
              <w:ind w:firstLine="420" w:firstLineChars="200"/>
              <w:rPr>
                <w:rFonts w:hint="eastAsia"/>
                <w:highlight w:val="none"/>
                <w:lang w:val="en-US" w:eastAsia="zh-CN"/>
              </w:rPr>
            </w:pPr>
            <w:r>
              <w:rPr>
                <w:rFonts w:hint="eastAsia"/>
                <w:highlight w:val="none"/>
                <w:lang w:val="en-US" w:eastAsia="zh-CN"/>
              </w:rPr>
              <w:t>内核： ARM 32位Cortex-M3 CPU</w:t>
            </w:r>
          </w:p>
          <w:p>
            <w:pPr>
              <w:numPr>
                <w:ilvl w:val="0"/>
                <w:numId w:val="0"/>
              </w:numPr>
              <w:ind w:firstLine="420" w:firstLineChars="200"/>
              <w:rPr>
                <w:rFonts w:hint="eastAsia"/>
                <w:highlight w:val="none"/>
                <w:lang w:val="en-US" w:eastAsia="zh-CN"/>
              </w:rPr>
            </w:pPr>
            <w:r>
              <w:rPr>
                <w:rFonts w:hint="eastAsia"/>
                <w:highlight w:val="none"/>
                <w:lang w:val="en-US" w:eastAsia="zh-CN"/>
              </w:rPr>
              <w:t>系统时钟：最高可达72MHz</w:t>
            </w:r>
          </w:p>
          <w:p>
            <w:pPr>
              <w:numPr>
                <w:ilvl w:val="0"/>
                <w:numId w:val="0"/>
              </w:numPr>
              <w:ind w:firstLine="420" w:firstLineChars="200"/>
              <w:rPr>
                <w:rFonts w:hint="eastAsia"/>
                <w:highlight w:val="none"/>
                <w:lang w:val="en-US" w:eastAsia="zh-CN"/>
              </w:rPr>
            </w:pPr>
            <w:r>
              <w:rPr>
                <w:rFonts w:hint="eastAsia"/>
                <w:highlight w:val="none"/>
                <w:lang w:val="en-US" w:eastAsia="zh-CN"/>
              </w:rPr>
              <w:t>存储功能：FLASH存储容量14MByte，每30分钟存储一次数据，可存储3年多气象数据；内部flash存储数据可通过USB接口导出到U盘转存。</w:t>
            </w:r>
          </w:p>
          <w:p>
            <w:pPr>
              <w:numPr>
                <w:ilvl w:val="0"/>
                <w:numId w:val="0"/>
              </w:numPr>
              <w:ind w:firstLine="420" w:firstLineChars="200"/>
              <w:rPr>
                <w:rFonts w:hint="eastAsia"/>
                <w:highlight w:val="none"/>
                <w:lang w:val="en-US" w:eastAsia="zh-CN"/>
              </w:rPr>
            </w:pPr>
            <w:r>
              <w:rPr>
                <w:rFonts w:hint="eastAsia"/>
                <w:highlight w:val="none"/>
                <w:lang w:val="en-US" w:eastAsia="zh-CN"/>
              </w:rPr>
              <w:t>传感器通道：   RS485接口，波特率9600，MODBUS 主机协议，可实现MODBUS接口传感器不分功能盲插安装，本机带有8路传感器接口，可根据需求扩展最大32路传感器接口。</w:t>
            </w:r>
          </w:p>
          <w:p>
            <w:pPr>
              <w:numPr>
                <w:ilvl w:val="0"/>
                <w:numId w:val="0"/>
              </w:numPr>
              <w:ind w:firstLine="420" w:firstLineChars="200"/>
              <w:rPr>
                <w:rFonts w:hint="eastAsia"/>
                <w:highlight w:val="none"/>
                <w:lang w:val="en-US" w:eastAsia="zh-CN"/>
              </w:rPr>
            </w:pPr>
            <w:r>
              <w:rPr>
                <w:rFonts w:hint="eastAsia"/>
                <w:highlight w:val="none"/>
                <w:lang w:val="en-US" w:eastAsia="zh-CN"/>
              </w:rPr>
              <w:t>其他功能：2路DO/2路DI数字量输入输出，可选配防盗震动上报云平台功能。</w:t>
            </w:r>
          </w:p>
          <w:p>
            <w:pPr>
              <w:numPr>
                <w:ilvl w:val="0"/>
                <w:numId w:val="0"/>
              </w:numPr>
              <w:ind w:firstLine="420" w:firstLineChars="200"/>
              <w:rPr>
                <w:rFonts w:hint="eastAsia"/>
                <w:highlight w:val="none"/>
                <w:lang w:val="en-US" w:eastAsia="zh-CN"/>
              </w:rPr>
            </w:pPr>
            <w:r>
              <w:rPr>
                <w:rFonts w:hint="eastAsia"/>
                <w:highlight w:val="none"/>
                <w:lang w:val="en-US" w:eastAsia="zh-CN"/>
              </w:rPr>
              <w:t>供电显示： 8V-28V宽电压输入 工作温度：-20~70℃</w:t>
            </w:r>
          </w:p>
          <w:p>
            <w:pPr>
              <w:numPr>
                <w:ilvl w:val="0"/>
                <w:numId w:val="0"/>
              </w:numPr>
              <w:ind w:firstLine="420" w:firstLineChars="200"/>
              <w:rPr>
                <w:rFonts w:hint="eastAsia"/>
                <w:highlight w:val="none"/>
                <w:lang w:val="en-US" w:eastAsia="zh-CN"/>
              </w:rPr>
            </w:pPr>
            <w:r>
              <w:rPr>
                <w:rFonts w:hint="eastAsia"/>
                <w:highlight w:val="none"/>
                <w:lang w:val="en-US" w:eastAsia="zh-CN"/>
              </w:rPr>
              <w:t>显示功能：4.3英寸480×272 像素全彩液晶屏幕显示，整体界面清晰美观；可扩展LED显示屏进行丰富显示；同时支持实时时钟及时间校准功能。</w:t>
            </w:r>
          </w:p>
          <w:p>
            <w:pPr>
              <w:numPr>
                <w:ilvl w:val="0"/>
                <w:numId w:val="0"/>
              </w:numPr>
              <w:ind w:firstLine="420" w:firstLineChars="200"/>
              <w:rPr>
                <w:rFonts w:hint="eastAsia"/>
                <w:highlight w:val="none"/>
                <w:lang w:val="en-US" w:eastAsia="zh-CN"/>
              </w:rPr>
            </w:pPr>
            <w:r>
              <w:rPr>
                <w:rFonts w:hint="eastAsia"/>
                <w:highlight w:val="none"/>
                <w:lang w:val="en-US" w:eastAsia="zh-CN"/>
              </w:rPr>
              <w:t>通讯协议：支持标准MODBUS协议，方便用户实现上位机软件二次编程。</w:t>
            </w:r>
          </w:p>
          <w:p>
            <w:pPr>
              <w:numPr>
                <w:ilvl w:val="0"/>
                <w:numId w:val="0"/>
              </w:numPr>
              <w:ind w:firstLine="420" w:firstLineChars="200"/>
              <w:rPr>
                <w:rFonts w:hint="eastAsia"/>
                <w:highlight w:val="none"/>
                <w:lang w:val="en-US" w:eastAsia="zh-CN"/>
              </w:rPr>
            </w:pPr>
            <w:r>
              <w:rPr>
                <w:rFonts w:hint="eastAsia"/>
                <w:highlight w:val="none"/>
                <w:lang w:val="en-US" w:eastAsia="zh-CN"/>
              </w:rPr>
              <w:t>通讯接口：串行RS485，RJ45有线以太网口，4G移动网络，USB。</w:t>
            </w:r>
          </w:p>
          <w:p>
            <w:pPr>
              <w:numPr>
                <w:ilvl w:val="0"/>
                <w:numId w:val="0"/>
              </w:numPr>
              <w:rPr>
                <w:rFonts w:hint="default"/>
                <w:highlight w:val="none"/>
                <w:lang w:val="en-US" w:eastAsia="zh-CN"/>
              </w:rPr>
            </w:pPr>
            <w:r>
              <w:rPr>
                <w:rFonts w:hint="eastAsia" w:ascii="宋体" w:hAnsi="宋体" w:eastAsia="宋体" w:cs="宋体"/>
                <w:b/>
                <w:bCs/>
                <w:highlight w:val="none"/>
                <w:lang w:val="en-US" w:eastAsia="zh-CN"/>
              </w:rPr>
              <w:t>▲</w:t>
            </w:r>
            <w:r>
              <w:rPr>
                <w:rFonts w:hint="eastAsia"/>
                <w:highlight w:val="none"/>
                <w:lang w:val="en-US" w:eastAsia="zh-CN"/>
              </w:rPr>
              <w:t>7、供电：太阳能供电系统 40W，24AH</w:t>
            </w:r>
          </w:p>
          <w:p>
            <w:pPr>
              <w:keepNext w:val="0"/>
              <w:keepLines w:val="0"/>
              <w:widowControl w:val="0"/>
              <w:suppressLineNumbers w:val="0"/>
              <w:spacing w:before="0" w:beforeAutospacing="0" w:after="0" w:afterAutospacing="0"/>
              <w:ind w:left="0" w:right="0"/>
              <w:jc w:val="left"/>
              <w:rPr>
                <w:rFonts w:hint="eastAsia"/>
                <w:highlight w:val="none"/>
                <w:lang w:val="en-US" w:eastAsia="zh-CN"/>
              </w:rPr>
            </w:pPr>
            <w:r>
              <w:rPr>
                <w:rFonts w:hint="eastAsia" w:ascii="宋体" w:hAnsi="宋体" w:eastAsia="宋体" w:cs="宋体"/>
                <w:b/>
                <w:bCs/>
                <w:highlight w:val="none"/>
                <w:lang w:val="en-US" w:eastAsia="zh-CN"/>
              </w:rPr>
              <w:t>▲</w:t>
            </w:r>
            <w:r>
              <w:rPr>
                <w:rFonts w:hint="eastAsia"/>
                <w:highlight w:val="none"/>
                <w:lang w:val="en-US" w:eastAsia="zh-CN"/>
              </w:rPr>
              <w:t>8、支架：支架高度3.5米，支架上杆/下杆、防风拉索、拉索预埋件、主杆预埋件；</w:t>
            </w:r>
            <w:r>
              <w:rPr>
                <w:rFonts w:hint="eastAsia"/>
                <w:highlight w:val="none"/>
              </w:rPr>
              <w:t>外观美观，承载防护箱、传感器、太阳能</w:t>
            </w:r>
            <w:r>
              <w:rPr>
                <w:rFonts w:hint="eastAsia"/>
                <w:highlight w:val="none"/>
                <w:lang w:eastAsia="zh-CN"/>
              </w:rPr>
              <w:t>板</w:t>
            </w:r>
            <w:r>
              <w:rPr>
                <w:rFonts w:hint="eastAsia"/>
                <w:highlight w:val="none"/>
              </w:rPr>
              <w:t>等，功能齐全，安装方便，抗腐蚀处理，抗风能力强</w:t>
            </w:r>
            <w:r>
              <w:rPr>
                <w:rFonts w:hint="eastAsia"/>
                <w:highlight w:val="none"/>
                <w:lang w:eastAsia="zh-CN"/>
              </w:rPr>
              <w:t>、</w:t>
            </w:r>
            <w:r>
              <w:rPr>
                <w:rFonts w:hint="eastAsia"/>
                <w:highlight w:val="none"/>
                <w:lang w:val="en-US" w:eastAsia="zh-CN"/>
              </w:rPr>
              <w:t>可安装十多种传感器，安装高度符合国家标准要求，可完全适用于野外无人值守观测站点，含野外防护箱；防湿防潮，内置隔板，外置锁具，内装采集仪，蓄电池，太阳能控制器等。</w:t>
            </w:r>
          </w:p>
          <w:p>
            <w:pPr>
              <w:keepNext w:val="0"/>
              <w:keepLines w:val="0"/>
              <w:widowControl w:val="0"/>
              <w:suppressLineNumbers w:val="0"/>
              <w:spacing w:before="0" w:beforeAutospacing="0" w:after="0" w:afterAutospacing="0"/>
              <w:ind w:left="0" w:right="0"/>
              <w:jc w:val="left"/>
              <w:rPr>
                <w:rFonts w:hint="eastAsia"/>
                <w:highlight w:val="none"/>
              </w:rPr>
            </w:pPr>
            <w:r>
              <w:rPr>
                <w:rFonts w:hint="eastAsia" w:ascii="宋体" w:hAnsi="宋体" w:eastAsia="宋体" w:cs="宋体"/>
                <w:b/>
                <w:bCs/>
                <w:highlight w:val="none"/>
                <w:lang w:val="en-US" w:eastAsia="zh-CN"/>
              </w:rPr>
              <w:t>▲</w:t>
            </w:r>
            <w:r>
              <w:rPr>
                <w:rFonts w:hint="eastAsia"/>
                <w:highlight w:val="none"/>
                <w:lang w:val="en-US" w:eastAsia="zh-CN"/>
              </w:rPr>
              <w:t>9、气象要素显示屏：2.56m*1.6m 户外LED显示屏、户外防水处理、可实时显示气象数据。</w:t>
            </w:r>
          </w:p>
          <w:p>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b/>
                <w:bCs/>
                <w:color w:val="FF0000"/>
                <w:kern w:val="0"/>
                <w:sz w:val="21"/>
                <w:szCs w:val="21"/>
                <w:highlight w:val="none"/>
              </w:rPr>
            </w:pPr>
            <w:r>
              <w:rPr>
                <w:rFonts w:hint="eastAsia"/>
                <w:highlight w:val="none"/>
                <w:lang w:val="en-US" w:eastAsia="zh-CN"/>
              </w:rPr>
              <w:t>10、气象站围栏：4米长×3米宽×1.2米高，白色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right"/>
              <w:rPr>
                <w:rFonts w:hint="eastAsia" w:ascii="宋体" w:hAnsi="宋体" w:eastAsia="宋体" w:cs="宋体"/>
                <w:kern w:val="2"/>
                <w:sz w:val="21"/>
                <w:szCs w:val="21"/>
                <w:highlight w:val="none"/>
              </w:rPr>
            </w:pPr>
            <w:r>
              <w:rPr>
                <w:rFonts w:hint="eastAsia" w:ascii="宋体" w:hAnsi="宋体" w:cs="宋体"/>
                <w:kern w:val="2"/>
                <w:sz w:val="21"/>
                <w:szCs w:val="21"/>
                <w:highlight w:val="none"/>
                <w:lang w:val="en-US" w:eastAsia="zh-CN" w:bidi="ar"/>
              </w:rPr>
              <w:t>2</w:t>
            </w:r>
          </w:p>
        </w:tc>
        <w:tc>
          <w:tcPr>
            <w:tcW w:w="71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气象站标识牌</w:t>
            </w:r>
          </w:p>
        </w:tc>
        <w:tc>
          <w:tcPr>
            <w:tcW w:w="7775" w:type="dxa"/>
            <w:gridSpan w:val="4"/>
            <w:tcBorders>
              <w:top w:val="single" w:color="auto" w:sz="4" w:space="0"/>
              <w:left w:val="nil"/>
              <w:bottom w:val="single" w:color="auto" w:sz="4" w:space="0"/>
              <w:right w:val="single" w:color="auto" w:sz="4" w:space="0"/>
            </w:tcBorders>
            <w:noWrap w:val="0"/>
            <w:vAlign w:val="center"/>
          </w:tcPr>
          <w:p>
            <w:pPr>
              <w:pStyle w:val="18"/>
              <w:ind w:left="0" w:leftChars="0" w:firstLine="0" w:firstLineChars="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数量：3个</w:t>
            </w:r>
          </w:p>
          <w:p>
            <w:pPr>
              <w:pStyle w:val="18"/>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尺寸：0.6mx1.5mx4mm</w:t>
            </w:r>
          </w:p>
          <w:p>
            <w:pPr>
              <w:pStyle w:val="18"/>
              <w:ind w:left="0" w:leftChars="0" w:firstLine="0" w:firstLineChars="0"/>
              <w:rPr>
                <w:rFonts w:hint="default"/>
                <w:highlight w:val="none"/>
                <w:lang w:val="en-US" w:eastAsia="zh-CN"/>
              </w:rPr>
            </w:pPr>
            <w:r>
              <w:rPr>
                <w:rFonts w:hint="eastAsia" w:ascii="宋体" w:hAnsi="宋体" w:eastAsia="宋体" w:cs="Times New Roman"/>
                <w:kern w:val="2"/>
                <w:sz w:val="24"/>
                <w:szCs w:val="24"/>
                <w:highlight w:val="none"/>
                <w:lang w:val="en-US" w:eastAsia="zh-CN" w:bidi="ar-SA"/>
              </w:rPr>
              <w:t xml:space="preserve">工艺材质：镀锌方铜+金属氟碳漆+仿实木氟碳漆与大理石基座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cs="宋体"/>
                <w:kern w:val="2"/>
                <w:sz w:val="21"/>
                <w:szCs w:val="21"/>
                <w:highlight w:val="none"/>
                <w:lang w:val="en-US" w:eastAsia="zh-CN" w:bidi="ar"/>
              </w:rPr>
              <w:t>3</w:t>
            </w:r>
          </w:p>
        </w:tc>
        <w:tc>
          <w:tcPr>
            <w:tcW w:w="712"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autoSpaceDE w:val="0"/>
              <w:autoSpaceDN w:val="0"/>
              <w:adjustRightInd w:val="0"/>
              <w:spacing w:before="100" w:beforeAutospacing="1" w:after="100" w:afterAutospacing="1" w:line="360" w:lineRule="auto"/>
              <w:ind w:right="-21" w:rightChars="-1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文化雕塑文化牌</w:t>
            </w:r>
          </w:p>
        </w:tc>
        <w:tc>
          <w:tcPr>
            <w:tcW w:w="7775" w:type="dxa"/>
            <w:gridSpan w:val="4"/>
            <w:tcBorders>
              <w:top w:val="single" w:color="auto" w:sz="4" w:space="0"/>
              <w:left w:val="nil"/>
              <w:bottom w:val="single" w:color="auto" w:sz="4" w:space="0"/>
              <w:right w:val="single" w:color="auto" w:sz="4" w:space="0"/>
            </w:tcBorders>
            <w:noWrap w:val="0"/>
            <w:vAlign w:val="center"/>
          </w:tcPr>
          <w:p>
            <w:pPr>
              <w:pStyle w:val="18"/>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数量：3个</w:t>
            </w:r>
          </w:p>
          <w:p>
            <w:pPr>
              <w:pStyle w:val="18"/>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材质：紫铜</w:t>
            </w:r>
          </w:p>
          <w:p>
            <w:pPr>
              <w:pStyle w:val="18"/>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尺寸：1.2mx2.1m，厚度1.5mm</w:t>
            </w:r>
          </w:p>
          <w:p>
            <w:pPr>
              <w:pStyle w:val="18"/>
              <w:ind w:left="0" w:leftChars="0" w:firstLine="0" w:firstLineChars="0"/>
              <w:rPr>
                <w:rFonts w:hint="default" w:ascii="宋体" w:hAnsi="宋体" w:eastAsia="宋体" w:cs="宋体"/>
                <w:kern w:val="0"/>
                <w:sz w:val="21"/>
                <w:szCs w:val="21"/>
                <w:highlight w:val="none"/>
                <w:lang w:val="en-US" w:eastAsia="zh-CN" w:bidi="ar"/>
              </w:rPr>
            </w:pPr>
            <w:r>
              <w:rPr>
                <w:rFonts w:hint="eastAsia" w:ascii="宋体" w:hAnsi="宋体" w:eastAsia="宋体" w:cs="Times New Roman"/>
                <w:kern w:val="2"/>
                <w:sz w:val="24"/>
                <w:szCs w:val="24"/>
                <w:highlight w:val="none"/>
                <w:lang w:val="en-US" w:eastAsia="zh-CN" w:bidi="ar-SA"/>
              </w:rPr>
              <w:t>工艺要求：工艺锻铜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w:t>
            </w:r>
          </w:p>
        </w:tc>
        <w:tc>
          <w:tcPr>
            <w:tcW w:w="712"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autoSpaceDE w:val="0"/>
              <w:autoSpaceDN w:val="0"/>
              <w:adjustRightInd w:val="0"/>
              <w:spacing w:before="100" w:beforeAutospacing="1" w:after="100" w:afterAutospacing="1" w:line="360" w:lineRule="auto"/>
              <w:ind w:right="-21" w:rightChars="-10"/>
              <w:jc w:val="left"/>
              <w:rPr>
                <w:rFonts w:hint="default"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设计内容</w:t>
            </w:r>
          </w:p>
        </w:tc>
        <w:tc>
          <w:tcPr>
            <w:tcW w:w="7775" w:type="dxa"/>
            <w:gridSpan w:val="4"/>
            <w:tcBorders>
              <w:top w:val="single" w:color="auto" w:sz="4" w:space="0"/>
              <w:left w:val="nil"/>
              <w:bottom w:val="single" w:color="auto" w:sz="4" w:space="0"/>
              <w:right w:val="single" w:color="auto" w:sz="4" w:space="0"/>
            </w:tcBorders>
            <w:noWrap w:val="0"/>
            <w:vAlign w:val="center"/>
          </w:tcPr>
          <w:p>
            <w:pPr>
              <w:pStyle w:val="18"/>
              <w:ind w:left="0" w:leftChars="0" w:firstLine="0" w:firstLineChars="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投标单位结合“普及气象知识，彰显我校特色”的项目宗旨，针对气象站标识牌、雕塑文化牌出具设计方案及相应效果图。</w:t>
            </w:r>
          </w:p>
        </w:tc>
      </w:tr>
    </w:tbl>
    <w:p>
      <w:pPr>
        <w:pStyle w:val="19"/>
        <w:ind w:left="0" w:leftChars="0" w:firstLine="0" w:firstLineChars="0"/>
        <w:rPr>
          <w:rFonts w:hint="eastAsia" w:ascii="宋体" w:hAnsi="宋体" w:eastAsia="宋体" w:cs="宋体"/>
          <w:b/>
          <w:bCs/>
          <w:kern w:val="2"/>
          <w:sz w:val="28"/>
          <w:szCs w:val="28"/>
          <w:highlight w:val="none"/>
          <w:lang w:val="en-US" w:eastAsia="zh-CN" w:bidi="ar"/>
        </w:rPr>
      </w:pPr>
      <w:r>
        <w:rPr>
          <w:rFonts w:hint="eastAsia" w:ascii="宋体" w:hAnsi="宋体" w:eastAsia="宋体" w:cs="宋体"/>
          <w:b/>
          <w:bCs/>
          <w:kern w:val="2"/>
          <w:sz w:val="28"/>
          <w:szCs w:val="28"/>
          <w:highlight w:val="none"/>
          <w:lang w:val="en-US" w:eastAsia="zh-CN" w:bidi="ar"/>
        </w:rPr>
        <w:t>三、交付要求：</w:t>
      </w:r>
    </w:p>
    <w:p>
      <w:pPr>
        <w:spacing w:before="2" w:line="360" w:lineRule="auto"/>
        <w:ind w:firstLine="420" w:firstLineChars="0"/>
        <w:outlineLvl w:val="3"/>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中标后，中标单位按招标方通知的时间、地点进行建设、施工，并经招标方确认合格无误后方可交付。</w:t>
      </w:r>
    </w:p>
    <w:p>
      <w:pPr>
        <w:pStyle w:val="19"/>
        <w:ind w:left="0" w:leftChars="0" w:firstLine="0" w:firstLineChars="0"/>
        <w:rPr>
          <w:rFonts w:hint="eastAsia" w:ascii="宋体" w:hAnsi="宋体" w:eastAsia="宋体" w:cs="宋体"/>
          <w:b/>
          <w:bCs/>
          <w:kern w:val="2"/>
          <w:sz w:val="28"/>
          <w:szCs w:val="28"/>
          <w:highlight w:val="none"/>
          <w:lang w:val="en-US" w:eastAsia="zh-CN" w:bidi="ar"/>
        </w:rPr>
      </w:pPr>
      <w:r>
        <w:rPr>
          <w:rFonts w:hint="eastAsia" w:ascii="宋体" w:hAnsi="宋体" w:eastAsia="宋体" w:cs="宋体"/>
          <w:b/>
          <w:bCs/>
          <w:kern w:val="2"/>
          <w:sz w:val="28"/>
          <w:szCs w:val="28"/>
          <w:highlight w:val="none"/>
          <w:lang w:val="en-US" w:eastAsia="zh-CN" w:bidi="ar"/>
        </w:rPr>
        <w:t>四、质保要求：</w:t>
      </w:r>
    </w:p>
    <w:p>
      <w:pPr>
        <w:pStyle w:val="18"/>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免费质保至少一年。在质量保证期内如果设备出现故障，中标单位应自付费用提供质保期服务，对相关设备进行修理或更换以消除故障。更换的设备和（或）关键部件的质量保证期应重新计算。</w:t>
      </w:r>
    </w:p>
    <w:p>
      <w:pPr>
        <w:rPr>
          <w:rFonts w:hint="eastAsia" w:ascii="宋体"/>
          <w:b/>
          <w:bCs/>
          <w:sz w:val="28"/>
          <w:szCs w:val="28"/>
        </w:rPr>
      </w:pPr>
      <w:r>
        <w:rPr>
          <w:rFonts w:hint="eastAsia" w:ascii="宋体"/>
          <w:b/>
          <w:bCs/>
          <w:sz w:val="28"/>
          <w:szCs w:val="28"/>
        </w:rPr>
        <w:t>（本部分内容由南京信息工程大学</w:t>
      </w:r>
      <w:r>
        <w:rPr>
          <w:rFonts w:hint="eastAsia" w:ascii="宋体"/>
          <w:b/>
          <w:bCs/>
          <w:sz w:val="28"/>
          <w:szCs w:val="28"/>
          <w:lang w:val="en-US" w:eastAsia="zh-CN"/>
        </w:rPr>
        <w:t>学生工作处</w:t>
      </w:r>
      <w:r>
        <w:rPr>
          <w:rFonts w:hint="eastAsia" w:ascii="宋体"/>
          <w:b/>
          <w:bCs/>
          <w:sz w:val="28"/>
          <w:szCs w:val="28"/>
        </w:rPr>
        <w:t>提供并负责）</w:t>
      </w:r>
    </w:p>
    <w:p>
      <w:pPr>
        <w:pStyle w:val="19"/>
        <w:ind w:left="0" w:leftChars="0" w:firstLine="0" w:firstLineChars="0"/>
        <w:rPr>
          <w:rFonts w:hint="eastAsia"/>
          <w:highlight w:val="none"/>
        </w:rPr>
      </w:pPr>
    </w:p>
    <w:p>
      <w:pPr>
        <w:pStyle w:val="19"/>
        <w:rPr>
          <w:rFonts w:hint="eastAsia"/>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2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keepNext w:val="0"/>
        <w:keepLines w:val="0"/>
        <w:widowControl/>
        <w:suppressLineNumbers w:val="0"/>
        <w:jc w:val="left"/>
        <w:rPr>
          <w:rFonts w:hint="eastAsia"/>
          <w:sz w:val="28"/>
          <w:szCs w:val="28"/>
          <w:highlight w:val="none"/>
          <w:lang w:val="en-US" w:eastAsia="zh-CN"/>
        </w:rPr>
      </w:pPr>
      <w:r>
        <w:rPr>
          <w:rFonts w:hint="eastAsia"/>
          <w:sz w:val="28"/>
          <w:szCs w:val="28"/>
          <w:highlight w:val="none"/>
          <w:lang w:val="en-US" w:eastAsia="zh-CN"/>
        </w:rPr>
        <w:t xml:space="preserve">    1、中标单位负责气象站日常维保工作，并负责设备日常保养技术培训，并定期将南京信息工程大学科普与文化资讯，同步完善到校园气象站播放大屏上去。质保期内，中标单位提供免费的日常维护。质保期满，中标单位仍然需负责气象站的日常维护工作，维保费用双方另行协商。</w:t>
      </w:r>
    </w:p>
    <w:p>
      <w:pPr>
        <w:numPr>
          <w:ilvl w:val="0"/>
          <w:numId w:val="0"/>
        </w:numPr>
        <w:ind w:firstLine="560"/>
        <w:jc w:val="left"/>
        <w:rPr>
          <w:rFonts w:hint="eastAsia"/>
          <w:sz w:val="28"/>
          <w:szCs w:val="28"/>
          <w:highlight w:val="none"/>
          <w:lang w:val="en-US" w:eastAsia="zh-CN"/>
        </w:rPr>
      </w:pPr>
      <w:r>
        <w:rPr>
          <w:rFonts w:hint="eastAsia"/>
          <w:sz w:val="28"/>
          <w:szCs w:val="28"/>
          <w:highlight w:val="none"/>
          <w:lang w:val="en-US" w:eastAsia="zh-CN"/>
        </w:rPr>
        <w:t>2、科普设备一旦出现故障，中标单位必须24小时提供现场维保服务，维保人员必须持证上岗。</w:t>
      </w:r>
    </w:p>
    <w:p>
      <w:pPr>
        <w:numPr>
          <w:ilvl w:val="0"/>
          <w:numId w:val="0"/>
        </w:numPr>
        <w:ind w:firstLine="560"/>
        <w:jc w:val="left"/>
        <w:rPr>
          <w:rFonts w:hint="eastAsia"/>
          <w:sz w:val="28"/>
          <w:szCs w:val="28"/>
          <w:highlight w:val="none"/>
          <w:lang w:val="en-US" w:eastAsia="zh-CN"/>
        </w:rPr>
      </w:pPr>
      <w:r>
        <w:rPr>
          <w:rFonts w:hint="eastAsia"/>
          <w:sz w:val="28"/>
          <w:szCs w:val="28"/>
          <w:highlight w:val="none"/>
          <w:lang w:val="en-US" w:eastAsia="zh-CN"/>
        </w:rPr>
        <w:t>3、气象站设备在质保期内，中标单位每季度定期进行安全检修，确保设备安全运行要求。</w:t>
      </w:r>
    </w:p>
    <w:p>
      <w:pPr>
        <w:numPr>
          <w:ilvl w:val="0"/>
          <w:numId w:val="0"/>
        </w:numPr>
        <w:ind w:firstLine="560"/>
        <w:jc w:val="left"/>
        <w:rPr>
          <w:rFonts w:hint="eastAsia"/>
          <w:sz w:val="28"/>
          <w:szCs w:val="28"/>
          <w:highlight w:val="none"/>
          <w:lang w:val="en-US" w:eastAsia="zh-CN"/>
        </w:rPr>
      </w:pPr>
      <w:r>
        <w:rPr>
          <w:rFonts w:hint="eastAsia"/>
          <w:sz w:val="28"/>
          <w:szCs w:val="28"/>
          <w:highlight w:val="none"/>
          <w:lang w:val="en-US" w:eastAsia="zh-CN"/>
        </w:rPr>
        <w:t>4、 如果技术人员不合格，我方有权要求卖方撤换，因撤换而产生的费用应由中标单位承担。</w:t>
      </w:r>
    </w:p>
    <w:p>
      <w:pPr>
        <w:numPr>
          <w:ilvl w:val="0"/>
          <w:numId w:val="0"/>
        </w:numPr>
        <w:jc w:val="left"/>
        <w:rPr>
          <w:rFonts w:hint="default"/>
          <w:sz w:val="28"/>
          <w:szCs w:val="28"/>
          <w:highlight w:val="none"/>
          <w:lang w:val="en-US" w:eastAsia="zh-CN"/>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pStyle w:val="19"/>
        <w:rPr>
          <w:highlight w:val="none"/>
        </w:rPr>
      </w:pPr>
    </w:p>
    <w:p>
      <w:pPr>
        <w:adjustRightInd w:val="0"/>
        <w:snapToGrid w:val="0"/>
        <w:spacing w:line="360" w:lineRule="auto"/>
        <w:rPr>
          <w:rFonts w:hint="eastAsia" w:ascii="宋体" w:hAnsi="宋体" w:eastAsia="宋体" w:cs="仿宋"/>
          <w:b/>
          <w:bCs/>
          <w:sz w:val="28"/>
          <w:szCs w:val="28"/>
          <w:highlight w:val="none"/>
          <w:lang w:eastAsia="zh-CN"/>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5"/>
        <w:gridCol w:w="1561"/>
        <w:gridCol w:w="4612"/>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u w:val="none"/>
                <w:vertAlign w:val="baseline"/>
                <w:lang w:val="en-US" w:eastAsia="zh-CN"/>
              </w:rPr>
            </w:pPr>
            <w:r>
              <w:rPr>
                <w:rFonts w:hint="eastAsia" w:ascii="宋体" w:hAnsi="宋体" w:eastAsia="宋体" w:cs="宋体"/>
                <w:b/>
                <w:bCs/>
                <w:sz w:val="21"/>
                <w:szCs w:val="21"/>
                <w:highlight w:val="none"/>
                <w:u w:val="none"/>
                <w:vertAlign w:val="baseline"/>
                <w:lang w:val="zh-TW" w:eastAsia="zh-TW"/>
              </w:rPr>
              <w:t>序号</w:t>
            </w:r>
          </w:p>
        </w:tc>
        <w:tc>
          <w:tcPr>
            <w:tcW w:w="110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u w:val="none"/>
                <w:vertAlign w:val="baseline"/>
                <w:lang w:val="en-US" w:eastAsia="zh-CN"/>
              </w:rPr>
            </w:pPr>
            <w:r>
              <w:rPr>
                <w:rFonts w:hint="eastAsia" w:ascii="宋体" w:hAnsi="宋体" w:eastAsia="宋体" w:cs="宋体"/>
                <w:b/>
                <w:bCs/>
                <w:sz w:val="21"/>
                <w:szCs w:val="21"/>
                <w:highlight w:val="none"/>
                <w:u w:val="none"/>
                <w:vertAlign w:val="baseline"/>
                <w:lang w:val="en-US" w:eastAsia="zh-CN"/>
              </w:rPr>
              <w:t>评审因素</w:t>
            </w:r>
          </w:p>
        </w:tc>
        <w:tc>
          <w:tcPr>
            <w:tcW w:w="15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u w:val="none"/>
                <w:vertAlign w:val="baseline"/>
                <w:lang w:val="en-US" w:eastAsia="zh-CN"/>
              </w:rPr>
            </w:pPr>
            <w:r>
              <w:rPr>
                <w:rFonts w:hint="eastAsia" w:ascii="宋体" w:hAnsi="宋体" w:eastAsia="宋体" w:cs="宋体"/>
                <w:b/>
                <w:bCs/>
                <w:sz w:val="21"/>
                <w:szCs w:val="21"/>
                <w:highlight w:val="none"/>
                <w:u w:val="none"/>
                <w:vertAlign w:val="baseline"/>
                <w:lang w:val="en-US" w:eastAsia="zh-CN"/>
              </w:rPr>
              <w:t>分值</w:t>
            </w:r>
          </w:p>
        </w:tc>
        <w:tc>
          <w:tcPr>
            <w:tcW w:w="461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u w:val="none"/>
                <w:vertAlign w:val="baseline"/>
                <w:lang w:val="en-US" w:eastAsia="zh-CN"/>
              </w:rPr>
            </w:pPr>
            <w:r>
              <w:rPr>
                <w:rFonts w:hint="eastAsia" w:ascii="宋体" w:hAnsi="宋体" w:eastAsia="宋体" w:cs="宋体"/>
                <w:b/>
                <w:bCs/>
                <w:sz w:val="21"/>
                <w:szCs w:val="21"/>
                <w:highlight w:val="none"/>
                <w:u w:val="none"/>
                <w:vertAlign w:val="baseline"/>
                <w:lang w:val="en-US" w:eastAsia="zh-CN"/>
              </w:rPr>
              <w:t>评分标准</w:t>
            </w:r>
          </w:p>
        </w:tc>
        <w:tc>
          <w:tcPr>
            <w:tcW w:w="18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u w:val="none"/>
                <w:vertAlign w:val="baseline"/>
                <w:lang w:val="en-US" w:eastAsia="zh-CN"/>
              </w:rPr>
            </w:pPr>
            <w:r>
              <w:rPr>
                <w:rFonts w:hint="eastAsia" w:ascii="宋体" w:hAnsi="宋体" w:eastAsia="宋体" w:cs="宋体"/>
                <w:b/>
                <w:bCs/>
                <w:sz w:val="21"/>
                <w:szCs w:val="21"/>
                <w:highlight w:val="none"/>
                <w:u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1</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投标报价 (40%)</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40分</w:t>
            </w:r>
          </w:p>
        </w:tc>
        <w:tc>
          <w:tcPr>
            <w:tcW w:w="4612" w:type="dxa"/>
            <w:noWrap w:val="0"/>
            <w:vAlign w:val="center"/>
          </w:tcPr>
          <w:p>
            <w:pPr>
              <w:tabs>
                <w:tab w:val="left" w:pos="5130"/>
              </w:tabs>
              <w:adjustRightInd w:val="0"/>
              <w:snapToGrid w:val="0"/>
              <w:spacing w:line="360" w:lineRule="auto"/>
              <w:jc w:val="left"/>
              <w:rPr>
                <w:rFonts w:hint="eastAsia"/>
                <w:highlight w:val="none"/>
              </w:rPr>
            </w:pPr>
            <w:r>
              <w:rPr>
                <w:rFonts w:hint="eastAsia"/>
                <w:highlight w:val="none"/>
                <w:lang w:val="en-US" w:eastAsia="zh-CN"/>
              </w:rPr>
              <w:t>1）</w:t>
            </w:r>
            <w:r>
              <w:rPr>
                <w:rFonts w:hint="eastAsia"/>
                <w:highlight w:val="none"/>
              </w:rPr>
              <w:t>价格分采用低价优先法计算，即通过资格性和符合性审查且投标价格最低的投标报价为评标基准价，其价格得分为满分</w:t>
            </w:r>
            <w:r>
              <w:rPr>
                <w:rFonts w:hint="eastAsia"/>
                <w:highlight w:val="none"/>
                <w:lang w:val="en-US" w:eastAsia="zh-CN"/>
              </w:rPr>
              <w:t>4</w:t>
            </w:r>
            <w:r>
              <w:rPr>
                <w:rFonts w:hint="eastAsia"/>
                <w:highlight w:val="none"/>
              </w:rPr>
              <w:t>0分。</w:t>
            </w:r>
          </w:p>
          <w:p>
            <w:pPr>
              <w:tabs>
                <w:tab w:val="left" w:pos="5130"/>
              </w:tabs>
              <w:adjustRightInd w:val="0"/>
              <w:snapToGrid w:val="0"/>
              <w:spacing w:line="360" w:lineRule="auto"/>
              <w:jc w:val="left"/>
              <w:rPr>
                <w:rFonts w:hint="eastAsia"/>
                <w:highlight w:val="none"/>
              </w:rPr>
            </w:pPr>
            <w:r>
              <w:rPr>
                <w:rFonts w:hint="eastAsia"/>
                <w:highlight w:val="none"/>
              </w:rPr>
              <w:t>2）其他投标人的价格分统一按照下列公式计算：</w:t>
            </w:r>
          </w:p>
          <w:p>
            <w:pPr>
              <w:tabs>
                <w:tab w:val="left" w:pos="5130"/>
              </w:tabs>
              <w:adjustRightInd w:val="0"/>
              <w:snapToGrid w:val="0"/>
              <w:spacing w:line="360" w:lineRule="auto"/>
              <w:jc w:val="left"/>
              <w:rPr>
                <w:rFonts w:hint="eastAsia"/>
                <w:highlight w:val="none"/>
              </w:rPr>
            </w:pPr>
            <w:r>
              <w:rPr>
                <w:rFonts w:hint="eastAsia"/>
                <w:highlight w:val="none"/>
              </w:rPr>
              <w:t>投标报价得分=(评标基准价／投标报价)×</w:t>
            </w:r>
            <w:r>
              <w:rPr>
                <w:rFonts w:hint="eastAsia"/>
                <w:highlight w:val="none"/>
                <w:lang w:val="en-US" w:eastAsia="zh-CN"/>
              </w:rPr>
              <w:t>4</w:t>
            </w:r>
            <w:r>
              <w:rPr>
                <w:rFonts w:hint="eastAsia"/>
                <w:highlight w:val="none"/>
              </w:rPr>
              <w:t>0</w:t>
            </w:r>
          </w:p>
          <w:p>
            <w:pPr>
              <w:tabs>
                <w:tab w:val="left" w:pos="5130"/>
              </w:tabs>
              <w:adjustRightInd w:val="0"/>
              <w:snapToGrid w:val="0"/>
              <w:spacing w:line="360" w:lineRule="auto"/>
              <w:jc w:val="left"/>
              <w:rPr>
                <w:rFonts w:hint="eastAsia"/>
                <w:highlight w:val="none"/>
              </w:rPr>
            </w:pPr>
            <w:r>
              <w:rPr>
                <w:rFonts w:hint="eastAsia"/>
                <w:highlight w:val="none"/>
              </w:rPr>
              <w:t>注：价格分计算保留小数点后二位。</w:t>
            </w:r>
          </w:p>
          <w:p>
            <w:pPr>
              <w:tabs>
                <w:tab w:val="left" w:pos="5130"/>
              </w:tabs>
              <w:adjustRightInd w:val="0"/>
              <w:snapToGrid w:val="0"/>
              <w:spacing w:line="360" w:lineRule="auto"/>
              <w:jc w:val="left"/>
              <w:rPr>
                <w:rFonts w:hint="eastAsia" w:eastAsia="宋体"/>
                <w:highlight w:val="none"/>
                <w:lang w:eastAsia="zh-CN"/>
              </w:rPr>
            </w:pPr>
            <w:r>
              <w:rPr>
                <w:rFonts w:hint="eastAsia"/>
                <w:highlight w:val="none"/>
              </w:rPr>
              <w:t>备注：</w:t>
            </w:r>
            <w:r>
              <w:rPr>
                <w:rFonts w:hint="eastAsia" w:ascii="Calibri" w:hAnsi="Calibri" w:cs="Calibri"/>
                <w:highlight w:val="none"/>
                <w:lang w:eastAsia="zh-CN"/>
              </w:rPr>
              <w:t>投标价超出预算价，投标无效。</w:t>
            </w:r>
          </w:p>
          <w:p>
            <w:pPr>
              <w:pStyle w:val="19"/>
              <w:rPr>
                <w:rFonts w:hint="eastAsia"/>
                <w:highlight w:val="none"/>
                <w:lang w:val="en-US" w:eastAsia="zh-CN"/>
              </w:rPr>
            </w:pPr>
          </w:p>
        </w:tc>
        <w:tc>
          <w:tcPr>
            <w:tcW w:w="18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8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1"/>
                <w:szCs w:val="21"/>
                <w:highlight w:val="none"/>
                <w:u w:val="none"/>
                <w:vertAlign w:val="baseline"/>
                <w:lang w:val="en-US" w:eastAsia="zh-CN"/>
              </w:rPr>
            </w:pPr>
            <w:r>
              <w:rPr>
                <w:rFonts w:hint="eastAsia" w:ascii="宋体" w:hAnsi="宋体" w:cs="宋体"/>
                <w:b w:val="0"/>
                <w:bCs w:val="0"/>
                <w:sz w:val="21"/>
                <w:szCs w:val="21"/>
                <w:highlight w:val="none"/>
                <w:u w:val="none"/>
                <w:vertAlign w:val="baseline"/>
                <w:lang w:val="en-US" w:eastAsia="zh-CN"/>
              </w:rPr>
              <w:t>2</w:t>
            </w: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技术部分 (50%)</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技术指标</w:t>
            </w:r>
            <w:r>
              <w:rPr>
                <w:rFonts w:hint="eastAsia" w:ascii="宋体" w:hAnsi="宋体" w:cs="宋体"/>
                <w:b w:val="0"/>
                <w:bCs w:val="0"/>
                <w:sz w:val="21"/>
                <w:szCs w:val="21"/>
                <w:highlight w:val="none"/>
                <w:u w:val="none"/>
                <w:vertAlign w:val="baseline"/>
                <w:lang w:val="en-US" w:eastAsia="zh-CN"/>
              </w:rPr>
              <w:t>（18</w:t>
            </w:r>
            <w:r>
              <w:rPr>
                <w:rFonts w:hint="eastAsia" w:ascii="宋体" w:hAnsi="宋体" w:eastAsia="宋体" w:cs="宋体"/>
                <w:b w:val="0"/>
                <w:bCs w:val="0"/>
                <w:sz w:val="21"/>
                <w:szCs w:val="21"/>
                <w:highlight w:val="none"/>
                <w:u w:val="none"/>
                <w:vertAlign w:val="baseline"/>
                <w:lang w:val="en-US" w:eastAsia="zh-CN"/>
              </w:rPr>
              <w:t>分）</w:t>
            </w:r>
          </w:p>
        </w:tc>
        <w:tc>
          <w:tcPr>
            <w:tcW w:w="4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投标货物的技术指标或功能全部满足或优于技术要求的得基本分</w:t>
            </w: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rPr>
              <w:t>分；</w:t>
            </w:r>
            <w:bookmarkStart w:id="11" w:name="_Hlk71296848"/>
            <w:r>
              <w:rPr>
                <w:rFonts w:hint="eastAsia" w:ascii="宋体" w:hAnsi="宋体" w:eastAsia="宋体" w:cs="宋体"/>
                <w:sz w:val="21"/>
                <w:szCs w:val="21"/>
                <w:highlight w:val="none"/>
              </w:rPr>
              <w:t>打★号指标为核心指标项，如有负偏离按无效投标处理；</w:t>
            </w:r>
            <w:bookmarkEnd w:id="11"/>
            <w:r>
              <w:rPr>
                <w:rFonts w:hint="eastAsia" w:ascii="宋体" w:hAnsi="宋体" w:eastAsia="宋体" w:cs="宋体"/>
                <w:sz w:val="21"/>
                <w:szCs w:val="21"/>
                <w:highlight w:val="none"/>
              </w:rPr>
              <w:t>打▲号指标，有一项负偏离扣3分；</w:t>
            </w:r>
            <w:r>
              <w:rPr>
                <w:rFonts w:hint="eastAsia" w:ascii="宋体" w:hAnsi="宋体" w:eastAsia="宋体" w:cs="宋体"/>
                <w:sz w:val="21"/>
                <w:szCs w:val="21"/>
                <w:highlight w:val="none"/>
                <w:lang w:val="en-US" w:eastAsia="zh-CN"/>
              </w:rPr>
              <w:t>非</w:t>
            </w:r>
            <w:r>
              <w:rPr>
                <w:rFonts w:hint="eastAsia" w:ascii="宋体" w:hAnsi="宋体" w:eastAsia="宋体" w:cs="宋体"/>
                <w:sz w:val="21"/>
                <w:szCs w:val="21"/>
                <w:highlight w:val="none"/>
              </w:rPr>
              <w:t>打★▲号指标，有一项负偏离扣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分，扣完基本分</w:t>
            </w: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分为止。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FF0000"/>
                <w:sz w:val="21"/>
                <w:szCs w:val="21"/>
                <w:highlight w:val="none"/>
                <w:u w:val="none"/>
                <w:vertAlign w:val="baseli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各投标供应商均应如实填写偏离情况，技术参数性能等偏离不能改变采购产品使用的质量和功能，否则为无效投标。</w:t>
            </w:r>
            <w:r>
              <w:rPr>
                <w:rFonts w:hint="eastAsia" w:ascii="宋体" w:hAnsi="宋体" w:eastAsia="宋体" w:cs="宋体"/>
                <w:sz w:val="21"/>
                <w:szCs w:val="21"/>
                <w:highlight w:val="none"/>
                <w:lang w:eastAsia="zh-CN"/>
              </w:rPr>
              <w:t>）</w:t>
            </w:r>
          </w:p>
        </w:tc>
        <w:tc>
          <w:tcPr>
            <w:tcW w:w="187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c>
          <w:tcPr>
            <w:tcW w:w="1561" w:type="dxa"/>
            <w:noWrap w:val="0"/>
            <w:vAlign w:val="center"/>
          </w:tcPr>
          <w:p>
            <w:pPr>
              <w:tabs>
                <w:tab w:val="left" w:pos="5130"/>
              </w:tabs>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设计创意</w:t>
            </w:r>
          </w:p>
          <w:p>
            <w:pPr>
              <w:tabs>
                <w:tab w:val="left" w:pos="5130"/>
              </w:tabs>
              <w:adjustRightInd w:val="0"/>
              <w:snapToGrid w:val="0"/>
              <w:spacing w:line="360" w:lineRule="auto"/>
              <w:jc w:val="left"/>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4612" w:type="dxa"/>
            <w:noWrap w:val="0"/>
            <w:vAlign w:val="center"/>
          </w:tcPr>
          <w:p>
            <w:pPr>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优：主题突出，构思新颖，内容与形式完美统一，得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pPr>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良：能表达主题，构思较新颖，内容与形式基本统一，得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pPr>
              <w:tabs>
                <w:tab w:val="left" w:pos="5130"/>
              </w:tabs>
              <w:adjustRightInd w:val="0"/>
              <w:snapToGrid w:val="0"/>
              <w:spacing w:line="360" w:lineRule="auto"/>
              <w:jc w:val="left"/>
              <w:rPr>
                <w:rFonts w:hint="eastAsia" w:ascii="宋体" w:hAnsi="宋体" w:eastAsia="宋体" w:cs="宋体"/>
                <w:b w:val="0"/>
                <w:bCs w:val="0"/>
                <w:color w:val="FF0000"/>
                <w:sz w:val="21"/>
                <w:szCs w:val="21"/>
                <w:highlight w:val="none"/>
                <w:u w:val="none"/>
                <w:lang w:val="en-US" w:eastAsia="zh-CN"/>
              </w:rPr>
            </w:pPr>
            <w:r>
              <w:rPr>
                <w:rFonts w:hint="eastAsia" w:ascii="宋体" w:hAnsi="宋体" w:eastAsia="宋体" w:cs="宋体"/>
                <w:sz w:val="21"/>
                <w:szCs w:val="21"/>
                <w:highlight w:val="none"/>
              </w:rPr>
              <w:t>一般：主题不突出，构思单一，内容与形式脱节，得2分</w:t>
            </w:r>
            <w:r>
              <w:rPr>
                <w:rFonts w:hint="eastAsia" w:ascii="宋体" w:hAnsi="宋体" w:cs="宋体"/>
                <w:sz w:val="21"/>
                <w:szCs w:val="21"/>
                <w:highlight w:val="none"/>
                <w:lang w:eastAsia="zh-CN"/>
              </w:rPr>
              <w:t>。</w:t>
            </w:r>
            <w:bookmarkStart w:id="12" w:name="_GoBack"/>
            <w:bookmarkEnd w:id="12"/>
          </w:p>
        </w:tc>
        <w:tc>
          <w:tcPr>
            <w:tcW w:w="18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c>
          <w:tcPr>
            <w:tcW w:w="1561" w:type="dxa"/>
            <w:noWrap w:val="0"/>
            <w:vAlign w:val="center"/>
          </w:tcPr>
          <w:p>
            <w:pPr>
              <w:tabs>
                <w:tab w:val="left" w:pos="5130"/>
              </w:tabs>
              <w:adjustRightInd w:val="0"/>
              <w:snapToGrid w:val="0"/>
              <w:spacing w:line="360" w:lineRule="auto"/>
              <w:jc w:val="left"/>
              <w:rPr>
                <w:rFonts w:hint="eastAsia" w:ascii="宋体" w:hAnsi="宋体" w:eastAsia="宋体" w:cs="宋体"/>
                <w:b w:val="0"/>
                <w:bCs w:val="0"/>
                <w:sz w:val="21"/>
                <w:szCs w:val="21"/>
                <w:highlight w:val="none"/>
                <w:u w:val="none"/>
                <w:lang w:val="en-US" w:eastAsia="zh-CN"/>
              </w:rPr>
            </w:pPr>
            <w:r>
              <w:rPr>
                <w:rFonts w:hint="eastAsia" w:ascii="宋体" w:hAnsi="宋体" w:eastAsia="宋体" w:cs="宋体"/>
                <w:sz w:val="21"/>
                <w:szCs w:val="21"/>
                <w:highlight w:val="none"/>
              </w:rPr>
              <w:t>方案深化设计（</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c>
          <w:tcPr>
            <w:tcW w:w="4612" w:type="dxa"/>
            <w:noWrap w:val="0"/>
            <w:vAlign w:val="center"/>
          </w:tcPr>
          <w:p>
            <w:pPr>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根据方案深化设计中环境营造效果图的多角视图、精细程度，图纸深化设计以及与</w:t>
            </w:r>
            <w:r>
              <w:rPr>
                <w:rFonts w:hint="eastAsia" w:ascii="宋体" w:hAnsi="宋体" w:eastAsia="宋体" w:cs="宋体"/>
                <w:sz w:val="21"/>
                <w:szCs w:val="21"/>
                <w:highlight w:val="none"/>
                <w:lang w:val="en-US" w:eastAsia="zh-CN"/>
              </w:rPr>
              <w:t>设备</w:t>
            </w:r>
            <w:r>
              <w:rPr>
                <w:rFonts w:hint="eastAsia" w:ascii="宋体" w:hAnsi="宋体" w:eastAsia="宋体" w:cs="宋体"/>
                <w:sz w:val="21"/>
                <w:szCs w:val="21"/>
                <w:highlight w:val="none"/>
              </w:rPr>
              <w:t>的契合程度等情况，进行综合评比打分。</w:t>
            </w:r>
          </w:p>
          <w:p>
            <w:pPr>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优：得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p>
            <w:pPr>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良：得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pPr>
              <w:adjustRightInd w:val="0"/>
              <w:snapToGrid w:val="0"/>
              <w:spacing w:line="360" w:lineRule="auto"/>
              <w:jc w:val="left"/>
              <w:rPr>
                <w:rFonts w:hint="eastAsia" w:ascii="宋体" w:hAnsi="宋体" w:eastAsia="宋体" w:cs="宋体"/>
                <w:b w:val="0"/>
                <w:bCs w:val="0"/>
                <w:color w:val="FF0000"/>
                <w:sz w:val="21"/>
                <w:szCs w:val="21"/>
                <w:highlight w:val="none"/>
                <w:u w:val="none"/>
                <w:lang w:val="en-US" w:eastAsia="zh-CN"/>
              </w:rPr>
            </w:pPr>
            <w:r>
              <w:rPr>
                <w:rFonts w:hint="eastAsia" w:ascii="宋体" w:hAnsi="宋体" w:eastAsia="宋体" w:cs="宋体"/>
                <w:sz w:val="21"/>
                <w:szCs w:val="21"/>
                <w:highlight w:val="none"/>
              </w:rPr>
              <w:t>一般：得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18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c>
          <w:tcPr>
            <w:tcW w:w="15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售后服务方案 (6分）</w:t>
            </w:r>
          </w:p>
        </w:tc>
        <w:tc>
          <w:tcPr>
            <w:tcW w:w="4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lang w:val="en-US" w:eastAsia="zh-CN"/>
              </w:rPr>
              <w:t>1.针对质量保证期内的售后服务，在满足</w:t>
            </w:r>
            <w:r>
              <w:rPr>
                <w:rFonts w:hint="eastAsia" w:ascii="宋体" w:hAnsi="宋体" w:cs="宋体"/>
                <w:b w:val="0"/>
                <w:bCs w:val="0"/>
                <w:sz w:val="21"/>
                <w:szCs w:val="21"/>
                <w:highlight w:val="none"/>
                <w:u w:val="none"/>
                <w:lang w:val="en-US" w:eastAsia="zh-CN"/>
              </w:rPr>
              <w:t>招标</w:t>
            </w:r>
            <w:r>
              <w:rPr>
                <w:rFonts w:hint="eastAsia" w:ascii="宋体" w:hAnsi="宋体" w:eastAsia="宋体" w:cs="宋体"/>
                <w:b w:val="0"/>
                <w:bCs w:val="0"/>
                <w:sz w:val="21"/>
                <w:szCs w:val="21"/>
                <w:highlight w:val="none"/>
                <w:u w:val="none"/>
                <w:lang w:val="en-US" w:eastAsia="zh-CN"/>
              </w:rPr>
              <w:t>文件的基础上，供应商提供了完整详细的方案且针对性强，售后服务人员配置齐全，专业对口得3分；供应商提供了简单通用的方案，售后服务人员配置较齐全，专业较对口得2分；供应商提供的方案有缺陷，得0.5分；未提供不得分。</w:t>
            </w:r>
          </w:p>
        </w:tc>
        <w:tc>
          <w:tcPr>
            <w:tcW w:w="18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p>
        </w:tc>
        <w:tc>
          <w:tcPr>
            <w:tcW w:w="15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p>
        </w:tc>
        <w:tc>
          <w:tcPr>
            <w:tcW w:w="4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lang w:val="en-US" w:eastAsia="zh-CN"/>
              </w:rPr>
              <w:t>2.针对质量保证期外的售后服务，在满足</w:t>
            </w:r>
            <w:r>
              <w:rPr>
                <w:rFonts w:hint="eastAsia" w:ascii="宋体" w:hAnsi="宋体" w:cs="宋体"/>
                <w:b w:val="0"/>
                <w:bCs w:val="0"/>
                <w:sz w:val="21"/>
                <w:szCs w:val="21"/>
                <w:highlight w:val="none"/>
                <w:u w:val="none"/>
                <w:lang w:val="en-US" w:eastAsia="zh-CN"/>
              </w:rPr>
              <w:t>招标</w:t>
            </w:r>
            <w:r>
              <w:rPr>
                <w:rFonts w:hint="eastAsia" w:ascii="宋体" w:hAnsi="宋体" w:eastAsia="宋体" w:cs="宋体"/>
                <w:b w:val="0"/>
                <w:bCs w:val="0"/>
                <w:sz w:val="21"/>
                <w:szCs w:val="21"/>
                <w:highlight w:val="none"/>
                <w:u w:val="none"/>
                <w:lang w:val="en-US" w:eastAsia="zh-CN"/>
              </w:rPr>
              <w:t>文件的基础上，供应商提供了完整详细的方案、针对性强</w:t>
            </w:r>
            <w:r>
              <w:rPr>
                <w:rFonts w:hint="eastAsia" w:ascii="宋体" w:hAnsi="宋体" w:eastAsia="宋体" w:cs="宋体"/>
                <w:b w:val="0"/>
                <w:bCs w:val="0"/>
                <w:sz w:val="21"/>
                <w:szCs w:val="21"/>
                <w:highlight w:val="none"/>
                <w:u w:val="none"/>
                <w:lang w:val="en-US" w:eastAsia="zh-CN"/>
              </w:rPr>
              <w:t>，提供常用的、容易损坏的完整的备品备件清单且价格合理，得3分；供应商提供了简单通用的方案，提供备品备件的清单且价格合理，得2分；供应商提供的方案有缺陷，提供备品备件的清单且价 格较合理，得0.5分；未提供不得分。</w:t>
            </w:r>
          </w:p>
        </w:tc>
        <w:tc>
          <w:tcPr>
            <w:tcW w:w="18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c>
          <w:tcPr>
            <w:tcW w:w="1561" w:type="dxa"/>
            <w:noWrap w:val="0"/>
            <w:vAlign w:val="center"/>
          </w:tcPr>
          <w:p>
            <w:pPr>
              <w:tabs>
                <w:tab w:val="left" w:pos="5130"/>
              </w:tabs>
              <w:adjustRightInd w:val="0"/>
              <w:snapToGrid w:val="0"/>
              <w:spacing w:line="360" w:lineRule="auto"/>
              <w:jc w:val="center"/>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资质证书</w:t>
            </w:r>
          </w:p>
          <w:p>
            <w:pPr>
              <w:tabs>
                <w:tab w:val="left" w:pos="5130"/>
              </w:tabs>
              <w:adjustRightInd w:val="0"/>
              <w:snapToGrid w:val="0"/>
              <w:spacing w:line="360" w:lineRule="auto"/>
              <w:jc w:val="center"/>
              <w:rPr>
                <w:rFonts w:hint="eastAsia" w:ascii="宋体" w:hAnsi="宋体" w:eastAsia="宋体" w:cs="宋体"/>
                <w:b w:val="0"/>
                <w:bCs w:val="0"/>
                <w:kern w:val="2"/>
                <w:sz w:val="21"/>
                <w:szCs w:val="21"/>
                <w:highlight w:val="none"/>
                <w:u w:val="none"/>
                <w:vertAlign w:val="baseline"/>
                <w:lang w:val="en-US" w:eastAsia="zh-CN" w:bidi="ar-SA"/>
              </w:rPr>
            </w:pPr>
            <w:r>
              <w:rPr>
                <w:rFonts w:hint="eastAsia" w:ascii="宋体" w:hAnsi="宋体" w:eastAsia="宋体" w:cs="宋体"/>
                <w:b w:val="0"/>
                <w:bCs w:val="0"/>
                <w:sz w:val="21"/>
                <w:szCs w:val="21"/>
                <w:highlight w:val="none"/>
                <w:u w:val="none"/>
                <w:lang w:val="en-US" w:eastAsia="zh-CN"/>
              </w:rPr>
              <w:t>（6分）</w:t>
            </w:r>
          </w:p>
        </w:tc>
        <w:tc>
          <w:tcPr>
            <w:tcW w:w="4612" w:type="dxa"/>
            <w:noWrap w:val="0"/>
            <w:vAlign w:val="center"/>
          </w:tcPr>
          <w:p>
            <w:pPr>
              <w:autoSpaceDE w:val="0"/>
              <w:autoSpaceDN w:val="0"/>
              <w:spacing w:line="400" w:lineRule="exact"/>
              <w:jc w:val="left"/>
              <w:rPr>
                <w:rFonts w:hint="eastAsia" w:ascii="宋体" w:hAnsi="宋体" w:eastAsia="宋体" w:cs="宋体"/>
                <w:b w:val="0"/>
                <w:bCs w:val="0"/>
                <w:color w:val="FF0000"/>
                <w:kern w:val="2"/>
                <w:sz w:val="21"/>
                <w:szCs w:val="21"/>
                <w:highlight w:val="none"/>
                <w:u w:val="none"/>
                <w:lang w:val="en-US" w:eastAsia="zh-CN" w:bidi="ar-SA"/>
              </w:rPr>
            </w:pPr>
            <w:r>
              <w:rPr>
                <w:rFonts w:hint="eastAsia" w:ascii="宋体" w:hAnsi="宋体" w:eastAsia="宋体" w:cs="宋体"/>
                <w:b w:val="0"/>
                <w:bCs w:val="0"/>
                <w:sz w:val="21"/>
                <w:szCs w:val="21"/>
                <w:highlight w:val="none"/>
                <w:u w:val="none"/>
                <w:lang w:val="en-US" w:eastAsia="zh-CN"/>
              </w:rPr>
              <w:t>1、投标人具有气象科普类专利或软件著作权证书的，每具有一个，得1分，满分6分。</w:t>
            </w:r>
          </w:p>
        </w:tc>
        <w:tc>
          <w:tcPr>
            <w:tcW w:w="18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8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3</w:t>
            </w: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商务部分 (10%)</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业绩(8分）</w:t>
            </w:r>
          </w:p>
        </w:tc>
        <w:tc>
          <w:tcPr>
            <w:tcW w:w="4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highlight w:val="none"/>
                <w:u w:val="none"/>
                <w:vertAlign w:val="baseline"/>
                <w:lang w:val="en-US" w:eastAsia="zh-CN"/>
              </w:rPr>
            </w:pPr>
            <w:r>
              <w:rPr>
                <w:rFonts w:hint="eastAsia" w:ascii="宋体" w:hAnsi="宋体" w:eastAsia="宋体" w:cs="宋体"/>
                <w:b w:val="0"/>
                <w:bCs w:val="0"/>
                <w:sz w:val="21"/>
                <w:szCs w:val="21"/>
                <w:highlight w:val="none"/>
                <w:u w:val="none"/>
                <w:lang w:val="en-US" w:eastAsia="zh-CN"/>
              </w:rPr>
              <w:t>响应人自2017年1月1日以来</w:t>
            </w:r>
            <w:r>
              <w:rPr>
                <w:rFonts w:hint="eastAsia" w:ascii="宋体" w:hAnsi="宋体" w:cs="宋体"/>
                <w:b w:val="0"/>
                <w:bCs w:val="0"/>
                <w:sz w:val="21"/>
                <w:szCs w:val="21"/>
                <w:highlight w:val="none"/>
                <w:u w:val="none"/>
                <w:lang w:val="en-US" w:eastAsia="zh-CN"/>
              </w:rPr>
              <w:t>，</w:t>
            </w:r>
            <w:r>
              <w:rPr>
                <w:rFonts w:hint="eastAsia" w:ascii="宋体" w:hAnsi="宋体" w:eastAsia="宋体" w:cs="宋体"/>
                <w:b w:val="0"/>
                <w:bCs w:val="0"/>
                <w:sz w:val="21"/>
                <w:szCs w:val="21"/>
                <w:highlight w:val="none"/>
                <w:u w:val="none"/>
                <w:lang w:val="en-US" w:eastAsia="zh-CN"/>
              </w:rPr>
              <w:t>签订过</w:t>
            </w:r>
            <w:r>
              <w:rPr>
                <w:rFonts w:hint="eastAsia" w:ascii="宋体" w:hAnsi="宋体" w:cs="宋体"/>
                <w:b w:val="0"/>
                <w:bCs w:val="0"/>
                <w:sz w:val="21"/>
                <w:szCs w:val="21"/>
                <w:highlight w:val="none"/>
                <w:u w:val="none"/>
                <w:lang w:val="en-US" w:eastAsia="zh-CN"/>
              </w:rPr>
              <w:t>与气象设备供货相关的</w:t>
            </w:r>
            <w:r>
              <w:rPr>
                <w:rFonts w:hint="eastAsia" w:ascii="宋体" w:hAnsi="宋体" w:eastAsia="宋体" w:cs="宋体"/>
                <w:b w:val="0"/>
                <w:bCs w:val="0"/>
                <w:sz w:val="21"/>
                <w:szCs w:val="21"/>
                <w:highlight w:val="none"/>
                <w:u w:val="none"/>
                <w:lang w:val="en-US" w:eastAsia="zh-CN"/>
              </w:rPr>
              <w:t>合同及协议，每提供1个得2分，满分8分。</w:t>
            </w:r>
            <w:r>
              <w:rPr>
                <w:rFonts w:hint="eastAsia" w:ascii="宋体" w:hAnsi="宋体" w:eastAsia="宋体" w:cs="宋体"/>
                <w:b/>
                <w:bCs/>
                <w:sz w:val="21"/>
                <w:szCs w:val="21"/>
                <w:highlight w:val="none"/>
                <w:u w:val="none"/>
                <w:lang w:val="en-US" w:eastAsia="zh-CN"/>
              </w:rPr>
              <w:t>(提供合同并加盖</w:t>
            </w:r>
            <w:r>
              <w:rPr>
                <w:rFonts w:hint="eastAsia" w:ascii="宋体" w:hAnsi="宋体" w:cs="宋体"/>
                <w:b/>
                <w:bCs/>
                <w:sz w:val="21"/>
                <w:szCs w:val="21"/>
                <w:highlight w:val="none"/>
                <w:u w:val="none"/>
                <w:lang w:val="en-US" w:eastAsia="zh-CN"/>
              </w:rPr>
              <w:t>投标</w:t>
            </w:r>
            <w:r>
              <w:rPr>
                <w:rFonts w:hint="eastAsia" w:ascii="宋体" w:hAnsi="宋体" w:eastAsia="宋体" w:cs="宋体"/>
                <w:b/>
                <w:bCs/>
                <w:sz w:val="21"/>
                <w:szCs w:val="21"/>
                <w:highlight w:val="none"/>
                <w:u w:val="none"/>
                <w:lang w:val="en-US" w:eastAsia="zh-CN"/>
              </w:rPr>
              <w:t>人公章)</w:t>
            </w:r>
          </w:p>
        </w:tc>
        <w:tc>
          <w:tcPr>
            <w:tcW w:w="18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免费质量保证期(2分)</w:t>
            </w:r>
          </w:p>
        </w:tc>
        <w:tc>
          <w:tcPr>
            <w:tcW w:w="4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lang w:val="en-US" w:eastAsia="zh-CN"/>
              </w:rPr>
              <w:t>质保期应</w:t>
            </w:r>
            <w:r>
              <w:rPr>
                <w:rFonts w:hint="eastAsia" w:ascii="宋体" w:hAnsi="宋体" w:cs="宋体"/>
                <w:b w:val="0"/>
                <w:bCs w:val="0"/>
                <w:sz w:val="21"/>
                <w:szCs w:val="21"/>
                <w:highlight w:val="none"/>
                <w:u w:val="none"/>
                <w:lang w:val="en-US" w:eastAsia="zh-CN"/>
              </w:rPr>
              <w:t>至少</w:t>
            </w:r>
            <w:r>
              <w:rPr>
                <w:rFonts w:hint="eastAsia" w:ascii="宋体" w:hAnsi="宋体" w:eastAsia="宋体" w:cs="宋体"/>
                <w:b w:val="0"/>
                <w:bCs w:val="0"/>
                <w:sz w:val="21"/>
                <w:szCs w:val="21"/>
                <w:highlight w:val="none"/>
                <w:u w:val="none"/>
                <w:lang w:val="en-US" w:eastAsia="zh-CN"/>
              </w:rPr>
              <w:t>满足</w:t>
            </w:r>
            <w:r>
              <w:rPr>
                <w:rFonts w:hint="eastAsia" w:ascii="宋体" w:hAnsi="宋体" w:cs="宋体"/>
                <w:b w:val="0"/>
                <w:bCs w:val="0"/>
                <w:sz w:val="21"/>
                <w:szCs w:val="21"/>
                <w:highlight w:val="none"/>
                <w:u w:val="none"/>
                <w:lang w:val="en-US" w:eastAsia="zh-CN"/>
              </w:rPr>
              <w:t>招标</w:t>
            </w:r>
            <w:r>
              <w:rPr>
                <w:rFonts w:hint="eastAsia" w:ascii="宋体" w:hAnsi="宋体" w:eastAsia="宋体" w:cs="宋体"/>
                <w:b w:val="0"/>
                <w:bCs w:val="0"/>
                <w:sz w:val="21"/>
                <w:szCs w:val="21"/>
                <w:highlight w:val="none"/>
                <w:u w:val="none"/>
                <w:lang w:val="en-US" w:eastAsia="zh-CN"/>
              </w:rPr>
              <w:t>文件确定的</w:t>
            </w:r>
            <w:r>
              <w:rPr>
                <w:rFonts w:hint="eastAsia" w:ascii="宋体" w:hAnsi="宋体" w:cs="宋体"/>
                <w:b w:val="0"/>
                <w:bCs w:val="0"/>
                <w:sz w:val="21"/>
                <w:szCs w:val="21"/>
                <w:highlight w:val="none"/>
                <w:u w:val="none"/>
                <w:lang w:val="en-US" w:eastAsia="zh-CN"/>
              </w:rPr>
              <w:t>一</w:t>
            </w:r>
            <w:r>
              <w:rPr>
                <w:rFonts w:hint="eastAsia" w:ascii="宋体" w:hAnsi="宋体" w:eastAsia="宋体" w:cs="宋体"/>
                <w:b w:val="0"/>
                <w:bCs w:val="0"/>
                <w:sz w:val="21"/>
                <w:szCs w:val="21"/>
                <w:highlight w:val="none"/>
                <w:u w:val="none"/>
                <w:lang w:val="en-US" w:eastAsia="zh-CN"/>
              </w:rPr>
              <w:t>年质保要求</w:t>
            </w:r>
            <w:r>
              <w:rPr>
                <w:rFonts w:hint="eastAsia" w:ascii="宋体" w:hAnsi="宋体" w:cs="宋体"/>
                <w:b w:val="0"/>
                <w:bCs w:val="0"/>
                <w:sz w:val="21"/>
                <w:szCs w:val="21"/>
                <w:highlight w:val="none"/>
                <w:u w:val="none"/>
                <w:lang w:val="en-US" w:eastAsia="zh-CN"/>
              </w:rPr>
              <w:t>。若质保两年，得</w:t>
            </w:r>
            <w:r>
              <w:rPr>
                <w:rFonts w:hint="eastAsia" w:ascii="宋体" w:hAnsi="宋体" w:eastAsia="宋体" w:cs="宋体"/>
                <w:b w:val="0"/>
                <w:bCs w:val="0"/>
                <w:sz w:val="21"/>
                <w:szCs w:val="21"/>
                <w:highlight w:val="none"/>
                <w:u w:val="none"/>
                <w:lang w:val="en-US" w:eastAsia="zh-CN"/>
              </w:rPr>
              <w:t>2分。</w:t>
            </w:r>
          </w:p>
        </w:tc>
        <w:tc>
          <w:tcPr>
            <w:tcW w:w="18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1"/>
                <w:szCs w:val="21"/>
                <w:highlight w:val="none"/>
                <w:u w:val="none"/>
                <w:vertAlign w:val="baseline"/>
                <w:lang w:val="en-US" w:eastAsia="zh-CN" w:bidi="ar-SA"/>
              </w:rPr>
            </w:pPr>
            <w:r>
              <w:rPr>
                <w:rFonts w:hint="eastAsia" w:ascii="宋体" w:hAnsi="宋体" w:cs="宋体"/>
                <w:b w:val="0"/>
                <w:bCs w:val="0"/>
                <w:sz w:val="21"/>
                <w:szCs w:val="21"/>
                <w:highlight w:val="none"/>
                <w:u w:val="none"/>
                <w:vertAlign w:val="baseline"/>
                <w:lang w:val="en-US" w:eastAsia="zh-CN"/>
              </w:rPr>
              <w:t>4</w:t>
            </w:r>
          </w:p>
        </w:tc>
        <w:tc>
          <w:tcPr>
            <w:tcW w:w="110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1"/>
                <w:szCs w:val="21"/>
                <w:highlight w:val="none"/>
                <w:u w:val="none"/>
                <w:vertAlign w:val="baseline"/>
                <w:lang w:val="en-US" w:eastAsia="zh-CN" w:bidi="ar-SA"/>
              </w:rPr>
            </w:pPr>
            <w:r>
              <w:rPr>
                <w:rFonts w:hint="eastAsia" w:ascii="宋体" w:hAnsi="宋体" w:eastAsia="宋体" w:cs="宋体"/>
                <w:b w:val="0"/>
                <w:bCs w:val="0"/>
                <w:sz w:val="21"/>
                <w:szCs w:val="21"/>
                <w:highlight w:val="none"/>
                <w:u w:val="none"/>
                <w:vertAlign w:val="baseline"/>
                <w:lang w:val="en-US" w:eastAsia="zh-CN"/>
              </w:rPr>
              <w:t>投标文件制作</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kern w:val="2"/>
                <w:sz w:val="21"/>
                <w:szCs w:val="21"/>
                <w:highlight w:val="none"/>
                <w:u w:val="none"/>
                <w:vertAlign w:val="baseline"/>
                <w:lang w:val="en-US" w:eastAsia="zh-CN" w:bidi="ar-SA"/>
              </w:rPr>
            </w:pPr>
            <w:r>
              <w:rPr>
                <w:rFonts w:hint="eastAsia" w:ascii="宋体" w:hAnsi="宋体" w:cs="宋体"/>
                <w:b w:val="0"/>
                <w:bCs w:val="0"/>
                <w:sz w:val="21"/>
                <w:szCs w:val="21"/>
                <w:highlight w:val="none"/>
                <w:u w:val="none"/>
                <w:vertAlign w:val="baseline"/>
                <w:lang w:val="en-US" w:eastAsia="zh-CN"/>
              </w:rPr>
              <w:t>2分</w:t>
            </w:r>
          </w:p>
        </w:tc>
        <w:tc>
          <w:tcPr>
            <w:tcW w:w="461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kern w:val="2"/>
                <w:sz w:val="21"/>
                <w:szCs w:val="21"/>
                <w:highlight w:val="none"/>
                <w:u w:val="none"/>
                <w:vertAlign w:val="baseline"/>
                <w:lang w:val="en-US" w:eastAsia="zh-CN" w:bidi="ar-SA"/>
              </w:rPr>
            </w:pPr>
            <w:r>
              <w:rPr>
                <w:rFonts w:hint="eastAsia" w:ascii="宋体" w:hAnsi="宋体" w:eastAsia="宋体" w:cs="宋体"/>
                <w:b w:val="0"/>
                <w:bCs w:val="0"/>
                <w:sz w:val="21"/>
                <w:szCs w:val="21"/>
                <w:highlight w:val="none"/>
                <w:u w:val="none"/>
                <w:lang w:val="en-US" w:eastAsia="zh-CN"/>
              </w:rPr>
              <w:t>投标文件便于评审，投标文件目录、页码齐全得1分；目录与页码能准确对应得1分。</w:t>
            </w:r>
          </w:p>
        </w:tc>
        <w:tc>
          <w:tcPr>
            <w:tcW w:w="18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kern w:val="2"/>
                <w:sz w:val="21"/>
                <w:szCs w:val="21"/>
                <w:highlight w:val="none"/>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总计</w:t>
            </w:r>
          </w:p>
        </w:tc>
        <w:tc>
          <w:tcPr>
            <w:tcW w:w="617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vertAlign w:val="baseline"/>
                <w:lang w:val="en-US" w:eastAsia="zh-CN"/>
              </w:rPr>
              <w:t>100分</w:t>
            </w:r>
          </w:p>
        </w:tc>
        <w:tc>
          <w:tcPr>
            <w:tcW w:w="187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1"/>
                <w:szCs w:val="21"/>
                <w:highlight w:val="none"/>
                <w:u w:val="none"/>
                <w:vertAlign w:val="baseline"/>
                <w:lang w:val="en-US" w:eastAsia="zh-CN"/>
              </w:rPr>
            </w:pPr>
          </w:p>
        </w:tc>
      </w:tr>
    </w:tbl>
    <w:p>
      <w:pPr>
        <w:pStyle w:val="2"/>
        <w:rPr>
          <w:highlight w:val="none"/>
        </w:rPr>
      </w:pPr>
    </w:p>
    <w:p>
      <w:pPr>
        <w:pStyle w:val="2"/>
        <w:rPr>
          <w:highlight w:val="none"/>
        </w:rPr>
      </w:pPr>
    </w:p>
    <w:p>
      <w:pPr>
        <w:rPr>
          <w:rFonts w:hint="eastAsia" w:ascii="宋体"/>
          <w:b/>
          <w:bCs/>
          <w:sz w:val="28"/>
          <w:szCs w:val="28"/>
        </w:rPr>
      </w:pPr>
      <w:r>
        <w:rPr>
          <w:rFonts w:hint="eastAsia" w:ascii="宋体"/>
          <w:b/>
          <w:bCs/>
          <w:sz w:val="28"/>
          <w:szCs w:val="28"/>
        </w:rPr>
        <w:t>（本部分内容由南京信息工程大学</w:t>
      </w:r>
      <w:r>
        <w:rPr>
          <w:rFonts w:hint="eastAsia" w:ascii="宋体"/>
          <w:b/>
          <w:bCs/>
          <w:sz w:val="28"/>
          <w:szCs w:val="28"/>
          <w:lang w:val="en-US" w:eastAsia="zh-CN"/>
        </w:rPr>
        <w:t>学生工作处</w:t>
      </w:r>
      <w:r>
        <w:rPr>
          <w:rFonts w:hint="eastAsia" w:ascii="宋体"/>
          <w:b/>
          <w:bCs/>
          <w:sz w:val="28"/>
          <w:szCs w:val="28"/>
        </w:rPr>
        <w:t>提供并负责）</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1"/>
        <w:adjustRightInd w:val="0"/>
        <w:snapToGrid w:val="0"/>
        <w:spacing w:before="120" w:after="120" w:line="360" w:lineRule="auto"/>
        <w:ind w:firstLine="658"/>
        <w:rPr>
          <w:rFonts w:hint="eastAsia" w:hAnsi="宋体"/>
          <w:sz w:val="24"/>
          <w:szCs w:val="24"/>
          <w:highlight w:val="none"/>
        </w:rPr>
      </w:pPr>
      <w:r>
        <w:rPr>
          <w:rFonts w:hint="eastAsia" w:hAnsi="宋体"/>
          <w:sz w:val="24"/>
          <w:szCs w:val="24"/>
          <w:highlight w:val="none"/>
          <w:lang w:val="en-US" w:eastAsia="zh-CN"/>
        </w:rPr>
        <w:t xml:space="preserve">（本文本为参考范本，本合同内容条款在正式签署前可具体补充细化，但已经明确的条款不得进行实质性变更，最终合同以采购人审查通过的版本为准） </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1"/>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1"/>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20"/>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1"/>
        <w:adjustRightInd w:val="0"/>
        <w:snapToGrid w:val="0"/>
        <w:spacing w:before="120" w:after="120" w:line="360" w:lineRule="auto"/>
        <w:ind w:left="48" w:firstLine="658"/>
        <w:rPr>
          <w:rFonts w:hint="eastAsia" w:hAnsi="宋体"/>
          <w:sz w:val="24"/>
          <w:szCs w:val="24"/>
          <w:highlight w:val="none"/>
        </w:rPr>
      </w:pPr>
      <w:r>
        <w:rPr>
          <w:rFonts w:hint="eastAsia" w:hAnsi="宋体"/>
          <w:sz w:val="24"/>
          <w:szCs w:val="24"/>
          <w:highlight w:val="none"/>
        </w:rPr>
        <w:t>2.1 本合同金额为（大写）：________________________元人民币。</w:t>
      </w:r>
      <w:r>
        <w:rPr>
          <w:rFonts w:hint="eastAsia" w:hAnsi="宋体"/>
          <w:sz w:val="24"/>
          <w:szCs w:val="24"/>
          <w:highlight w:val="none"/>
          <w:lang w:val="en-US" w:eastAsia="zh-CN"/>
        </w:rPr>
        <w:t xml:space="preserve">合同价款为货物（含服 </w:t>
      </w:r>
    </w:p>
    <w:p>
      <w:pPr>
        <w:pStyle w:val="11"/>
        <w:adjustRightInd w:val="0"/>
        <w:snapToGrid w:val="0"/>
        <w:spacing w:before="120" w:after="120" w:line="360" w:lineRule="auto"/>
        <w:rPr>
          <w:rFonts w:hAnsi="宋体"/>
          <w:sz w:val="24"/>
          <w:szCs w:val="24"/>
          <w:highlight w:val="none"/>
        </w:rPr>
      </w:pPr>
      <w:r>
        <w:rPr>
          <w:rFonts w:hint="eastAsia" w:hAnsi="宋体"/>
          <w:sz w:val="24"/>
          <w:szCs w:val="24"/>
          <w:highlight w:val="none"/>
          <w:lang w:val="en-US" w:eastAsia="zh-CN"/>
        </w:rPr>
        <w:t>务）到甲方指定的地点安装调试完毕并验收合格后的最终价格。包含但不限于设备费、设计费、服务费、代理费、运输费、上下力费、检测费、售后服务、安装费、调试费、安装辅材、合理利润、国家相关税费（含关税）及其他所有费用包含在内，乙方不得另行提出其他费用要求。</w:t>
      </w:r>
      <w:r>
        <w:rPr>
          <w:rFonts w:hint="eastAsia" w:ascii="宋体" w:hAnsi="宋体" w:eastAsia="宋体" w:cs="宋体"/>
          <w:color w:val="D13438"/>
          <w:kern w:val="0"/>
          <w:sz w:val="24"/>
          <w:szCs w:val="24"/>
          <w:highlight w:val="none"/>
          <w:lang w:val="en-US" w:eastAsia="zh-CN" w:bidi="ar"/>
        </w:rPr>
        <w:t xml:space="preserve"> </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1"/>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1"/>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1"/>
        <w:adjustRightInd w:val="0"/>
        <w:snapToGrid w:val="0"/>
        <w:spacing w:before="120" w:after="120" w:line="360" w:lineRule="auto"/>
        <w:ind w:left="48" w:firstLine="658"/>
        <w:jc w:val="both"/>
        <w:rPr>
          <w:rFonts w:hAnsi="宋体"/>
          <w:color w:val="auto"/>
          <w:sz w:val="24"/>
          <w:szCs w:val="24"/>
          <w:highlight w:val="none"/>
          <w:u w:val="none"/>
        </w:rPr>
      </w:pPr>
      <w:r>
        <w:rPr>
          <w:rFonts w:hAnsi="宋体"/>
          <w:color w:val="auto"/>
          <w:sz w:val="24"/>
          <w:szCs w:val="24"/>
          <w:highlight w:val="none"/>
          <w:u w:val="none"/>
        </w:rPr>
        <w:t>8.1</w:t>
      </w:r>
      <w:r>
        <w:rPr>
          <w:rFonts w:hint="eastAsia" w:hAnsi="宋体"/>
          <w:color w:val="auto"/>
          <w:sz w:val="24"/>
          <w:szCs w:val="24"/>
          <w:highlight w:val="none"/>
          <w:u w:val="none"/>
          <w:lang w:val="en-US" w:eastAsia="zh-CN"/>
        </w:rPr>
        <w:t xml:space="preserve"> </w:t>
      </w:r>
      <w:r>
        <w:rPr>
          <w:rFonts w:hint="eastAsia" w:hAnsi="宋体"/>
          <w:color w:val="auto"/>
          <w:sz w:val="24"/>
          <w:szCs w:val="24"/>
          <w:highlight w:val="none"/>
          <w:u w:val="none"/>
        </w:rPr>
        <w:t>质保期</w:t>
      </w:r>
      <w:r>
        <w:rPr>
          <w:rFonts w:hint="eastAsia" w:hAnsi="宋体"/>
          <w:color w:val="auto"/>
          <w:sz w:val="24"/>
          <w:szCs w:val="24"/>
          <w:highlight w:val="none"/>
          <w:u w:val="none"/>
          <w:lang w:val="en-US" w:eastAsia="zh-CN"/>
        </w:rPr>
        <w:t>2</w:t>
      </w:r>
      <w:r>
        <w:rPr>
          <w:rFonts w:hint="eastAsia" w:hAnsi="宋体"/>
          <w:color w:val="auto"/>
          <w:sz w:val="24"/>
          <w:szCs w:val="24"/>
          <w:highlight w:val="none"/>
          <w:u w:val="none"/>
        </w:rPr>
        <w:t>年。（自交货验收合格之日起计）</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1"/>
        <w:adjustRightInd w:val="0"/>
        <w:snapToGrid w:val="0"/>
        <w:spacing w:before="120" w:after="120" w:line="360" w:lineRule="auto"/>
        <w:ind w:left="48" w:firstLine="658"/>
        <w:rPr>
          <w:rFonts w:hint="eastAsia"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w:t>
      </w:r>
      <w:r>
        <w:rPr>
          <w:rFonts w:hint="eastAsia" w:hAnsi="宋体"/>
          <w:sz w:val="24"/>
          <w:szCs w:val="24"/>
          <w:highlight w:val="none"/>
        </w:rPr>
        <w:t>__</w:t>
      </w:r>
      <w:r>
        <w:rPr>
          <w:rFonts w:hint="eastAsia" w:hAnsi="宋体"/>
          <w:sz w:val="24"/>
          <w:szCs w:val="24"/>
          <w:highlight w:val="none"/>
          <w:lang w:val="en-US" w:eastAsia="zh-CN"/>
        </w:rPr>
        <w:t xml:space="preserve">（具体交货时间及开工时间以甲方书面通知为准，乙方应在接到甲 </w:t>
      </w:r>
    </w:p>
    <w:p>
      <w:pPr>
        <w:pStyle w:val="11"/>
        <w:adjustRightInd w:val="0"/>
        <w:snapToGrid w:val="0"/>
        <w:spacing w:before="120" w:after="120" w:line="360" w:lineRule="auto"/>
        <w:ind w:left="48" w:firstLine="658"/>
        <w:rPr>
          <w:rFonts w:hAnsi="宋体"/>
          <w:sz w:val="24"/>
          <w:szCs w:val="24"/>
          <w:highlight w:val="none"/>
        </w:rPr>
      </w:pPr>
      <w:r>
        <w:rPr>
          <w:rFonts w:hint="eastAsia" w:hAnsi="宋体"/>
          <w:sz w:val="24"/>
          <w:szCs w:val="24"/>
          <w:highlight w:val="none"/>
          <w:lang w:val="en-US" w:eastAsia="zh-CN"/>
        </w:rPr>
        <w:t xml:space="preserve">方书面通知之日起 30 日内完成项目交付并通过验收。） </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w:t>
      </w:r>
      <w:r>
        <w:rPr>
          <w:rFonts w:hint="eastAsia" w:hAnsi="宋体"/>
          <w:sz w:val="24"/>
          <w:szCs w:val="24"/>
          <w:highlight w:val="none"/>
          <w:lang w:val="en-US" w:eastAsia="zh-CN"/>
        </w:rPr>
        <w:t>最终</w:t>
      </w:r>
      <w:r>
        <w:rPr>
          <w:rFonts w:hint="eastAsia" w:hAnsi="宋体"/>
          <w:sz w:val="24"/>
          <w:szCs w:val="24"/>
          <w:highlight w:val="none"/>
        </w:rPr>
        <w:t>验收合格后，凭验收凭证和货物验收合格等文件20内支付至合同金额的100%，质量保证金质保期满后，</w:t>
      </w:r>
      <w:r>
        <w:rPr>
          <w:rFonts w:hAnsi="宋体"/>
          <w:sz w:val="24"/>
          <w:szCs w:val="24"/>
          <w:highlight w:val="none"/>
        </w:rPr>
        <w:t>经有关单位确认无质量问题后，一次性</w:t>
      </w:r>
      <w:r>
        <w:rPr>
          <w:rFonts w:hint="eastAsia" w:hAnsi="宋体"/>
          <w:sz w:val="24"/>
          <w:szCs w:val="24"/>
          <w:highlight w:val="none"/>
        </w:rPr>
        <w:t>无息付清</w:t>
      </w:r>
      <w:r>
        <w:rPr>
          <w:rFonts w:hAnsi="宋体"/>
          <w:sz w:val="24"/>
          <w:szCs w:val="24"/>
          <w:highlight w:val="none"/>
        </w:rPr>
        <w:t>。具体内容以最终签署的合同约定为准。</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1"/>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1"/>
        <w:adjustRightInd w:val="0"/>
        <w:snapToGrid w:val="0"/>
        <w:spacing w:before="120" w:after="120" w:line="360" w:lineRule="auto"/>
        <w:ind w:left="48" w:firstLine="658"/>
        <w:rPr>
          <w:rFonts w:hint="eastAsia"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1"/>
        <w:adjustRightInd w:val="0"/>
        <w:snapToGrid w:val="0"/>
        <w:spacing w:before="120" w:after="120" w:line="360" w:lineRule="auto"/>
        <w:ind w:left="1" w:firstLine="566"/>
        <w:rPr>
          <w:rFonts w:hint="eastAsia"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w:t>
      </w:r>
      <w:r>
        <w:rPr>
          <w:rFonts w:hint="eastAsia" w:hAnsi="宋体"/>
          <w:sz w:val="24"/>
          <w:szCs w:val="24"/>
          <w:highlight w:val="none"/>
          <w:lang w:eastAsia="zh-CN"/>
        </w:rPr>
        <w:t>，</w:t>
      </w:r>
      <w:r>
        <w:rPr>
          <w:rFonts w:hint="eastAsia" w:hAnsi="宋体"/>
          <w:sz w:val="24"/>
          <w:szCs w:val="24"/>
          <w:highlight w:val="none"/>
          <w:lang w:val="en-US" w:eastAsia="zh-CN"/>
        </w:rPr>
        <w:t xml:space="preserve">在接到甲方书面通知 30 日内完 </w:t>
      </w:r>
    </w:p>
    <w:p>
      <w:pPr>
        <w:pStyle w:val="11"/>
        <w:adjustRightInd w:val="0"/>
        <w:snapToGrid w:val="0"/>
        <w:spacing w:before="120" w:after="120" w:line="360" w:lineRule="auto"/>
        <w:ind w:left="1" w:firstLine="566"/>
        <w:rPr>
          <w:rFonts w:hAnsi="宋体"/>
          <w:sz w:val="24"/>
          <w:szCs w:val="24"/>
          <w:highlight w:val="none"/>
        </w:rPr>
      </w:pPr>
      <w:r>
        <w:rPr>
          <w:rFonts w:hint="eastAsia" w:hAnsi="宋体"/>
          <w:sz w:val="24"/>
          <w:szCs w:val="24"/>
          <w:highlight w:val="none"/>
          <w:lang w:val="en-US" w:eastAsia="zh-CN"/>
        </w:rPr>
        <w:t>成项目</w:t>
      </w:r>
      <w:r>
        <w:rPr>
          <w:rFonts w:hint="eastAsia" w:hAnsi="宋体"/>
          <w:sz w:val="24"/>
          <w:szCs w:val="24"/>
          <w:highlight w:val="none"/>
        </w:rPr>
        <w:t>并经甲方验收合格视为交付，乙方同时需通知甲方货物已送达。</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1"/>
        <w:adjustRightInd w:val="0"/>
        <w:snapToGrid w:val="0"/>
        <w:spacing w:before="120" w:after="120" w:line="360" w:lineRule="auto"/>
        <w:ind w:firstLine="658"/>
        <w:rPr>
          <w:rFonts w:hint="eastAsia"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1"/>
        <w:adjustRightInd w:val="0"/>
        <w:snapToGrid w:val="0"/>
        <w:spacing w:before="120" w:after="120" w:line="360" w:lineRule="auto"/>
        <w:ind w:firstLine="658"/>
        <w:jc w:val="left"/>
        <w:rPr>
          <w:rFonts w:hint="eastAsia" w:hAnsi="宋体"/>
          <w:sz w:val="24"/>
          <w:szCs w:val="24"/>
          <w:highlight w:val="none"/>
        </w:rPr>
      </w:pPr>
      <w:r>
        <w:rPr>
          <w:rFonts w:hint="eastAsia" w:hAnsi="宋体"/>
          <w:sz w:val="24"/>
          <w:szCs w:val="24"/>
          <w:highlight w:val="none"/>
          <w:lang w:val="en-US" w:eastAsia="zh-CN"/>
        </w:rPr>
        <w:t xml:space="preserve">15.3 乙方未在合同约定时间内完成项目并验收合格的，甲方有权解除合同。乙方应向甲方支付合同总价30%的违约金。造成甲方损失的，乙方还应承担赔偿责任。 </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双方在执行合同中所发生的一切争议，应通过协商解决。如协商不成，可向合同签订地法院起诉，合同签订地在此约定为南京市。如因合同履行发生纠纷，适用中国法律。</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lang w:val="en-US" w:eastAsia="zh-CN"/>
        </w:rPr>
        <w:t>20</w:t>
      </w:r>
      <w:r>
        <w:rPr>
          <w:rFonts w:hAnsi="宋体"/>
          <w:sz w:val="24"/>
          <w:szCs w:val="24"/>
          <w:highlight w:val="none"/>
        </w:rPr>
        <w:t xml:space="preserve">.1 </w:t>
      </w:r>
      <w:r>
        <w:rPr>
          <w:rFonts w:hint="eastAsia" w:hAnsi="宋体"/>
          <w:sz w:val="24"/>
          <w:szCs w:val="24"/>
          <w:highlight w:val="none"/>
        </w:rPr>
        <w:t>合同经双方法定代表人或授权委托代表人签字并加盖单位公章后生效。</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lang w:val="en-US" w:eastAsia="zh-CN"/>
        </w:rPr>
        <w:t>20</w:t>
      </w:r>
      <w:r>
        <w:rPr>
          <w:rFonts w:hAnsi="宋体"/>
          <w:sz w:val="24"/>
          <w:szCs w:val="24"/>
          <w:highlight w:val="none"/>
        </w:rPr>
        <w:t>.2</w:t>
      </w:r>
      <w:r>
        <w:rPr>
          <w:rFonts w:hint="eastAsia" w:hAnsi="宋体"/>
          <w:sz w:val="24"/>
          <w:szCs w:val="24"/>
          <w:highlight w:val="none"/>
        </w:rPr>
        <w:t>本合同未尽事宜，遵照《合同法》有关条文执行。</w:t>
      </w:r>
    </w:p>
    <w:p>
      <w:pPr>
        <w:pStyle w:val="11"/>
        <w:adjustRightInd w:val="0"/>
        <w:snapToGrid w:val="0"/>
        <w:spacing w:before="120" w:after="120" w:line="360" w:lineRule="auto"/>
        <w:ind w:left="1" w:firstLine="658"/>
        <w:rPr>
          <w:rFonts w:hint="eastAsia" w:hAnsi="宋体"/>
          <w:sz w:val="24"/>
          <w:szCs w:val="24"/>
          <w:highlight w:val="none"/>
        </w:rPr>
      </w:pPr>
      <w:r>
        <w:rPr>
          <w:rFonts w:hint="eastAsia" w:hAnsi="宋体"/>
          <w:sz w:val="24"/>
          <w:szCs w:val="24"/>
          <w:highlight w:val="none"/>
          <w:lang w:val="en-US" w:eastAsia="zh-CN"/>
        </w:rPr>
        <w:t>20</w:t>
      </w:r>
      <w:r>
        <w:rPr>
          <w:rFonts w:hAnsi="宋体"/>
          <w:sz w:val="24"/>
          <w:szCs w:val="24"/>
          <w:highlight w:val="none"/>
        </w:rPr>
        <w:t xml:space="preserve">.3 </w:t>
      </w:r>
      <w:r>
        <w:rPr>
          <w:rFonts w:hint="eastAsia" w:hAnsi="宋体"/>
          <w:sz w:val="24"/>
          <w:szCs w:val="24"/>
          <w:highlight w:val="none"/>
        </w:rPr>
        <w:t>本合同正本一式四份，具有同等法律效力，甲方、乙方各执两份。</w:t>
      </w:r>
    </w:p>
    <w:p>
      <w:pPr>
        <w:pStyle w:val="11"/>
        <w:adjustRightInd w:val="0"/>
        <w:snapToGrid w:val="0"/>
        <w:spacing w:before="120" w:after="120" w:line="360" w:lineRule="auto"/>
        <w:ind w:left="1" w:firstLine="658"/>
        <w:rPr>
          <w:rFonts w:hint="eastAsia" w:hAnsi="宋体"/>
          <w:sz w:val="24"/>
          <w:szCs w:val="24"/>
          <w:highlight w:val="none"/>
        </w:rPr>
      </w:pPr>
      <w:r>
        <w:rPr>
          <w:rFonts w:hint="eastAsia" w:hAnsi="宋体"/>
          <w:sz w:val="24"/>
          <w:szCs w:val="24"/>
          <w:highlight w:val="none"/>
          <w:lang w:val="en-US" w:eastAsia="zh-CN"/>
        </w:rPr>
        <w:t xml:space="preserve">20.4 在设备安装调试、建设施工过程中发生的一切安全责任事故，乙方承担一切法律及经 </w:t>
      </w:r>
    </w:p>
    <w:p>
      <w:pPr>
        <w:pStyle w:val="11"/>
        <w:adjustRightInd w:val="0"/>
        <w:snapToGrid w:val="0"/>
        <w:spacing w:before="120" w:after="120" w:line="360" w:lineRule="auto"/>
        <w:ind w:left="1" w:firstLine="658"/>
        <w:rPr>
          <w:rFonts w:hint="default" w:hAnsi="宋体"/>
          <w:sz w:val="24"/>
          <w:szCs w:val="24"/>
          <w:highlight w:val="none"/>
          <w:lang w:val="en-US"/>
        </w:rPr>
      </w:pPr>
      <w:r>
        <w:rPr>
          <w:rFonts w:hint="eastAsia" w:hAnsi="宋体"/>
          <w:sz w:val="24"/>
          <w:szCs w:val="24"/>
          <w:highlight w:val="none"/>
          <w:lang w:val="en-US" w:eastAsia="zh-CN"/>
        </w:rPr>
        <w:t xml:space="preserve">济赔偿责任。 </w:t>
      </w:r>
      <w:r>
        <w:rPr>
          <w:rFonts w:hint="eastAsia" w:hAnsi="宋体"/>
          <w:sz w:val="24"/>
          <w:szCs w:val="24"/>
          <w:highlight w:val="none"/>
          <w:lang w:val="en-US" w:eastAsia="zh-CN"/>
        </w:rPr>
        <w:tab/>
      </w:r>
    </w:p>
    <w:p>
      <w:pPr>
        <w:keepNext w:val="0"/>
        <w:keepLines w:val="0"/>
        <w:widowControl/>
        <w:suppressLineNumbers w:val="0"/>
        <w:ind w:firstLine="720" w:firstLineChars="300"/>
        <w:jc w:val="left"/>
        <w:rPr>
          <w:rFonts w:hint="eastAsia" w:hAnsi="宋体"/>
          <w:sz w:val="24"/>
          <w:szCs w:val="24"/>
          <w:highlight w:val="none"/>
        </w:rPr>
      </w:pPr>
      <w:r>
        <w:rPr>
          <w:rFonts w:hint="eastAsia" w:ascii="宋体" w:hAnsi="宋体" w:eastAsia="宋体" w:cs="Times New Roman"/>
          <w:kern w:val="2"/>
          <w:sz w:val="24"/>
          <w:szCs w:val="24"/>
          <w:highlight w:val="none"/>
          <w:lang w:val="en-US" w:eastAsia="zh-CN" w:bidi="ar-SA"/>
        </w:rPr>
        <w:t>20.5 设备安装调试、施工建设临时用电用水的费用由乙方自行承担。</w:t>
      </w:r>
      <w:r>
        <w:rPr>
          <w:rFonts w:hint="eastAsia" w:ascii="宋体" w:hAnsi="宋体" w:eastAsia="宋体" w:cs="宋体"/>
          <w:color w:val="D13438"/>
          <w:kern w:val="0"/>
          <w:sz w:val="24"/>
          <w:szCs w:val="24"/>
          <w:highlight w:val="none"/>
          <w:lang w:val="en-US" w:eastAsia="zh-CN" w:bidi="ar"/>
        </w:rPr>
        <w:t xml:space="preserve"> </w:t>
      </w:r>
    </w:p>
    <w:p>
      <w:pPr>
        <w:pStyle w:val="11"/>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1"/>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Arial Unicode MS">
    <w:panose1 w:val="020B0604020202020204"/>
    <w:charset w:val="86"/>
    <w:family w:val="auto"/>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lang w:val="en-US" w:eastAsia="zh-CN"/>
      </w:rPr>
      <w:t>1</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3A71B"/>
    <w:multiLevelType w:val="singleLevel"/>
    <w:tmpl w:val="FD93A7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81A"/>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0F02"/>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5A65B6"/>
    <w:rsid w:val="01A471A0"/>
    <w:rsid w:val="05040100"/>
    <w:rsid w:val="05704D05"/>
    <w:rsid w:val="05B517B2"/>
    <w:rsid w:val="05CB27C4"/>
    <w:rsid w:val="061A319C"/>
    <w:rsid w:val="06524865"/>
    <w:rsid w:val="0666393D"/>
    <w:rsid w:val="078D73D6"/>
    <w:rsid w:val="07BE731A"/>
    <w:rsid w:val="07D33D16"/>
    <w:rsid w:val="09637941"/>
    <w:rsid w:val="09D92955"/>
    <w:rsid w:val="0B085D5F"/>
    <w:rsid w:val="0B675B31"/>
    <w:rsid w:val="0BBA6DAD"/>
    <w:rsid w:val="0BDF51D7"/>
    <w:rsid w:val="0C3615C8"/>
    <w:rsid w:val="0C4861BD"/>
    <w:rsid w:val="0C7E7AA1"/>
    <w:rsid w:val="0CFE3A2E"/>
    <w:rsid w:val="0D873213"/>
    <w:rsid w:val="0D892ADE"/>
    <w:rsid w:val="0D9425DE"/>
    <w:rsid w:val="0D953752"/>
    <w:rsid w:val="0D99361C"/>
    <w:rsid w:val="0EA04552"/>
    <w:rsid w:val="0FDD6BDB"/>
    <w:rsid w:val="10131B2A"/>
    <w:rsid w:val="101412D3"/>
    <w:rsid w:val="107D340A"/>
    <w:rsid w:val="10EB4170"/>
    <w:rsid w:val="10F05838"/>
    <w:rsid w:val="113C24CA"/>
    <w:rsid w:val="119B4F8B"/>
    <w:rsid w:val="119D0D41"/>
    <w:rsid w:val="11D57EAE"/>
    <w:rsid w:val="11E02FC4"/>
    <w:rsid w:val="12162C3B"/>
    <w:rsid w:val="130F1D58"/>
    <w:rsid w:val="13157522"/>
    <w:rsid w:val="13FE03D1"/>
    <w:rsid w:val="146723C1"/>
    <w:rsid w:val="14896182"/>
    <w:rsid w:val="151D5806"/>
    <w:rsid w:val="155010AB"/>
    <w:rsid w:val="15572C10"/>
    <w:rsid w:val="15737A45"/>
    <w:rsid w:val="1584594C"/>
    <w:rsid w:val="15907301"/>
    <w:rsid w:val="15A069B5"/>
    <w:rsid w:val="15A90346"/>
    <w:rsid w:val="15B24E31"/>
    <w:rsid w:val="16040312"/>
    <w:rsid w:val="164C259D"/>
    <w:rsid w:val="16AA09BD"/>
    <w:rsid w:val="173945CD"/>
    <w:rsid w:val="17652C65"/>
    <w:rsid w:val="17833DE3"/>
    <w:rsid w:val="1892740D"/>
    <w:rsid w:val="1970080B"/>
    <w:rsid w:val="19775424"/>
    <w:rsid w:val="1A241EC0"/>
    <w:rsid w:val="1A861337"/>
    <w:rsid w:val="1AE96A89"/>
    <w:rsid w:val="1C121D57"/>
    <w:rsid w:val="1C4A137C"/>
    <w:rsid w:val="1C8F1DE9"/>
    <w:rsid w:val="1DA871CA"/>
    <w:rsid w:val="1F11313D"/>
    <w:rsid w:val="1F3810C1"/>
    <w:rsid w:val="1F956998"/>
    <w:rsid w:val="20315438"/>
    <w:rsid w:val="20DC5C02"/>
    <w:rsid w:val="20DE7ECC"/>
    <w:rsid w:val="20F51DB8"/>
    <w:rsid w:val="20F74FC2"/>
    <w:rsid w:val="20FE711F"/>
    <w:rsid w:val="21A70E96"/>
    <w:rsid w:val="225E4DAF"/>
    <w:rsid w:val="22673393"/>
    <w:rsid w:val="22891E2D"/>
    <w:rsid w:val="22A743B8"/>
    <w:rsid w:val="22D14C08"/>
    <w:rsid w:val="22D33607"/>
    <w:rsid w:val="23AC0AD7"/>
    <w:rsid w:val="23FD2509"/>
    <w:rsid w:val="243943F8"/>
    <w:rsid w:val="24E05430"/>
    <w:rsid w:val="24E50938"/>
    <w:rsid w:val="25C65A0C"/>
    <w:rsid w:val="267A7579"/>
    <w:rsid w:val="272231F7"/>
    <w:rsid w:val="27961F1E"/>
    <w:rsid w:val="27AD7C03"/>
    <w:rsid w:val="280112F3"/>
    <w:rsid w:val="280E6341"/>
    <w:rsid w:val="28C46277"/>
    <w:rsid w:val="29062B05"/>
    <w:rsid w:val="29127A38"/>
    <w:rsid w:val="29CE542E"/>
    <w:rsid w:val="2AAA7342"/>
    <w:rsid w:val="2AB43BC5"/>
    <w:rsid w:val="2B556F15"/>
    <w:rsid w:val="2B7F4BC3"/>
    <w:rsid w:val="2B8F1536"/>
    <w:rsid w:val="2CE81BAF"/>
    <w:rsid w:val="2D3113F4"/>
    <w:rsid w:val="2DAC05D8"/>
    <w:rsid w:val="2DBE4C54"/>
    <w:rsid w:val="2DE728EA"/>
    <w:rsid w:val="2DF72080"/>
    <w:rsid w:val="2E4D05A6"/>
    <w:rsid w:val="2E726843"/>
    <w:rsid w:val="2EDC02FF"/>
    <w:rsid w:val="2EE87C86"/>
    <w:rsid w:val="2EEC5388"/>
    <w:rsid w:val="2EF95138"/>
    <w:rsid w:val="2F922A38"/>
    <w:rsid w:val="30EE1C38"/>
    <w:rsid w:val="3172033E"/>
    <w:rsid w:val="3227588C"/>
    <w:rsid w:val="325F6558"/>
    <w:rsid w:val="331653E5"/>
    <w:rsid w:val="341C30A3"/>
    <w:rsid w:val="34F5482E"/>
    <w:rsid w:val="351529A9"/>
    <w:rsid w:val="355A74E9"/>
    <w:rsid w:val="35FD1F7A"/>
    <w:rsid w:val="36616918"/>
    <w:rsid w:val="366D672C"/>
    <w:rsid w:val="36AC110E"/>
    <w:rsid w:val="36E3150F"/>
    <w:rsid w:val="37971BCD"/>
    <w:rsid w:val="3836614A"/>
    <w:rsid w:val="384A4707"/>
    <w:rsid w:val="385D644E"/>
    <w:rsid w:val="38A16FC1"/>
    <w:rsid w:val="38F33167"/>
    <w:rsid w:val="39C83C69"/>
    <w:rsid w:val="39CE5E1D"/>
    <w:rsid w:val="3A963425"/>
    <w:rsid w:val="3A9701E9"/>
    <w:rsid w:val="3B4008F2"/>
    <w:rsid w:val="3B4244C5"/>
    <w:rsid w:val="3BB054CD"/>
    <w:rsid w:val="3BD3020B"/>
    <w:rsid w:val="3C003247"/>
    <w:rsid w:val="3C8E6F2D"/>
    <w:rsid w:val="3D6145DC"/>
    <w:rsid w:val="3D6230B7"/>
    <w:rsid w:val="3E5E0082"/>
    <w:rsid w:val="3EAB45EF"/>
    <w:rsid w:val="3EDB4EA4"/>
    <w:rsid w:val="3EEB64C0"/>
    <w:rsid w:val="3F9F3463"/>
    <w:rsid w:val="3FC31914"/>
    <w:rsid w:val="403D698B"/>
    <w:rsid w:val="405D6728"/>
    <w:rsid w:val="40F476A8"/>
    <w:rsid w:val="40FD6FDA"/>
    <w:rsid w:val="41110191"/>
    <w:rsid w:val="414A37BB"/>
    <w:rsid w:val="41B45A04"/>
    <w:rsid w:val="422B2058"/>
    <w:rsid w:val="42343F31"/>
    <w:rsid w:val="425D3A13"/>
    <w:rsid w:val="42643A73"/>
    <w:rsid w:val="429D0435"/>
    <w:rsid w:val="42AA1012"/>
    <w:rsid w:val="43115D2A"/>
    <w:rsid w:val="43BB30E7"/>
    <w:rsid w:val="43FB66E3"/>
    <w:rsid w:val="44DC7F4B"/>
    <w:rsid w:val="45173EE8"/>
    <w:rsid w:val="45651876"/>
    <w:rsid w:val="460A393C"/>
    <w:rsid w:val="466F6CEB"/>
    <w:rsid w:val="469A53F1"/>
    <w:rsid w:val="46AA377D"/>
    <w:rsid w:val="46BD55C5"/>
    <w:rsid w:val="47A877C9"/>
    <w:rsid w:val="482A6DA7"/>
    <w:rsid w:val="49363676"/>
    <w:rsid w:val="49713AA7"/>
    <w:rsid w:val="499A2688"/>
    <w:rsid w:val="49D47D5A"/>
    <w:rsid w:val="49F62026"/>
    <w:rsid w:val="4A4B48E3"/>
    <w:rsid w:val="4AF24198"/>
    <w:rsid w:val="4B1A7369"/>
    <w:rsid w:val="4B1E49A6"/>
    <w:rsid w:val="4B5137BF"/>
    <w:rsid w:val="4C832744"/>
    <w:rsid w:val="4C99775C"/>
    <w:rsid w:val="4CEC1C78"/>
    <w:rsid w:val="4D0A56BD"/>
    <w:rsid w:val="4D774E55"/>
    <w:rsid w:val="4DA86B45"/>
    <w:rsid w:val="4E3720DD"/>
    <w:rsid w:val="4EE65E09"/>
    <w:rsid w:val="4F510F39"/>
    <w:rsid w:val="4FAF38AA"/>
    <w:rsid w:val="5101047E"/>
    <w:rsid w:val="51497070"/>
    <w:rsid w:val="515F3303"/>
    <w:rsid w:val="51DA4602"/>
    <w:rsid w:val="51E025FE"/>
    <w:rsid w:val="520029F0"/>
    <w:rsid w:val="52181704"/>
    <w:rsid w:val="52961E90"/>
    <w:rsid w:val="52FD675A"/>
    <w:rsid w:val="532B7AD5"/>
    <w:rsid w:val="533662E6"/>
    <w:rsid w:val="53B232A5"/>
    <w:rsid w:val="53D80FA7"/>
    <w:rsid w:val="54187CD8"/>
    <w:rsid w:val="542D758B"/>
    <w:rsid w:val="5448002A"/>
    <w:rsid w:val="5473349C"/>
    <w:rsid w:val="54A3797A"/>
    <w:rsid w:val="54B6223B"/>
    <w:rsid w:val="54D933CD"/>
    <w:rsid w:val="54E15A0F"/>
    <w:rsid w:val="55344B23"/>
    <w:rsid w:val="553A6914"/>
    <w:rsid w:val="56732DC5"/>
    <w:rsid w:val="56C21B98"/>
    <w:rsid w:val="57360F05"/>
    <w:rsid w:val="581F495D"/>
    <w:rsid w:val="58484116"/>
    <w:rsid w:val="58DA78C0"/>
    <w:rsid w:val="58E017CC"/>
    <w:rsid w:val="59C814B6"/>
    <w:rsid w:val="5A756F56"/>
    <w:rsid w:val="5A770570"/>
    <w:rsid w:val="5A7B0A82"/>
    <w:rsid w:val="5AC859BF"/>
    <w:rsid w:val="5B4C17F1"/>
    <w:rsid w:val="5BEC7590"/>
    <w:rsid w:val="5C0F2072"/>
    <w:rsid w:val="5CFC1D50"/>
    <w:rsid w:val="5E6C25B6"/>
    <w:rsid w:val="5E84123F"/>
    <w:rsid w:val="5EC83C6C"/>
    <w:rsid w:val="5F0028BB"/>
    <w:rsid w:val="5F0740BD"/>
    <w:rsid w:val="5F2528F6"/>
    <w:rsid w:val="5F9764C2"/>
    <w:rsid w:val="5FE521B5"/>
    <w:rsid w:val="60264395"/>
    <w:rsid w:val="603300A7"/>
    <w:rsid w:val="607E0927"/>
    <w:rsid w:val="60BC3CA4"/>
    <w:rsid w:val="60D968DA"/>
    <w:rsid w:val="60F41422"/>
    <w:rsid w:val="619D5BCC"/>
    <w:rsid w:val="6233128F"/>
    <w:rsid w:val="62635DDC"/>
    <w:rsid w:val="62E46A8A"/>
    <w:rsid w:val="62F93AED"/>
    <w:rsid w:val="62FB025B"/>
    <w:rsid w:val="62FE3555"/>
    <w:rsid w:val="63D7368B"/>
    <w:rsid w:val="64ED01EF"/>
    <w:rsid w:val="657A0549"/>
    <w:rsid w:val="660447FC"/>
    <w:rsid w:val="665A104A"/>
    <w:rsid w:val="66ED444E"/>
    <w:rsid w:val="67484273"/>
    <w:rsid w:val="685748E9"/>
    <w:rsid w:val="686332DE"/>
    <w:rsid w:val="68A603CF"/>
    <w:rsid w:val="68D3376A"/>
    <w:rsid w:val="69E27B06"/>
    <w:rsid w:val="69EA623B"/>
    <w:rsid w:val="6A0F3694"/>
    <w:rsid w:val="6A5445FC"/>
    <w:rsid w:val="6A5C1E75"/>
    <w:rsid w:val="6AB76CFB"/>
    <w:rsid w:val="6ABA08C1"/>
    <w:rsid w:val="6B585BAF"/>
    <w:rsid w:val="6BC1702A"/>
    <w:rsid w:val="6C282248"/>
    <w:rsid w:val="6C423AF6"/>
    <w:rsid w:val="6CBD55AC"/>
    <w:rsid w:val="6CFA6175"/>
    <w:rsid w:val="6DE636A7"/>
    <w:rsid w:val="6DE86594"/>
    <w:rsid w:val="6E5C2511"/>
    <w:rsid w:val="6EC8305F"/>
    <w:rsid w:val="725831A5"/>
    <w:rsid w:val="72E77BCD"/>
    <w:rsid w:val="733C304D"/>
    <w:rsid w:val="73607DE9"/>
    <w:rsid w:val="73711235"/>
    <w:rsid w:val="73FB183C"/>
    <w:rsid w:val="753E278B"/>
    <w:rsid w:val="754040CB"/>
    <w:rsid w:val="75B05F04"/>
    <w:rsid w:val="75BE6EB5"/>
    <w:rsid w:val="75E758C4"/>
    <w:rsid w:val="76D636B8"/>
    <w:rsid w:val="76FC2F47"/>
    <w:rsid w:val="7815375E"/>
    <w:rsid w:val="78BB0EB8"/>
    <w:rsid w:val="790D6252"/>
    <w:rsid w:val="79E25E4E"/>
    <w:rsid w:val="7A9231A9"/>
    <w:rsid w:val="7AE40810"/>
    <w:rsid w:val="7B0749C7"/>
    <w:rsid w:val="7B3270FD"/>
    <w:rsid w:val="7BBB6C68"/>
    <w:rsid w:val="7C574749"/>
    <w:rsid w:val="7C8E2CF6"/>
    <w:rsid w:val="7C967B8B"/>
    <w:rsid w:val="7CD015B7"/>
    <w:rsid w:val="7E44676F"/>
    <w:rsid w:val="7E4931C0"/>
    <w:rsid w:val="7E7248EE"/>
    <w:rsid w:val="7EA2350B"/>
    <w:rsid w:val="7ECA32FF"/>
    <w:rsid w:val="7EEF6C2A"/>
    <w:rsid w:val="7EF7775B"/>
    <w:rsid w:val="7F074C20"/>
    <w:rsid w:val="7F363A3A"/>
    <w:rsid w:val="7FC468A4"/>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qFormat="1"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33"/>
    <w:qFormat/>
    <w:uiPriority w:val="99"/>
    <w:pPr>
      <w:jc w:val="left"/>
    </w:pPr>
    <w:rPr>
      <w:sz w:val="24"/>
      <w:szCs w:val="20"/>
    </w:rPr>
  </w:style>
  <w:style w:type="paragraph" w:styleId="6">
    <w:name w:val="Body Text"/>
    <w:basedOn w:val="1"/>
    <w:next w:val="7"/>
    <w:link w:val="52"/>
    <w:unhideWhenUsed/>
    <w:qFormat/>
    <w:locked/>
    <w:uiPriority w:val="99"/>
    <w:pPr>
      <w:spacing w:after="120"/>
    </w:p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Body Text Indent"/>
    <w:basedOn w:val="1"/>
    <w:link w:val="34"/>
    <w:qFormat/>
    <w:uiPriority w:val="99"/>
    <w:pPr>
      <w:ind w:firstLine="575" w:firstLineChars="274"/>
    </w:pPr>
    <w:rPr>
      <w:rFonts w:ascii="等线" w:eastAsia="等线"/>
      <w:sz w:val="22"/>
      <w:szCs w:val="20"/>
    </w:rPr>
  </w:style>
  <w:style w:type="paragraph" w:styleId="9">
    <w:name w:val="Block Text"/>
    <w:basedOn w:val="1"/>
    <w:unhideWhenUsed/>
    <w:qFormat/>
    <w:locked/>
    <w:uiPriority w:val="99"/>
    <w:pPr>
      <w:spacing w:after="120"/>
      <w:ind w:left="1440" w:leftChars="700" w:right="1440" w:rightChars="700"/>
    </w:pPr>
  </w:style>
  <w:style w:type="paragraph" w:styleId="10">
    <w:name w:val="index 4"/>
    <w:basedOn w:val="1"/>
    <w:next w:val="1"/>
    <w:qFormat/>
    <w:uiPriority w:val="99"/>
    <w:pPr>
      <w:ind w:left="600" w:leftChars="600"/>
    </w:pPr>
    <w:rPr>
      <w:rFonts w:ascii="Verdana" w:hAnsi="Verdana"/>
    </w:rPr>
  </w:style>
  <w:style w:type="paragraph" w:styleId="11">
    <w:name w:val="Plain Text"/>
    <w:basedOn w:val="1"/>
    <w:link w:val="35"/>
    <w:qFormat/>
    <w:uiPriority w:val="0"/>
    <w:rPr>
      <w:rFonts w:ascii="宋体" w:hAnsi="Courier New"/>
      <w:szCs w:val="20"/>
    </w:rPr>
  </w:style>
  <w:style w:type="paragraph" w:styleId="12">
    <w:name w:val="Date"/>
    <w:basedOn w:val="1"/>
    <w:next w:val="1"/>
    <w:link w:val="36"/>
    <w:qFormat/>
    <w:uiPriority w:val="99"/>
    <w:pPr>
      <w:ind w:left="100" w:leftChars="2500"/>
    </w:pPr>
    <w:rPr>
      <w:sz w:val="24"/>
      <w:szCs w:val="20"/>
    </w:rPr>
  </w:style>
  <w:style w:type="paragraph" w:styleId="13">
    <w:name w:val="Balloon Text"/>
    <w:basedOn w:val="1"/>
    <w:link w:val="37"/>
    <w:semiHidden/>
    <w:qFormat/>
    <w:uiPriority w:val="99"/>
    <w:rPr>
      <w:kern w:val="0"/>
      <w:sz w:val="2"/>
      <w:szCs w:val="20"/>
    </w:rPr>
  </w:style>
  <w:style w:type="paragraph" w:styleId="14">
    <w:name w:val="footer"/>
    <w:basedOn w:val="1"/>
    <w:link w:val="38"/>
    <w:qFormat/>
    <w:uiPriority w:val="99"/>
    <w:pPr>
      <w:tabs>
        <w:tab w:val="center" w:pos="4153"/>
        <w:tab w:val="right" w:pos="8306"/>
      </w:tabs>
      <w:snapToGrid w:val="0"/>
      <w:jc w:val="left"/>
    </w:pPr>
    <w:rPr>
      <w:kern w:val="0"/>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sz w:val="18"/>
      <w:szCs w:val="20"/>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5"/>
    <w:next w:val="5"/>
    <w:link w:val="40"/>
    <w:qFormat/>
    <w:uiPriority w:val="99"/>
    <w:rPr>
      <w:b/>
    </w:rPr>
  </w:style>
  <w:style w:type="paragraph" w:styleId="18">
    <w:name w:val="Body Text First Indent"/>
    <w:basedOn w:val="6"/>
    <w:qFormat/>
    <w:locked/>
    <w:uiPriority w:val="0"/>
    <w:pPr>
      <w:spacing w:line="360" w:lineRule="auto"/>
      <w:ind w:firstLine="200" w:firstLineChars="200"/>
    </w:pPr>
    <w:rPr>
      <w:rFonts w:ascii="仿宋_GB2312" w:eastAsia="仿宋_GB2312"/>
      <w:sz w:val="30"/>
      <w:szCs w:val="30"/>
    </w:rPr>
  </w:style>
  <w:style w:type="paragraph" w:styleId="19">
    <w:name w:val="Body Text First Indent 2"/>
    <w:basedOn w:val="8"/>
    <w:unhideWhenUsed/>
    <w:qFormat/>
    <w:locked/>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page number"/>
    <w:basedOn w:val="22"/>
    <w:qFormat/>
    <w:locked/>
    <w:uiPriority w:val="0"/>
  </w:style>
  <w:style w:type="character" w:styleId="25">
    <w:name w:val="FollowedHyperlink"/>
    <w:basedOn w:val="22"/>
    <w:semiHidden/>
    <w:unhideWhenUsed/>
    <w:qFormat/>
    <w:locked/>
    <w:uiPriority w:val="99"/>
    <w:rPr>
      <w:color w:val="4D7AD8"/>
      <w:u w:val="none"/>
      <w:bdr w:val="single" w:color="D9D9D9" w:sz="6" w:space="0"/>
      <w:shd w:val="clear" w:fill="FFFFFF"/>
    </w:rPr>
  </w:style>
  <w:style w:type="character" w:styleId="26">
    <w:name w:val="HTML Definition"/>
    <w:basedOn w:val="22"/>
    <w:semiHidden/>
    <w:unhideWhenUsed/>
    <w:qFormat/>
    <w:locked/>
    <w:uiPriority w:val="99"/>
    <w:rPr>
      <w:i/>
      <w:iCs/>
    </w:rPr>
  </w:style>
  <w:style w:type="character" w:styleId="27">
    <w:name w:val="Hyperlink"/>
    <w:qFormat/>
    <w:uiPriority w:val="99"/>
    <w:rPr>
      <w:rFonts w:cs="Times New Roman"/>
      <w:color w:val="0563C1"/>
      <w:u w:val="single"/>
    </w:rPr>
  </w:style>
  <w:style w:type="character" w:styleId="28">
    <w:name w:val="HTML Code"/>
    <w:basedOn w:val="22"/>
    <w:semiHidden/>
    <w:unhideWhenUsed/>
    <w:locked/>
    <w:uiPriority w:val="99"/>
    <w:rPr>
      <w:rFonts w:hint="default" w:ascii="Consolas" w:hAnsi="Consolas" w:eastAsia="Consolas" w:cs="Consolas"/>
      <w:sz w:val="21"/>
      <w:szCs w:val="21"/>
    </w:rPr>
  </w:style>
  <w:style w:type="character" w:styleId="29">
    <w:name w:val="annotation reference"/>
    <w:basedOn w:val="22"/>
    <w:qFormat/>
    <w:uiPriority w:val="99"/>
    <w:rPr>
      <w:rFonts w:cs="Times New Roman"/>
      <w:sz w:val="21"/>
    </w:rPr>
  </w:style>
  <w:style w:type="character" w:styleId="30">
    <w:name w:val="HTML Keyboard"/>
    <w:basedOn w:val="22"/>
    <w:semiHidden/>
    <w:unhideWhenUsed/>
    <w:locked/>
    <w:uiPriority w:val="99"/>
    <w:rPr>
      <w:rFonts w:ascii="Consolas" w:hAnsi="Consolas" w:eastAsia="Consolas" w:cs="Consolas"/>
      <w:sz w:val="21"/>
      <w:szCs w:val="21"/>
    </w:rPr>
  </w:style>
  <w:style w:type="character" w:styleId="31">
    <w:name w:val="HTML Sample"/>
    <w:basedOn w:val="22"/>
    <w:semiHidden/>
    <w:unhideWhenUsed/>
    <w:locked/>
    <w:uiPriority w:val="99"/>
    <w:rPr>
      <w:rFonts w:hint="default" w:ascii="Consolas" w:hAnsi="Consolas" w:eastAsia="Consolas" w:cs="Consolas"/>
      <w:sz w:val="21"/>
      <w:szCs w:val="21"/>
    </w:rPr>
  </w:style>
  <w:style w:type="character" w:customStyle="1" w:styleId="32">
    <w:name w:val="标题 1 Char"/>
    <w:link w:val="3"/>
    <w:qFormat/>
    <w:locked/>
    <w:uiPriority w:val="99"/>
    <w:rPr>
      <w:rFonts w:cs="Times New Roman"/>
      <w:b/>
      <w:kern w:val="44"/>
      <w:sz w:val="44"/>
    </w:rPr>
  </w:style>
  <w:style w:type="character" w:customStyle="1" w:styleId="33">
    <w:name w:val="批注文字 Char"/>
    <w:link w:val="5"/>
    <w:qFormat/>
    <w:locked/>
    <w:uiPriority w:val="99"/>
    <w:rPr>
      <w:rFonts w:cs="Times New Roman"/>
      <w:kern w:val="2"/>
      <w:sz w:val="24"/>
    </w:rPr>
  </w:style>
  <w:style w:type="character" w:customStyle="1" w:styleId="34">
    <w:name w:val="正文文本缩进 Char"/>
    <w:link w:val="8"/>
    <w:qFormat/>
    <w:locked/>
    <w:uiPriority w:val="99"/>
    <w:rPr>
      <w:rFonts w:ascii="等线" w:eastAsia="等线" w:cs="Times New Roman"/>
      <w:kern w:val="2"/>
      <w:sz w:val="22"/>
    </w:rPr>
  </w:style>
  <w:style w:type="character" w:customStyle="1" w:styleId="35">
    <w:name w:val="纯文本 Char"/>
    <w:link w:val="11"/>
    <w:qFormat/>
    <w:locked/>
    <w:uiPriority w:val="0"/>
    <w:rPr>
      <w:rFonts w:ascii="宋体" w:hAnsi="Courier New" w:cs="Times New Roman"/>
      <w:kern w:val="2"/>
      <w:sz w:val="21"/>
    </w:rPr>
  </w:style>
  <w:style w:type="character" w:customStyle="1" w:styleId="36">
    <w:name w:val="日期 Char"/>
    <w:link w:val="12"/>
    <w:qFormat/>
    <w:locked/>
    <w:uiPriority w:val="99"/>
    <w:rPr>
      <w:rFonts w:cs="Times New Roman"/>
      <w:kern w:val="2"/>
      <w:sz w:val="24"/>
    </w:rPr>
  </w:style>
  <w:style w:type="character" w:customStyle="1" w:styleId="37">
    <w:name w:val="批注框文本 Char"/>
    <w:link w:val="13"/>
    <w:semiHidden/>
    <w:qFormat/>
    <w:locked/>
    <w:uiPriority w:val="99"/>
    <w:rPr>
      <w:rFonts w:cs="Times New Roman"/>
      <w:sz w:val="2"/>
    </w:rPr>
  </w:style>
  <w:style w:type="character" w:customStyle="1" w:styleId="38">
    <w:name w:val="页脚 Char"/>
    <w:link w:val="14"/>
    <w:semiHidden/>
    <w:qFormat/>
    <w:locked/>
    <w:uiPriority w:val="99"/>
    <w:rPr>
      <w:rFonts w:cs="Times New Roman"/>
      <w:sz w:val="18"/>
      <w:szCs w:val="18"/>
    </w:rPr>
  </w:style>
  <w:style w:type="character" w:customStyle="1" w:styleId="39">
    <w:name w:val="页眉 Char"/>
    <w:link w:val="15"/>
    <w:qFormat/>
    <w:locked/>
    <w:uiPriority w:val="99"/>
    <w:rPr>
      <w:rFonts w:cs="Times New Roman"/>
      <w:kern w:val="2"/>
      <w:sz w:val="18"/>
    </w:rPr>
  </w:style>
  <w:style w:type="character" w:customStyle="1" w:styleId="40">
    <w:name w:val="批注主题 Char"/>
    <w:link w:val="17"/>
    <w:qFormat/>
    <w:locked/>
    <w:uiPriority w:val="99"/>
    <w:rPr>
      <w:rFonts w:cs="Times New Roman"/>
      <w:b/>
      <w:kern w:val="2"/>
      <w:sz w:val="24"/>
    </w:rPr>
  </w:style>
  <w:style w:type="paragraph" w:customStyle="1" w:styleId="41">
    <w:name w:val="Char"/>
    <w:basedOn w:val="1"/>
    <w:qFormat/>
    <w:uiPriority w:val="99"/>
    <w:pPr>
      <w:tabs>
        <w:tab w:val="left" w:pos="360"/>
      </w:tabs>
    </w:pPr>
    <w:rPr>
      <w:sz w:val="24"/>
    </w:rPr>
  </w:style>
  <w:style w:type="character" w:customStyle="1" w:styleId="42">
    <w:name w:val="列出段落 Char"/>
    <w:link w:val="43"/>
    <w:qFormat/>
    <w:locked/>
    <w:uiPriority w:val="0"/>
  </w:style>
  <w:style w:type="paragraph" w:styleId="43">
    <w:name w:val="List Paragraph"/>
    <w:basedOn w:val="1"/>
    <w:link w:val="42"/>
    <w:qFormat/>
    <w:uiPriority w:val="34"/>
    <w:pPr>
      <w:widowControl/>
      <w:ind w:firstLine="420" w:firstLineChars="200"/>
      <w:jc w:val="left"/>
    </w:pPr>
    <w:rPr>
      <w:kern w:val="0"/>
      <w:sz w:val="20"/>
      <w:szCs w:val="20"/>
    </w:rPr>
  </w:style>
  <w:style w:type="table" w:customStyle="1" w:styleId="4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Placeholder Text"/>
    <w:semiHidden/>
    <w:qFormat/>
    <w:uiPriority w:val="99"/>
    <w:rPr>
      <w:rFonts w:cs="Times New Roman"/>
      <w:color w:val="808080"/>
    </w:rPr>
  </w:style>
  <w:style w:type="paragraph" w:customStyle="1" w:styleId="4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列出段落2"/>
    <w:basedOn w:val="1"/>
    <w:qFormat/>
    <w:uiPriority w:val="99"/>
    <w:pPr>
      <w:ind w:firstLine="420" w:firstLineChars="200"/>
    </w:pPr>
    <w:rPr>
      <w:rFonts w:ascii="Calibri" w:hAnsi="Calibri"/>
      <w:szCs w:val="22"/>
    </w:rPr>
  </w:style>
  <w:style w:type="character" w:customStyle="1" w:styleId="50">
    <w:name w:val="标题 2 Char Char Char"/>
    <w:qFormat/>
    <w:uiPriority w:val="99"/>
    <w:rPr>
      <w:rFonts w:ascii="Arial" w:hAnsi="Arial" w:eastAsia="黑体"/>
      <w:b/>
      <w:kern w:val="2"/>
      <w:sz w:val="32"/>
      <w:lang w:val="en-US" w:eastAsia="zh-CN"/>
    </w:rPr>
  </w:style>
  <w:style w:type="paragraph" w:customStyle="1" w:styleId="5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52">
    <w:name w:val="正文文本 Char"/>
    <w:link w:val="6"/>
    <w:qFormat/>
    <w:uiPriority w:val="99"/>
    <w:rPr>
      <w:kern w:val="2"/>
      <w:sz w:val="21"/>
      <w:szCs w:val="24"/>
    </w:rPr>
  </w:style>
  <w:style w:type="paragraph" w:customStyle="1" w:styleId="5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4">
    <w:name w:val="正文2"/>
    <w:basedOn w:val="1"/>
    <w:qFormat/>
    <w:uiPriority w:val="0"/>
    <w:pPr>
      <w:spacing w:before="156" w:line="360" w:lineRule="auto"/>
      <w:ind w:firstLine="510" w:firstLineChars="200"/>
    </w:pPr>
    <w:rPr>
      <w:sz w:val="24"/>
    </w:rPr>
  </w:style>
  <w:style w:type="paragraph" w:customStyle="1" w:styleId="5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6">
    <w:name w:val="A9"/>
    <w:qFormat/>
    <w:uiPriority w:val="0"/>
    <w:rPr>
      <w:rFonts w:cs="PSFEIH+StoneSans"/>
      <w:color w:val="262424"/>
      <w:sz w:val="20"/>
      <w:szCs w:val="20"/>
    </w:rPr>
  </w:style>
  <w:style w:type="paragraph" w:customStyle="1" w:styleId="5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8">
    <w:name w:val="A14"/>
    <w:qFormat/>
    <w:uiPriority w:val="99"/>
    <w:rPr>
      <w:rFonts w:cs="Open Sans Light"/>
      <w:color w:val="FFFFFF"/>
      <w:sz w:val="13"/>
      <w:szCs w:val="13"/>
    </w:rPr>
  </w:style>
  <w:style w:type="paragraph" w:customStyle="1" w:styleId="59">
    <w:name w:val="表格文字"/>
    <w:basedOn w:val="1"/>
    <w:next w:val="6"/>
    <w:qFormat/>
    <w:uiPriority w:val="0"/>
    <w:rPr>
      <w:sz w:val="24"/>
    </w:rPr>
  </w:style>
  <w:style w:type="paragraph" w:customStyle="1" w:styleId="6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61">
    <w:name w:val="wea-dropdown-triangle"/>
    <w:basedOn w:val="22"/>
    <w:qFormat/>
    <w:uiPriority w:val="0"/>
  </w:style>
  <w:style w:type="character" w:customStyle="1" w:styleId="62">
    <w:name w:val="disabled"/>
    <w:basedOn w:val="22"/>
    <w:qFormat/>
    <w:uiPriority w:val="0"/>
    <w:rPr>
      <w:color w:val="AAAAAA"/>
      <w:shd w:val="clear" w:fill="F7F7F7"/>
    </w:rPr>
  </w:style>
  <w:style w:type="character" w:customStyle="1" w:styleId="63">
    <w:name w:val="not-pass-node"/>
    <w:basedOn w:val="22"/>
    <w:qFormat/>
    <w:uiPriority w:val="0"/>
    <w:rPr>
      <w:bdr w:val="single" w:color="5ABD6B" w:sz="6" w:space="0"/>
      <w:shd w:val="clear" w:fill="BFF3C3"/>
    </w:rPr>
  </w:style>
  <w:style w:type="character" w:customStyle="1" w:styleId="64">
    <w:name w:val="cke_path_empty2"/>
    <w:basedOn w:val="22"/>
    <w:qFormat/>
    <w:uiPriority w:val="0"/>
    <w:rPr>
      <w:b/>
      <w:bCs/>
      <w:color w:val="484848"/>
      <w:sz w:val="16"/>
      <w:szCs w:val="16"/>
      <w:u w:val="none"/>
    </w:rPr>
  </w:style>
  <w:style w:type="character" w:customStyle="1" w:styleId="65">
    <w:name w:val="ant-radio+*"/>
    <w:basedOn w:val="22"/>
    <w:qFormat/>
    <w:uiPriority w:val="0"/>
  </w:style>
  <w:style w:type="character" w:customStyle="1" w:styleId="66">
    <w:name w:val="passed-node"/>
    <w:basedOn w:val="22"/>
    <w:qFormat/>
    <w:uiPriority w:val="0"/>
    <w:rPr>
      <w:bdr w:val="single" w:color="49A8D4" w:sz="6" w:space="0"/>
      <w:shd w:val="clear" w:fill="A9E3FF"/>
    </w:rPr>
  </w:style>
  <w:style w:type="character" w:customStyle="1" w:styleId="67">
    <w:name w:val="tmpztreemove_arrow"/>
    <w:basedOn w:val="22"/>
    <w:qFormat/>
    <w:uiPriority w:val="0"/>
  </w:style>
  <w:style w:type="character" w:customStyle="1" w:styleId="68">
    <w:name w:val="button"/>
    <w:basedOn w:val="22"/>
    <w:qFormat/>
    <w:uiPriority w:val="0"/>
  </w:style>
  <w:style w:type="character" w:customStyle="1" w:styleId="69">
    <w:name w:val="button1"/>
    <w:basedOn w:val="22"/>
    <w:qFormat/>
    <w:uiPriority w:val="0"/>
  </w:style>
  <w:style w:type="character" w:customStyle="1" w:styleId="70">
    <w:name w:val="cke_dialog_ui_button2"/>
    <w:basedOn w:val="22"/>
    <w:qFormat/>
    <w:uiPriority w:val="0"/>
  </w:style>
  <w:style w:type="character" w:customStyle="1" w:styleId="71">
    <w:name w:val="ant-tree-checkbox8"/>
    <w:basedOn w:val="22"/>
    <w:qFormat/>
    <w:uiPriority w:val="0"/>
  </w:style>
  <w:style w:type="character" w:customStyle="1" w:styleId="72">
    <w:name w:val="ant-tree-iconele"/>
    <w:basedOn w:val="22"/>
    <w:qFormat/>
    <w:uiPriority w:val="0"/>
  </w:style>
  <w:style w:type="character" w:customStyle="1" w:styleId="73">
    <w:name w:val="ant-tree-switcher10"/>
    <w:basedOn w:val="22"/>
    <w:qFormat/>
    <w:uiPriority w:val="0"/>
  </w:style>
  <w:style w:type="character" w:customStyle="1" w:styleId="74">
    <w:name w:val="hover37"/>
    <w:basedOn w:val="22"/>
    <w:qFormat/>
    <w:uiPriority w:val="0"/>
    <w:rPr>
      <w:color w:val="009DFF"/>
    </w:rPr>
  </w:style>
  <w:style w:type="character" w:customStyle="1" w:styleId="75">
    <w:name w:val="hover38"/>
    <w:basedOn w:val="22"/>
    <w:qFormat/>
    <w:uiPriority w:val="0"/>
    <w:rPr>
      <w:color w:val="009DFF"/>
    </w:rPr>
  </w:style>
  <w:style w:type="character" w:customStyle="1" w:styleId="76">
    <w:name w:val="isrevision"/>
    <w:basedOn w:val="22"/>
    <w:qFormat/>
    <w:uiPriority w:val="0"/>
    <w:rPr>
      <w:color w:val="000000"/>
      <w:sz w:val="18"/>
      <w:szCs w:val="18"/>
      <w:bdr w:val="single" w:color="E9E9E9" w:sz="6" w:space="0"/>
      <w:shd w:val="clear" w:fill="FFFFFF"/>
    </w:rPr>
  </w:style>
  <w:style w:type="character" w:customStyle="1" w:styleId="77">
    <w:name w:val="ant-table-row-expand-icon4"/>
    <w:basedOn w:val="22"/>
    <w:qFormat/>
    <w:uiPriority w:val="0"/>
    <w:rPr>
      <w:vanish/>
    </w:rPr>
  </w:style>
  <w:style w:type="character" w:customStyle="1" w:styleId="78">
    <w:name w:val="current-node"/>
    <w:basedOn w:val="22"/>
    <w:qFormat/>
    <w:uiPriority w:val="0"/>
    <w:rPr>
      <w:bdr w:val="single" w:color="F5B87B" w:sz="6" w:space="0"/>
      <w:shd w:val="clear" w:fill="FFE8CC"/>
    </w:rPr>
  </w:style>
  <w:style w:type="character" w:customStyle="1" w:styleId="79">
    <w:name w:val="ant-select-tree-checkbox2"/>
    <w:basedOn w:val="22"/>
    <w:qFormat/>
    <w:uiPriority w:val="0"/>
  </w:style>
  <w:style w:type="character" w:customStyle="1" w:styleId="80">
    <w:name w:val="cke_colorbox2"/>
    <w:basedOn w:val="22"/>
    <w:qFormat/>
    <w:uiPriority w:val="0"/>
  </w:style>
  <w:style w:type="character" w:customStyle="1" w:styleId="81">
    <w:name w:val="cke_colorbox3"/>
    <w:basedOn w:val="22"/>
    <w:qFormat/>
    <w:uiPriority w:val="0"/>
  </w:style>
  <w:style w:type="character" w:customStyle="1" w:styleId="82">
    <w:name w:val="cke_colorbox4"/>
    <w:basedOn w:val="22"/>
    <w:qFormat/>
    <w:uiPriority w:val="0"/>
  </w:style>
  <w:style w:type="character" w:customStyle="1" w:styleId="83">
    <w:name w:val="cke_colorbox5"/>
    <w:basedOn w:val="22"/>
    <w:qFormat/>
    <w:uiPriority w:val="0"/>
    <w:rPr>
      <w:bdr w:val="single" w:color="808080" w:sz="6" w:space="0"/>
    </w:rPr>
  </w:style>
  <w:style w:type="character" w:customStyle="1" w:styleId="84">
    <w:name w:val="ant-select-tree-switcher"/>
    <w:basedOn w:val="22"/>
    <w:qFormat/>
    <w:uiPriority w:val="0"/>
  </w:style>
  <w:style w:type="character" w:customStyle="1" w:styleId="85">
    <w:name w:val="ant-select-tree-iconele"/>
    <w:basedOn w:val="22"/>
    <w:qFormat/>
    <w:uiPriority w:val="0"/>
  </w:style>
  <w:style w:type="character" w:customStyle="1" w:styleId="86">
    <w:name w:val="wea-thumbnails-doc-content-subtitle"/>
    <w:basedOn w:val="22"/>
    <w:qFormat/>
    <w:uiPriority w:val="0"/>
    <w:rPr>
      <w:color w:val="9A9A9A"/>
    </w:rPr>
  </w:style>
  <w:style w:type="character" w:customStyle="1" w:styleId="87">
    <w:name w:val="auto-pass-node"/>
    <w:basedOn w:val="22"/>
    <w:qFormat/>
    <w:uiPriority w:val="0"/>
    <w:rPr>
      <w:bdr w:val="single" w:color="DC4446" w:sz="6" w:space="0"/>
      <w:shd w:val="clear" w:fill="A9E2FF"/>
    </w:rPr>
  </w:style>
  <w:style w:type="character" w:customStyle="1" w:styleId="88">
    <w:name w:val="first-of-type"/>
    <w:basedOn w:val="22"/>
    <w:qFormat/>
    <w:uiPriority w:val="0"/>
    <w:rPr>
      <w:color w:val="FF0000"/>
    </w:rPr>
  </w:style>
  <w:style w:type="character" w:customStyle="1" w:styleId="89">
    <w:name w:val="first-of-type1"/>
    <w:basedOn w:val="22"/>
    <w:qFormat/>
    <w:uiPriority w:val="0"/>
    <w:rPr>
      <w:color w:val="FF0000"/>
    </w:rPr>
  </w:style>
  <w:style w:type="character" w:customStyle="1" w:styleId="90">
    <w:name w:val="first-of-type2"/>
    <w:basedOn w:val="22"/>
    <w:qFormat/>
    <w:uiPriority w:val="0"/>
    <w:rPr>
      <w:color w:val="FF0000"/>
    </w:rPr>
  </w:style>
  <w:style w:type="character" w:customStyle="1" w:styleId="91">
    <w:name w:val="cke_notification_progress"/>
    <w:basedOn w:val="22"/>
    <w:qFormat/>
    <w:uiPriority w:val="0"/>
    <w:rPr>
      <w:shd w:val="clear" w:fill="0F74A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2366</Words>
  <Characters>13489</Characters>
  <Lines>112</Lines>
  <Paragraphs>31</Paragraphs>
  <TotalTime>1</TotalTime>
  <ScaleCrop>false</ScaleCrop>
  <LinksUpToDate>false</LinksUpToDate>
  <CharactersWithSpaces>15824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2021-11-12T07:21:28Z</dcterms:modified>
  <dc:title>淮海工学院A8-10号楼学生宿舍家具招标书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AD08E22A266145FA8868989ECECC3E6C</vt:lpwstr>
  </property>
</Properties>
</file>