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5"/>
        <w:rPr>
          <w:rFonts w:ascii="Times New Roman"/>
          <w:color w:val="auto"/>
          <w:sz w:val="23"/>
        </w:rPr>
      </w:pPr>
    </w:p>
    <w:p>
      <w:pPr>
        <w:pStyle w:val="11"/>
        <w:rPr>
          <w:color w:val="auto"/>
        </w:rPr>
      </w:pPr>
      <w:r>
        <w:rPr>
          <w:color w:val="auto"/>
          <w:spacing w:val="175"/>
        </w:rPr>
        <w:t>招 标 文 件</w:t>
      </w:r>
    </w:p>
    <w:p>
      <w:pPr>
        <w:spacing w:before="370"/>
        <w:ind w:left="1500" w:right="0" w:firstLine="0"/>
        <w:jc w:val="left"/>
        <w:rPr>
          <w:b/>
          <w:color w:val="auto"/>
          <w:sz w:val="28"/>
        </w:rPr>
      </w:pPr>
      <w:r>
        <w:rPr>
          <w:b/>
          <w:color w:val="auto"/>
          <w:w w:val="95"/>
          <w:sz w:val="32"/>
        </w:rPr>
        <w:t>项目名称：南京信息工程大学</w:t>
      </w:r>
      <w:r>
        <w:rPr>
          <w:b/>
          <w:color w:val="auto"/>
          <w:w w:val="95"/>
          <w:sz w:val="28"/>
        </w:rPr>
        <w:t>投影式光固化软物质三维打印</w:t>
      </w:r>
    </w:p>
    <w:p>
      <w:pPr>
        <w:spacing w:before="169" w:line="480" w:lineRule="auto"/>
        <w:ind w:left="1498" w:right="3991" w:firstLine="2475"/>
        <w:jc w:val="left"/>
        <w:rPr>
          <w:b/>
          <w:color w:val="auto"/>
          <w:sz w:val="32"/>
        </w:rPr>
      </w:pPr>
      <w:r>
        <w:rPr>
          <w:b/>
          <w:color w:val="auto"/>
          <w:spacing w:val="-2"/>
          <w:sz w:val="28"/>
        </w:rPr>
        <w:t>机</w:t>
      </w:r>
      <w:r>
        <w:rPr>
          <w:b/>
          <w:color w:val="auto"/>
          <w:spacing w:val="-2"/>
          <w:sz w:val="32"/>
        </w:rPr>
        <w:t>采购项目</w:t>
      </w:r>
      <w:r>
        <w:rPr>
          <w:b/>
          <w:color w:val="auto"/>
          <w:sz w:val="32"/>
        </w:rPr>
        <w:t>项目编号：</w:t>
      </w:r>
      <w:r>
        <w:rPr>
          <w:b/>
          <w:color w:val="auto"/>
          <w:spacing w:val="-2"/>
          <w:sz w:val="32"/>
        </w:rPr>
        <w:t>JZCG-2021-00170</w:t>
      </w:r>
    </w:p>
    <w:p>
      <w:pPr>
        <w:pStyle w:val="8"/>
        <w:rPr>
          <w:b/>
          <w:color w:val="auto"/>
          <w:sz w:val="20"/>
        </w:rPr>
      </w:pPr>
    </w:p>
    <w:p>
      <w:pPr>
        <w:pStyle w:val="8"/>
        <w:rPr>
          <w:b/>
          <w:color w:val="auto"/>
          <w:sz w:val="20"/>
        </w:rPr>
      </w:pPr>
    </w:p>
    <w:p>
      <w:pPr>
        <w:pStyle w:val="8"/>
        <w:rPr>
          <w:b/>
          <w:color w:val="auto"/>
          <w:sz w:val="20"/>
        </w:rPr>
      </w:pPr>
    </w:p>
    <w:p>
      <w:pPr>
        <w:pStyle w:val="8"/>
        <w:rPr>
          <w:b/>
          <w:color w:val="auto"/>
          <w:sz w:val="20"/>
        </w:rPr>
      </w:pPr>
    </w:p>
    <w:p>
      <w:pPr>
        <w:pStyle w:val="8"/>
        <w:rPr>
          <w:b/>
          <w:color w:val="auto"/>
          <w:sz w:val="20"/>
        </w:rPr>
      </w:pPr>
    </w:p>
    <w:p>
      <w:pPr>
        <w:pStyle w:val="8"/>
        <w:rPr>
          <w:b/>
          <w:color w:val="auto"/>
          <w:sz w:val="20"/>
        </w:rPr>
      </w:pPr>
    </w:p>
    <w:p>
      <w:pPr>
        <w:pStyle w:val="8"/>
        <w:rPr>
          <w:b/>
          <w:color w:val="auto"/>
          <w:sz w:val="20"/>
        </w:rPr>
      </w:pPr>
    </w:p>
    <w:p>
      <w:pPr>
        <w:pStyle w:val="8"/>
        <w:rPr>
          <w:b/>
          <w:color w:val="auto"/>
          <w:sz w:val="20"/>
        </w:rPr>
      </w:pPr>
    </w:p>
    <w:p>
      <w:pPr>
        <w:pStyle w:val="8"/>
        <w:rPr>
          <w:b/>
          <w:color w:val="auto"/>
          <w:sz w:val="20"/>
        </w:rPr>
      </w:pPr>
    </w:p>
    <w:p>
      <w:pPr>
        <w:pStyle w:val="8"/>
        <w:rPr>
          <w:b/>
          <w:color w:val="auto"/>
          <w:sz w:val="20"/>
        </w:rPr>
      </w:pPr>
    </w:p>
    <w:p>
      <w:pPr>
        <w:pStyle w:val="8"/>
        <w:rPr>
          <w:b/>
          <w:color w:val="auto"/>
          <w:sz w:val="20"/>
        </w:rPr>
      </w:pPr>
    </w:p>
    <w:p>
      <w:pPr>
        <w:pStyle w:val="8"/>
        <w:rPr>
          <w:b/>
          <w:color w:val="auto"/>
          <w:sz w:val="20"/>
        </w:rPr>
      </w:pPr>
    </w:p>
    <w:p>
      <w:pPr>
        <w:pStyle w:val="8"/>
        <w:rPr>
          <w:b/>
          <w:color w:val="auto"/>
          <w:sz w:val="20"/>
        </w:rPr>
      </w:pPr>
    </w:p>
    <w:p>
      <w:pPr>
        <w:pStyle w:val="8"/>
        <w:rPr>
          <w:b/>
          <w:color w:val="auto"/>
          <w:sz w:val="20"/>
        </w:rPr>
      </w:pPr>
    </w:p>
    <w:p>
      <w:pPr>
        <w:pStyle w:val="8"/>
        <w:rPr>
          <w:b/>
          <w:color w:val="auto"/>
          <w:sz w:val="20"/>
        </w:rPr>
      </w:pPr>
    </w:p>
    <w:p>
      <w:pPr>
        <w:pStyle w:val="8"/>
        <w:rPr>
          <w:b/>
          <w:color w:val="auto"/>
          <w:sz w:val="20"/>
        </w:rPr>
      </w:pPr>
    </w:p>
    <w:p>
      <w:pPr>
        <w:pStyle w:val="8"/>
        <w:rPr>
          <w:b/>
          <w:color w:val="auto"/>
          <w:sz w:val="20"/>
        </w:rPr>
      </w:pPr>
    </w:p>
    <w:p>
      <w:pPr>
        <w:pStyle w:val="8"/>
        <w:rPr>
          <w:b/>
          <w:color w:val="auto"/>
          <w:sz w:val="20"/>
        </w:rPr>
      </w:pPr>
    </w:p>
    <w:p>
      <w:pPr>
        <w:pStyle w:val="8"/>
        <w:rPr>
          <w:b/>
          <w:color w:val="auto"/>
          <w:sz w:val="20"/>
        </w:rPr>
      </w:pPr>
    </w:p>
    <w:p>
      <w:pPr>
        <w:pStyle w:val="8"/>
        <w:rPr>
          <w:b/>
          <w:color w:val="auto"/>
          <w:sz w:val="20"/>
        </w:rPr>
      </w:pPr>
    </w:p>
    <w:p>
      <w:pPr>
        <w:pStyle w:val="8"/>
        <w:rPr>
          <w:b/>
          <w:color w:val="auto"/>
          <w:sz w:val="20"/>
        </w:rPr>
      </w:pPr>
    </w:p>
    <w:p>
      <w:pPr>
        <w:pStyle w:val="8"/>
        <w:spacing w:before="6"/>
        <w:rPr>
          <w:b/>
          <w:color w:val="auto"/>
          <w:sz w:val="28"/>
        </w:rPr>
      </w:pPr>
    </w:p>
    <w:p>
      <w:pPr>
        <w:spacing w:before="55"/>
        <w:ind w:left="203" w:right="221" w:firstLine="0"/>
        <w:jc w:val="center"/>
        <w:rPr>
          <w:b/>
          <w:color w:val="auto"/>
          <w:sz w:val="32"/>
        </w:rPr>
      </w:pPr>
      <w:r>
        <w:rPr>
          <w:b/>
          <w:color w:val="auto"/>
          <w:sz w:val="32"/>
        </w:rPr>
        <w:t>南京信息工程大学招标办</w:t>
      </w:r>
    </w:p>
    <w:p>
      <w:pPr>
        <w:pStyle w:val="8"/>
        <w:rPr>
          <w:b/>
          <w:color w:val="auto"/>
          <w:sz w:val="32"/>
        </w:rPr>
      </w:pPr>
    </w:p>
    <w:p>
      <w:pPr>
        <w:spacing w:before="1"/>
        <w:ind w:left="203" w:right="218" w:firstLine="0"/>
        <w:jc w:val="center"/>
        <w:rPr>
          <w:b/>
          <w:color w:val="auto"/>
          <w:sz w:val="32"/>
        </w:rPr>
      </w:pPr>
      <w:r>
        <w:rPr>
          <w:b/>
          <w:color w:val="auto"/>
          <w:w w:val="95"/>
          <w:sz w:val="32"/>
        </w:rPr>
        <w:t>2021</w:t>
      </w:r>
      <w:r>
        <w:rPr>
          <w:b/>
          <w:color w:val="auto"/>
          <w:spacing w:val="-39"/>
          <w:w w:val="95"/>
          <w:sz w:val="32"/>
        </w:rPr>
        <w:t xml:space="preserve"> 年 </w:t>
      </w:r>
      <w:r>
        <w:rPr>
          <w:b/>
          <w:color w:val="auto"/>
          <w:w w:val="95"/>
          <w:sz w:val="32"/>
        </w:rPr>
        <w:t>1</w:t>
      </w:r>
      <w:r>
        <w:rPr>
          <w:rFonts w:hint="eastAsia"/>
          <w:b/>
          <w:color w:val="auto"/>
          <w:w w:val="95"/>
          <w:sz w:val="32"/>
          <w:lang w:val="en-US" w:eastAsia="zh-CN"/>
        </w:rPr>
        <w:t>2</w:t>
      </w:r>
      <w:r>
        <w:rPr>
          <w:b/>
          <w:color w:val="auto"/>
          <w:spacing w:val="-29"/>
          <w:w w:val="95"/>
          <w:sz w:val="32"/>
        </w:rPr>
        <w:t xml:space="preserve"> 月</w:t>
      </w:r>
    </w:p>
    <w:p>
      <w:pPr>
        <w:spacing w:after="0"/>
        <w:jc w:val="center"/>
        <w:rPr>
          <w:color w:val="auto"/>
          <w:sz w:val="32"/>
        </w:rPr>
        <w:sectPr>
          <w:type w:val="continuous"/>
          <w:pgSz w:w="11910" w:h="16840"/>
          <w:pgMar w:top="1580" w:right="1180" w:bottom="280" w:left="1200" w:header="720" w:footer="720" w:gutter="0"/>
          <w:cols w:space="720" w:num="1"/>
        </w:sectPr>
      </w:pPr>
    </w:p>
    <w:p>
      <w:pPr>
        <w:spacing w:before="10"/>
        <w:ind w:left="203" w:right="218" w:firstLine="0"/>
        <w:jc w:val="center"/>
        <w:rPr>
          <w:b/>
          <w:color w:val="auto"/>
          <w:sz w:val="44"/>
        </w:rPr>
      </w:pPr>
      <w:r>
        <w:rPr>
          <w:b/>
          <w:color w:val="auto"/>
          <w:spacing w:val="86"/>
          <w:sz w:val="44"/>
        </w:rPr>
        <w:t>总 目 录</w:t>
      </w:r>
    </w:p>
    <w:sdt>
      <w:sdtPr>
        <w:rPr>
          <w:color w:val="auto"/>
        </w:rPr>
        <w:id w:val="1"/>
        <w:docPartObj>
          <w:docPartGallery w:val="Table of Contents"/>
          <w:docPartUnique/>
        </w:docPartObj>
      </w:sdtPr>
      <w:sdtEndPr>
        <w:rPr>
          <w:color w:val="auto"/>
        </w:rPr>
      </w:sdtEndPr>
      <w:sdtContent>
        <w:p>
          <w:pPr>
            <w:pStyle w:val="10"/>
            <w:tabs>
              <w:tab w:val="right" w:leader="dot" w:pos="8320"/>
            </w:tabs>
            <w:spacing w:before="647"/>
            <w:rPr>
              <w:color w:val="auto"/>
            </w:rPr>
          </w:pPr>
          <w:r>
            <w:rPr>
              <w:color w:val="auto"/>
            </w:rPr>
            <w:fldChar w:fldCharType="begin"/>
          </w:r>
          <w:r>
            <w:rPr>
              <w:color w:val="auto"/>
            </w:rPr>
            <w:instrText xml:space="preserve"> HYPERLINK \l "_TOC_250004" </w:instrText>
          </w:r>
          <w:r>
            <w:rPr>
              <w:color w:val="auto"/>
            </w:rPr>
            <w:fldChar w:fldCharType="separate"/>
          </w:r>
          <w:r>
            <w:rPr>
              <w:rFonts w:hint="eastAsia" w:ascii="黑体" w:hAnsi="黑体" w:eastAsia="黑体"/>
              <w:color w:val="auto"/>
            </w:rPr>
            <w:t>第一章</w:t>
          </w:r>
          <w:r>
            <w:rPr>
              <w:rFonts w:hint="eastAsia" w:ascii="黑体" w:hAnsi="黑体" w:eastAsia="黑体"/>
              <w:color w:val="auto"/>
              <w:spacing w:val="179"/>
            </w:rPr>
            <w:t xml:space="preserve"> </w:t>
          </w:r>
          <w:r>
            <w:rPr>
              <w:color w:val="auto"/>
            </w:rPr>
            <w:t>投标邀请</w:t>
          </w:r>
          <w:r>
            <w:rPr>
              <w:rFonts w:ascii="Times New Roman" w:hAnsi="Times New Roman" w:eastAsia="Times New Roman"/>
              <w:color w:val="auto"/>
            </w:rPr>
            <w:tab/>
          </w:r>
          <w:r>
            <w:rPr>
              <w:color w:val="auto"/>
            </w:rPr>
            <w:t>2</w:t>
          </w:r>
          <w:r>
            <w:rPr>
              <w:color w:val="auto"/>
            </w:rPr>
            <w:fldChar w:fldCharType="end"/>
          </w:r>
        </w:p>
        <w:p>
          <w:pPr>
            <w:pStyle w:val="10"/>
            <w:tabs>
              <w:tab w:val="right" w:leader="dot" w:pos="8320"/>
            </w:tabs>
            <w:spacing w:before="120"/>
            <w:rPr>
              <w:color w:val="auto"/>
            </w:rPr>
          </w:pPr>
          <w:r>
            <w:rPr>
              <w:color w:val="auto"/>
            </w:rPr>
            <w:fldChar w:fldCharType="begin"/>
          </w:r>
          <w:r>
            <w:rPr>
              <w:color w:val="auto"/>
            </w:rPr>
            <w:instrText xml:space="preserve"> HYPERLINK \l "_TOC_250003" </w:instrText>
          </w:r>
          <w:r>
            <w:rPr>
              <w:color w:val="auto"/>
            </w:rPr>
            <w:fldChar w:fldCharType="separate"/>
          </w:r>
          <w:r>
            <w:rPr>
              <w:rFonts w:hint="eastAsia" w:ascii="黑体" w:eastAsia="黑体"/>
              <w:color w:val="auto"/>
            </w:rPr>
            <w:t>第二章</w:t>
          </w:r>
          <w:r>
            <w:rPr>
              <w:rFonts w:hint="eastAsia" w:ascii="黑体" w:eastAsia="黑体"/>
              <w:color w:val="auto"/>
              <w:spacing w:val="179"/>
            </w:rPr>
            <w:t xml:space="preserve"> </w:t>
          </w:r>
          <w:r>
            <w:rPr>
              <w:color w:val="auto"/>
            </w:rPr>
            <w:t>投标人须知</w:t>
          </w:r>
          <w:r>
            <w:rPr>
              <w:rFonts w:ascii="Times New Roman" w:eastAsia="Times New Roman"/>
              <w:color w:val="auto"/>
            </w:rPr>
            <w:tab/>
          </w:r>
          <w:r>
            <w:rPr>
              <w:color w:val="auto"/>
            </w:rPr>
            <w:t>6</w:t>
          </w:r>
          <w:r>
            <w:rPr>
              <w:color w:val="auto"/>
            </w:rPr>
            <w:fldChar w:fldCharType="end"/>
          </w:r>
        </w:p>
        <w:p>
          <w:pPr>
            <w:pStyle w:val="10"/>
            <w:tabs>
              <w:tab w:val="right" w:leader="dot" w:pos="8500"/>
            </w:tabs>
            <w:rPr>
              <w:color w:val="auto"/>
            </w:rPr>
          </w:pPr>
          <w:r>
            <w:rPr>
              <w:rFonts w:hint="eastAsia" w:ascii="黑体" w:hAnsi="黑体" w:eastAsia="黑体"/>
              <w:color w:val="auto"/>
            </w:rPr>
            <w:t>第三章</w:t>
          </w:r>
          <w:r>
            <w:rPr>
              <w:rFonts w:hint="eastAsia" w:ascii="黑体" w:hAnsi="黑体" w:eastAsia="黑体"/>
              <w:color w:val="auto"/>
              <w:spacing w:val="179"/>
            </w:rPr>
            <w:t xml:space="preserve"> </w:t>
          </w:r>
          <w:r>
            <w:rPr>
              <w:color w:val="auto"/>
            </w:rPr>
            <w:t>合同条款及格式</w:t>
          </w:r>
          <w:r>
            <w:rPr>
              <w:rFonts w:ascii="Times New Roman" w:hAnsi="Times New Roman" w:eastAsia="Times New Roman"/>
              <w:color w:val="auto"/>
            </w:rPr>
            <w:tab/>
          </w:r>
          <w:r>
            <w:rPr>
              <w:color w:val="auto"/>
            </w:rPr>
            <w:t>18</w:t>
          </w:r>
        </w:p>
        <w:p>
          <w:pPr>
            <w:pStyle w:val="10"/>
            <w:tabs>
              <w:tab w:val="right" w:leader="dot" w:pos="8500"/>
            </w:tabs>
            <w:spacing w:before="117"/>
            <w:rPr>
              <w:color w:val="auto"/>
            </w:rPr>
          </w:pPr>
          <w:r>
            <w:rPr>
              <w:color w:val="auto"/>
            </w:rPr>
            <w:fldChar w:fldCharType="begin"/>
          </w:r>
          <w:r>
            <w:rPr>
              <w:color w:val="auto"/>
            </w:rPr>
            <w:instrText xml:space="preserve"> HYPERLINK \l "_TOC_250002" </w:instrText>
          </w:r>
          <w:r>
            <w:rPr>
              <w:color w:val="auto"/>
            </w:rPr>
            <w:fldChar w:fldCharType="separate"/>
          </w:r>
          <w:r>
            <w:rPr>
              <w:rFonts w:hint="eastAsia" w:ascii="黑体" w:hAnsi="黑体" w:eastAsia="黑体"/>
              <w:color w:val="auto"/>
            </w:rPr>
            <w:t>第四章</w:t>
          </w:r>
          <w:r>
            <w:rPr>
              <w:rFonts w:hint="eastAsia" w:ascii="黑体" w:hAnsi="黑体" w:eastAsia="黑体"/>
              <w:color w:val="auto"/>
              <w:spacing w:val="179"/>
            </w:rPr>
            <w:t xml:space="preserve"> </w:t>
          </w:r>
          <w:r>
            <w:rPr>
              <w:color w:val="auto"/>
            </w:rPr>
            <w:t>项目需求</w:t>
          </w:r>
          <w:r>
            <w:rPr>
              <w:rFonts w:ascii="Times New Roman" w:hAnsi="Times New Roman" w:eastAsia="Times New Roman"/>
              <w:color w:val="auto"/>
            </w:rPr>
            <w:tab/>
          </w:r>
          <w:r>
            <w:rPr>
              <w:color w:val="auto"/>
            </w:rPr>
            <w:t>23</w:t>
          </w:r>
          <w:r>
            <w:rPr>
              <w:color w:val="auto"/>
            </w:rPr>
            <w:fldChar w:fldCharType="end"/>
          </w:r>
        </w:p>
        <w:p>
          <w:pPr>
            <w:pStyle w:val="10"/>
            <w:tabs>
              <w:tab w:val="right" w:leader="dot" w:pos="8500"/>
            </w:tabs>
            <w:spacing w:before="121"/>
            <w:rPr>
              <w:color w:val="auto"/>
            </w:rPr>
          </w:pPr>
          <w:r>
            <w:rPr>
              <w:color w:val="auto"/>
            </w:rPr>
            <w:fldChar w:fldCharType="begin"/>
          </w:r>
          <w:r>
            <w:rPr>
              <w:color w:val="auto"/>
            </w:rPr>
            <w:instrText xml:space="preserve"> HYPERLINK \l "_TOC_250001" </w:instrText>
          </w:r>
          <w:r>
            <w:rPr>
              <w:color w:val="auto"/>
            </w:rPr>
            <w:fldChar w:fldCharType="separate"/>
          </w:r>
          <w:r>
            <w:rPr>
              <w:rFonts w:hint="eastAsia" w:ascii="黑体" w:eastAsia="黑体"/>
              <w:color w:val="auto"/>
            </w:rPr>
            <w:t>第五章</w:t>
          </w:r>
          <w:r>
            <w:rPr>
              <w:rFonts w:hint="eastAsia" w:ascii="黑体" w:eastAsia="黑体"/>
              <w:color w:val="auto"/>
              <w:spacing w:val="179"/>
            </w:rPr>
            <w:t xml:space="preserve"> </w:t>
          </w:r>
          <w:r>
            <w:rPr>
              <w:color w:val="auto"/>
            </w:rPr>
            <w:t>评标方法与评标标准</w:t>
          </w:r>
          <w:r>
            <w:rPr>
              <w:rFonts w:ascii="Times New Roman" w:eastAsia="Times New Roman"/>
              <w:color w:val="auto"/>
            </w:rPr>
            <w:tab/>
          </w:r>
          <w:r>
            <w:rPr>
              <w:color w:val="auto"/>
            </w:rPr>
            <w:t>26</w:t>
          </w:r>
          <w:r>
            <w:rPr>
              <w:color w:val="auto"/>
            </w:rPr>
            <w:fldChar w:fldCharType="end"/>
          </w:r>
        </w:p>
        <w:p>
          <w:pPr>
            <w:pStyle w:val="9"/>
            <w:tabs>
              <w:tab w:val="right" w:leader="dot" w:pos="8500"/>
            </w:tabs>
            <w:rPr>
              <w:color w:val="auto"/>
            </w:rPr>
          </w:pPr>
          <w:r>
            <w:rPr>
              <w:color w:val="auto"/>
            </w:rPr>
            <w:fldChar w:fldCharType="begin"/>
          </w:r>
          <w:r>
            <w:rPr>
              <w:color w:val="auto"/>
            </w:rPr>
            <w:instrText xml:space="preserve"> HYPERLINK \l "_TOC_250000" </w:instrText>
          </w:r>
          <w:r>
            <w:rPr>
              <w:color w:val="auto"/>
            </w:rPr>
            <w:fldChar w:fldCharType="separate"/>
          </w:r>
          <w:r>
            <w:rPr>
              <w:rFonts w:hint="eastAsia" w:ascii="黑体" w:hAnsi="黑体" w:eastAsia="黑体"/>
              <w:color w:val="auto"/>
            </w:rPr>
            <w:t>第六章</w:t>
          </w:r>
          <w:r>
            <w:rPr>
              <w:rFonts w:hint="eastAsia" w:ascii="黑体" w:hAnsi="黑体" w:eastAsia="黑体"/>
              <w:color w:val="auto"/>
              <w:spacing w:val="179"/>
            </w:rPr>
            <w:t xml:space="preserve"> </w:t>
          </w:r>
          <w:r>
            <w:rPr>
              <w:color w:val="auto"/>
            </w:rPr>
            <w:t>投标文件格式</w:t>
          </w:r>
          <w:r>
            <w:rPr>
              <w:rFonts w:ascii="Times New Roman" w:hAnsi="Times New Roman" w:eastAsia="Times New Roman"/>
              <w:color w:val="auto"/>
            </w:rPr>
            <w:tab/>
          </w:r>
          <w:r>
            <w:rPr>
              <w:color w:val="auto"/>
            </w:rPr>
            <w:t>28</w:t>
          </w:r>
          <w:r>
            <w:rPr>
              <w:color w:val="auto"/>
            </w:rPr>
            <w:fldChar w:fldCharType="end"/>
          </w:r>
        </w:p>
      </w:sdtContent>
    </w:sdt>
    <w:p>
      <w:pPr>
        <w:spacing w:after="0"/>
        <w:rPr>
          <w:color w:val="auto"/>
        </w:rPr>
        <w:sectPr>
          <w:footerReference r:id="rId5" w:type="default"/>
          <w:pgSz w:w="11910" w:h="16840"/>
          <w:pgMar w:top="1420" w:right="1180" w:bottom="1080" w:left="1200" w:header="0" w:footer="886" w:gutter="0"/>
          <w:cols w:space="720" w:num="1"/>
        </w:sectPr>
      </w:pPr>
    </w:p>
    <w:p>
      <w:pPr>
        <w:pStyle w:val="3"/>
        <w:ind w:right="216"/>
        <w:rPr>
          <w:color w:val="auto"/>
        </w:rPr>
      </w:pPr>
      <w:bookmarkStart w:id="0" w:name="_TOC_250004"/>
      <w:bookmarkEnd w:id="0"/>
      <w:r>
        <w:rPr>
          <w:color w:val="auto"/>
          <w:spacing w:val="15"/>
        </w:rPr>
        <w:t>第一章 投标邀请</w:t>
      </w:r>
    </w:p>
    <w:p>
      <w:pPr>
        <w:pStyle w:val="8"/>
        <w:spacing w:before="3"/>
        <w:rPr>
          <w:b/>
          <w:color w:val="auto"/>
          <w:sz w:val="27"/>
        </w:rPr>
      </w:pPr>
    </w:p>
    <w:p>
      <w:pPr>
        <w:pStyle w:val="8"/>
        <w:spacing w:before="1" w:line="499" w:lineRule="auto"/>
        <w:ind w:left="218" w:right="232" w:firstLine="420"/>
        <w:rPr>
          <w:color w:val="auto"/>
        </w:rPr>
      </w:pPr>
      <w:r>
        <w:rPr>
          <w:color w:val="auto"/>
        </w:rPr>
        <w:t>南京信息工程大学就投影式光固化软物质三维打印机采购项目进行公开招标采购，现欢迎符合相关条件的合格供应商投标。</w:t>
      </w:r>
    </w:p>
    <w:p>
      <w:pPr>
        <w:pStyle w:val="7"/>
        <w:spacing w:line="268" w:lineRule="exact"/>
        <w:rPr>
          <w:color w:val="auto"/>
        </w:rPr>
      </w:pPr>
      <w:r>
        <w:rPr>
          <w:color w:val="auto"/>
          <w:spacing w:val="-1"/>
        </w:rPr>
        <w:t>一、招标项目名称及编号</w:t>
      </w:r>
    </w:p>
    <w:p>
      <w:pPr>
        <w:pStyle w:val="8"/>
        <w:spacing w:before="10"/>
        <w:rPr>
          <w:b/>
          <w:color w:val="auto"/>
          <w:sz w:val="22"/>
        </w:rPr>
      </w:pPr>
    </w:p>
    <w:p>
      <w:pPr>
        <w:pStyle w:val="8"/>
        <w:spacing w:line="499" w:lineRule="auto"/>
        <w:ind w:left="638" w:right="2368"/>
        <w:rPr>
          <w:color w:val="auto"/>
        </w:rPr>
      </w:pPr>
      <w:r>
        <w:rPr>
          <w:color w:val="auto"/>
        </w:rPr>
        <w:t>项目名称：南京信息工程大学投影式光固化软物质三维打印机采购项目</w:t>
      </w:r>
      <w:r>
        <w:rPr>
          <w:color w:val="auto"/>
          <w:spacing w:val="2"/>
        </w:rPr>
        <w:t xml:space="preserve">项目编号： </w:t>
      </w:r>
      <w:r>
        <w:rPr>
          <w:color w:val="auto"/>
        </w:rPr>
        <w:t>JZCG-2021-00170</w:t>
      </w:r>
    </w:p>
    <w:p>
      <w:pPr>
        <w:pStyle w:val="7"/>
        <w:spacing w:line="269" w:lineRule="exact"/>
        <w:rPr>
          <w:color w:val="auto"/>
        </w:rPr>
      </w:pPr>
      <w:r>
        <w:rPr>
          <w:color w:val="auto"/>
          <w:spacing w:val="-1"/>
        </w:rPr>
        <w:t>二、招标项目简要说明、预算金额及最高限价</w:t>
      </w:r>
    </w:p>
    <w:p>
      <w:pPr>
        <w:pStyle w:val="8"/>
        <w:spacing w:before="11"/>
        <w:rPr>
          <w:b/>
          <w:color w:val="auto"/>
          <w:sz w:val="22"/>
        </w:rPr>
      </w:pPr>
    </w:p>
    <w:p>
      <w:pPr>
        <w:pStyle w:val="8"/>
        <w:ind w:left="638"/>
        <w:rPr>
          <w:color w:val="auto"/>
        </w:rPr>
      </w:pPr>
      <w:r>
        <w:rPr>
          <w:color w:val="auto"/>
        </w:rPr>
        <w:t>（一）招标项目简要说明</w:t>
      </w:r>
    </w:p>
    <w:p>
      <w:pPr>
        <w:pStyle w:val="8"/>
        <w:spacing w:before="11"/>
        <w:rPr>
          <w:color w:val="auto"/>
          <w:sz w:val="18"/>
        </w:rPr>
      </w:pPr>
    </w:p>
    <w:p>
      <w:pPr>
        <w:pStyle w:val="8"/>
        <w:ind w:left="638"/>
        <w:rPr>
          <w:color w:val="auto"/>
        </w:rPr>
      </w:pPr>
      <w:r>
        <w:rPr>
          <w:color w:val="auto"/>
          <w:spacing w:val="-1"/>
        </w:rPr>
        <w:t>本次招标购置的设备是</w:t>
      </w:r>
      <w:r>
        <w:rPr>
          <w:color w:val="auto"/>
          <w:u w:val="single"/>
        </w:rPr>
        <w:t>投影式光固化软物质三维打印机</w:t>
      </w:r>
      <w:r>
        <w:rPr>
          <w:color w:val="auto"/>
        </w:rPr>
        <w:t>。需实现的目标有：使用比较少量的光</w:t>
      </w:r>
    </w:p>
    <w:p>
      <w:pPr>
        <w:pStyle w:val="8"/>
        <w:spacing w:before="5"/>
        <w:rPr>
          <w:color w:val="auto"/>
          <w:sz w:val="12"/>
        </w:rPr>
      </w:pPr>
    </w:p>
    <w:p>
      <w:pPr>
        <w:pStyle w:val="8"/>
        <w:spacing w:before="72"/>
        <w:ind w:left="218"/>
        <w:rPr>
          <w:color w:val="auto"/>
        </w:rPr>
      </w:pPr>
      <w:r>
        <w:rPr>
          <w:color w:val="auto"/>
          <w:spacing w:val="-4"/>
        </w:rPr>
        <w:t xml:space="preserve">敏脂及光敏水凝胶等软物质材料打印出较高精度的 </w:t>
      </w:r>
      <w:r>
        <w:rPr>
          <w:color w:val="auto"/>
        </w:rPr>
        <w:t>3D</w:t>
      </w:r>
      <w:r>
        <w:rPr>
          <w:color w:val="auto"/>
          <w:spacing w:val="-14"/>
        </w:rPr>
        <w:t xml:space="preserve"> 模型。</w:t>
      </w:r>
    </w:p>
    <w:p>
      <w:pPr>
        <w:pStyle w:val="8"/>
        <w:spacing w:before="11"/>
        <w:rPr>
          <w:color w:val="auto"/>
        </w:rPr>
      </w:pPr>
    </w:p>
    <w:p>
      <w:pPr>
        <w:pStyle w:val="8"/>
        <w:ind w:left="638"/>
        <w:rPr>
          <w:color w:val="auto"/>
        </w:rPr>
      </w:pPr>
      <w:r>
        <w:rPr>
          <w:color w:val="auto"/>
        </w:rPr>
        <w:t>（二）</w:t>
      </w:r>
      <w:r>
        <w:rPr>
          <w:color w:val="auto"/>
          <w:spacing w:val="-6"/>
        </w:rPr>
        <w:t xml:space="preserve">本项目采购预算为 </w:t>
      </w:r>
      <w:r>
        <w:rPr>
          <w:color w:val="auto"/>
        </w:rPr>
        <w:t>36.00</w:t>
      </w:r>
      <w:r>
        <w:rPr>
          <w:color w:val="auto"/>
          <w:spacing w:val="-14"/>
        </w:rPr>
        <w:t xml:space="preserve"> 万元。</w:t>
      </w:r>
    </w:p>
    <w:p>
      <w:pPr>
        <w:pStyle w:val="8"/>
        <w:spacing w:before="8"/>
        <w:rPr>
          <w:color w:val="auto"/>
          <w:sz w:val="22"/>
        </w:rPr>
      </w:pPr>
    </w:p>
    <w:p>
      <w:pPr>
        <w:pStyle w:val="8"/>
        <w:spacing w:before="1"/>
        <w:ind w:left="638"/>
        <w:rPr>
          <w:color w:val="auto"/>
        </w:rPr>
      </w:pPr>
      <w:r>
        <w:rPr>
          <w:color w:val="auto"/>
          <w:spacing w:val="-1"/>
        </w:rPr>
        <w:t>（三）</w:t>
      </w:r>
      <w:r>
        <w:rPr>
          <w:color w:val="auto"/>
        </w:rPr>
        <w:t>本项目</w:t>
      </w:r>
      <w:r>
        <w:rPr>
          <w:color w:val="auto"/>
          <w:u w:val="single"/>
        </w:rPr>
        <w:t>设定</w:t>
      </w:r>
      <w:r>
        <w:rPr>
          <w:color w:val="auto"/>
          <w:spacing w:val="-5"/>
        </w:rPr>
        <w:t xml:space="preserve">最高限价，最高限价为 </w:t>
      </w:r>
      <w:r>
        <w:rPr>
          <w:color w:val="auto"/>
        </w:rPr>
        <w:t>36.00</w:t>
      </w:r>
      <w:r>
        <w:rPr>
          <w:color w:val="auto"/>
          <w:spacing w:val="-14"/>
        </w:rPr>
        <w:t xml:space="preserve"> 万元。</w:t>
      </w:r>
    </w:p>
    <w:p>
      <w:pPr>
        <w:pStyle w:val="8"/>
        <w:rPr>
          <w:color w:val="auto"/>
          <w:sz w:val="17"/>
        </w:rPr>
      </w:pPr>
    </w:p>
    <w:p>
      <w:pPr>
        <w:spacing w:before="72" w:line="501" w:lineRule="auto"/>
        <w:ind w:left="638" w:right="5311" w:firstLine="0"/>
        <w:jc w:val="left"/>
        <w:rPr>
          <w:color w:val="auto"/>
          <w:sz w:val="21"/>
        </w:rPr>
      </w:pPr>
      <w:r>
        <w:rPr>
          <w:color w:val="auto"/>
          <w:spacing w:val="-1"/>
          <w:sz w:val="21"/>
        </w:rPr>
        <w:t>三、</w:t>
      </w:r>
      <w:r>
        <w:rPr>
          <w:b/>
          <w:color w:val="auto"/>
          <w:spacing w:val="-1"/>
          <w:sz w:val="21"/>
        </w:rPr>
        <w:t>招标项目需要落实的政府采购政策</w:t>
      </w:r>
      <w:r>
        <w:rPr>
          <w:color w:val="auto"/>
          <w:sz w:val="21"/>
        </w:rPr>
        <w:t>详见招标文件第五章内容。</w:t>
      </w:r>
    </w:p>
    <w:p>
      <w:pPr>
        <w:spacing w:before="0" w:line="499" w:lineRule="auto"/>
        <w:ind w:left="638" w:right="6362" w:firstLine="0"/>
        <w:jc w:val="left"/>
        <w:rPr>
          <w:b/>
          <w:color w:val="auto"/>
          <w:sz w:val="21"/>
        </w:rPr>
      </w:pPr>
      <w:r>
        <w:rPr>
          <w:b/>
          <w:color w:val="auto"/>
          <w:sz w:val="21"/>
        </w:rPr>
        <w:t>四、招标项目的采购需求</w:t>
      </w:r>
      <w:r>
        <w:rPr>
          <w:b/>
          <w:color w:val="auto"/>
          <w:spacing w:val="1"/>
          <w:sz w:val="21"/>
        </w:rPr>
        <w:t xml:space="preserve"> </w:t>
      </w:r>
      <w:r>
        <w:rPr>
          <w:color w:val="auto"/>
          <w:sz w:val="21"/>
        </w:rPr>
        <w:t>详见招标文件第四章内容。</w:t>
      </w:r>
      <w:r>
        <w:rPr>
          <w:b/>
          <w:color w:val="auto"/>
          <w:sz w:val="21"/>
        </w:rPr>
        <w:t>五、供应商资格要求</w:t>
      </w:r>
    </w:p>
    <w:p>
      <w:pPr>
        <w:pStyle w:val="8"/>
        <w:ind w:left="638"/>
        <w:rPr>
          <w:color w:val="auto"/>
        </w:rPr>
      </w:pPr>
      <w:r>
        <w:rPr>
          <w:color w:val="auto"/>
        </w:rPr>
        <w:t>（一）符合政府采购法第二十二条第一款规定的条件，并提供下列材料</w:t>
      </w:r>
    </w:p>
    <w:p>
      <w:pPr>
        <w:pStyle w:val="22"/>
        <w:numPr>
          <w:ilvl w:val="0"/>
          <w:numId w:val="1"/>
        </w:numPr>
        <w:tabs>
          <w:tab w:val="left" w:pos="715"/>
        </w:tabs>
        <w:spacing w:before="132" w:after="0" w:line="240" w:lineRule="auto"/>
        <w:ind w:left="714" w:right="0" w:hanging="213"/>
        <w:jc w:val="left"/>
        <w:rPr>
          <w:color w:val="auto"/>
          <w:sz w:val="21"/>
        </w:rPr>
      </w:pPr>
      <w:r>
        <w:rPr>
          <w:color w:val="auto"/>
          <w:spacing w:val="-7"/>
          <w:sz w:val="21"/>
        </w:rPr>
        <w:t>具有独立承担民事责任的能力，提供法人或其他组织的营业执照等证明文件，复印件加盖公章；</w:t>
      </w:r>
    </w:p>
    <w:p>
      <w:pPr>
        <w:pStyle w:val="22"/>
        <w:numPr>
          <w:ilvl w:val="0"/>
          <w:numId w:val="1"/>
        </w:numPr>
        <w:tabs>
          <w:tab w:val="left" w:pos="715"/>
        </w:tabs>
        <w:spacing w:before="167" w:after="0" w:line="388" w:lineRule="auto"/>
        <w:ind w:left="218" w:right="231" w:firstLine="283"/>
        <w:jc w:val="left"/>
        <w:rPr>
          <w:color w:val="auto"/>
          <w:sz w:val="21"/>
        </w:rPr>
      </w:pPr>
      <w:r>
        <w:rPr>
          <w:color w:val="auto"/>
          <w:spacing w:val="-1"/>
          <w:sz w:val="21"/>
        </w:rPr>
        <w:t>法人代表授权书（原件）及法定代表人、授权代表身份证复印件（如果是法定代表人直接参与</w:t>
      </w:r>
      <w:r>
        <w:rPr>
          <w:color w:val="auto"/>
          <w:sz w:val="21"/>
        </w:rPr>
        <w:t>投标的可以不提供授权书）；</w:t>
      </w:r>
    </w:p>
    <w:p>
      <w:pPr>
        <w:pStyle w:val="22"/>
        <w:numPr>
          <w:ilvl w:val="0"/>
          <w:numId w:val="1"/>
        </w:numPr>
        <w:tabs>
          <w:tab w:val="left" w:pos="715"/>
        </w:tabs>
        <w:spacing w:before="3" w:after="0" w:line="386" w:lineRule="auto"/>
        <w:ind w:left="218" w:right="229" w:firstLine="283"/>
        <w:jc w:val="both"/>
        <w:rPr>
          <w:color w:val="auto"/>
          <w:sz w:val="21"/>
        </w:rPr>
      </w:pPr>
      <w:r>
        <w:rPr>
          <w:color w:val="auto"/>
          <w:spacing w:val="-1"/>
          <w:sz w:val="21"/>
        </w:rPr>
        <w:t>具有良好的商业信誉和健全的财务会计制度，提供距开标时间六个月内任意一月份的财务状况</w:t>
      </w:r>
      <w:r>
        <w:rPr>
          <w:color w:val="auto"/>
          <w:sz w:val="21"/>
        </w:rPr>
        <w:t>报告（至少包括资产负债表和利润表）（法人或者其他组织成立未满三个月的可以不提供），或其银行出具的资信证书（复印件）（开标前六个月内），或其上一年度经审计的财务报告复印件加盖公章；</w:t>
      </w:r>
    </w:p>
    <w:p>
      <w:pPr>
        <w:spacing w:after="0" w:line="386" w:lineRule="auto"/>
        <w:jc w:val="both"/>
        <w:rPr>
          <w:color w:val="auto"/>
          <w:sz w:val="21"/>
        </w:rPr>
        <w:sectPr>
          <w:footerReference r:id="rId6" w:type="default"/>
          <w:pgSz w:w="11910" w:h="16840"/>
          <w:pgMar w:top="1500" w:right="1180" w:bottom="1080" w:left="1200" w:header="0" w:footer="886" w:gutter="0"/>
          <w:cols w:space="720" w:num="1"/>
        </w:sectPr>
      </w:pPr>
    </w:p>
    <w:p>
      <w:pPr>
        <w:pStyle w:val="22"/>
        <w:numPr>
          <w:ilvl w:val="0"/>
          <w:numId w:val="1"/>
        </w:numPr>
        <w:tabs>
          <w:tab w:val="left" w:pos="715"/>
        </w:tabs>
        <w:spacing w:before="44" w:after="0" w:line="386" w:lineRule="auto"/>
        <w:ind w:left="218" w:right="229" w:firstLine="283"/>
        <w:jc w:val="left"/>
        <w:rPr>
          <w:color w:val="auto"/>
          <w:sz w:val="21"/>
        </w:rPr>
      </w:pPr>
      <w:r>
        <w:rPr>
          <w:color w:val="auto"/>
          <w:spacing w:val="-1"/>
          <w:sz w:val="21"/>
        </w:rPr>
        <w:t>具有履行合同所必需的设备和专业技术能力（根据项目需求提供履行合同所必需的设备和专业</w:t>
      </w:r>
      <w:r>
        <w:rPr>
          <w:color w:val="auto"/>
          <w:spacing w:val="-3"/>
          <w:w w:val="100"/>
          <w:sz w:val="21"/>
        </w:rPr>
        <w:t>技术能力的证明材料或相关加盖公章的承诺函，承诺函自行编写</w:t>
      </w:r>
      <w:r>
        <w:rPr>
          <w:color w:val="auto"/>
          <w:spacing w:val="-108"/>
          <w:w w:val="100"/>
          <w:sz w:val="21"/>
        </w:rPr>
        <w:t>）</w:t>
      </w:r>
      <w:r>
        <w:rPr>
          <w:color w:val="auto"/>
          <w:w w:val="100"/>
          <w:sz w:val="21"/>
        </w:rPr>
        <w:t>；</w:t>
      </w:r>
    </w:p>
    <w:p>
      <w:pPr>
        <w:pStyle w:val="22"/>
        <w:numPr>
          <w:ilvl w:val="0"/>
          <w:numId w:val="1"/>
        </w:numPr>
        <w:tabs>
          <w:tab w:val="left" w:pos="715"/>
        </w:tabs>
        <w:spacing w:before="5" w:after="0" w:line="386" w:lineRule="auto"/>
        <w:ind w:left="218" w:right="229" w:firstLine="283"/>
        <w:jc w:val="both"/>
        <w:rPr>
          <w:color w:val="auto"/>
          <w:sz w:val="21"/>
        </w:rPr>
      </w:pPr>
      <w:r>
        <w:rPr>
          <w:color w:val="auto"/>
          <w:spacing w:val="-1"/>
          <w:sz w:val="21"/>
        </w:rPr>
        <w:t>参加政府采购活动近三年内（成立时间不足三年的、自成立时间起），在经营活动中没有重大</w:t>
      </w:r>
      <w:r>
        <w:rPr>
          <w:color w:val="auto"/>
          <w:sz w:val="21"/>
        </w:rPr>
        <w:t>违法记录（提供承诺书，格式自拟，重大违法记录是指供应商因违法经营受到刑事处罚或责令停产停业、吊销许可证或者执照、较大数额等行政处罚）；</w:t>
      </w:r>
    </w:p>
    <w:p>
      <w:pPr>
        <w:pStyle w:val="22"/>
        <w:numPr>
          <w:ilvl w:val="0"/>
          <w:numId w:val="1"/>
        </w:numPr>
        <w:tabs>
          <w:tab w:val="left" w:pos="715"/>
        </w:tabs>
        <w:spacing w:before="4" w:after="0" w:line="240" w:lineRule="auto"/>
        <w:ind w:left="714" w:right="0" w:hanging="213"/>
        <w:jc w:val="left"/>
        <w:rPr>
          <w:color w:val="auto"/>
          <w:sz w:val="21"/>
        </w:rPr>
      </w:pPr>
      <w:r>
        <w:rPr>
          <w:color w:val="auto"/>
          <w:sz w:val="21"/>
        </w:rPr>
        <w:t>有依法缴纳税收的良好记录，提供距开标时间六个月内任意一月份的纳税凭据复印件加盖公章</w:t>
      </w:r>
    </w:p>
    <w:p>
      <w:pPr>
        <w:pStyle w:val="8"/>
        <w:spacing w:before="168"/>
        <w:ind w:left="218"/>
        <w:rPr>
          <w:color w:val="auto"/>
        </w:rPr>
      </w:pPr>
      <w:r>
        <w:rPr>
          <w:color w:val="auto"/>
          <w:w w:val="100"/>
        </w:rPr>
        <w:t>（</w:t>
      </w:r>
      <w:r>
        <w:rPr>
          <w:color w:val="auto"/>
          <w:spacing w:val="-3"/>
          <w:w w:val="100"/>
        </w:rPr>
        <w:t>依法免税的应提供相应文件说明</w:t>
      </w:r>
      <w:r>
        <w:rPr>
          <w:color w:val="auto"/>
          <w:spacing w:val="-108"/>
          <w:w w:val="100"/>
        </w:rPr>
        <w:t>）</w:t>
      </w:r>
      <w:r>
        <w:rPr>
          <w:color w:val="auto"/>
          <w:w w:val="100"/>
        </w:rPr>
        <w:t>；</w:t>
      </w:r>
    </w:p>
    <w:p>
      <w:pPr>
        <w:pStyle w:val="22"/>
        <w:numPr>
          <w:ilvl w:val="0"/>
          <w:numId w:val="1"/>
        </w:numPr>
        <w:tabs>
          <w:tab w:val="left" w:pos="715"/>
        </w:tabs>
        <w:spacing w:before="165" w:after="0" w:line="386" w:lineRule="auto"/>
        <w:ind w:left="218" w:right="229" w:firstLine="283"/>
        <w:jc w:val="left"/>
        <w:rPr>
          <w:color w:val="auto"/>
          <w:sz w:val="21"/>
        </w:rPr>
      </w:pPr>
      <w:r>
        <w:rPr>
          <w:color w:val="auto"/>
          <w:spacing w:val="-1"/>
          <w:sz w:val="21"/>
        </w:rPr>
        <w:t>有依法缴纳社会保障资金的良好记录，提供距开标时间六个月内任意一月份的依法缴纳社会保</w:t>
      </w:r>
      <w:r>
        <w:rPr>
          <w:color w:val="auto"/>
          <w:sz w:val="21"/>
        </w:rPr>
        <w:t>障资金的凭据复印件加盖公章；</w:t>
      </w:r>
    </w:p>
    <w:p>
      <w:pPr>
        <w:pStyle w:val="22"/>
        <w:numPr>
          <w:ilvl w:val="1"/>
          <w:numId w:val="1"/>
        </w:numPr>
        <w:tabs>
          <w:tab w:val="left" w:pos="852"/>
        </w:tabs>
        <w:spacing w:before="3" w:after="0" w:line="240" w:lineRule="auto"/>
        <w:ind w:left="851" w:right="0" w:hanging="214"/>
        <w:jc w:val="left"/>
        <w:rPr>
          <w:color w:val="auto"/>
          <w:sz w:val="21"/>
        </w:rPr>
      </w:pPr>
      <w:r>
        <w:rPr>
          <w:color w:val="auto"/>
          <w:sz w:val="21"/>
        </w:rPr>
        <w:t>落实政府采购政策需满足的资格要求：</w:t>
      </w:r>
      <w:r>
        <w:rPr>
          <w:color w:val="auto"/>
          <w:sz w:val="21"/>
          <w:u w:val="single"/>
        </w:rPr>
        <w:t>无</w:t>
      </w:r>
    </w:p>
    <w:p>
      <w:pPr>
        <w:pStyle w:val="22"/>
        <w:numPr>
          <w:ilvl w:val="1"/>
          <w:numId w:val="1"/>
        </w:numPr>
        <w:tabs>
          <w:tab w:val="left" w:pos="852"/>
        </w:tabs>
        <w:spacing w:before="168" w:after="0" w:line="240" w:lineRule="auto"/>
        <w:ind w:left="851" w:right="0" w:hanging="214"/>
        <w:jc w:val="left"/>
        <w:rPr>
          <w:color w:val="auto"/>
          <w:sz w:val="21"/>
        </w:rPr>
      </w:pPr>
      <w:r>
        <w:rPr>
          <w:color w:val="auto"/>
          <w:sz w:val="21"/>
        </w:rPr>
        <w:t>本项目的特定资格要求：</w:t>
      </w:r>
      <w:r>
        <w:rPr>
          <w:color w:val="auto"/>
          <w:sz w:val="21"/>
          <w:u w:val="single" w:color="auto"/>
        </w:rPr>
        <w:t>无。</w:t>
      </w:r>
    </w:p>
    <w:p>
      <w:pPr>
        <w:pStyle w:val="8"/>
        <w:rPr>
          <w:color w:val="auto"/>
          <w:sz w:val="12"/>
        </w:rPr>
      </w:pPr>
    </w:p>
    <w:p>
      <w:pPr>
        <w:pStyle w:val="8"/>
        <w:spacing w:before="71"/>
        <w:ind w:left="638"/>
        <w:rPr>
          <w:color w:val="auto"/>
        </w:rPr>
      </w:pPr>
      <w:r>
        <w:rPr>
          <w:color w:val="auto"/>
        </w:rPr>
        <w:t>4、拒绝下述供应商参加本次采购活动的情形：</w:t>
      </w:r>
    </w:p>
    <w:p>
      <w:pPr>
        <w:pStyle w:val="22"/>
        <w:numPr>
          <w:ilvl w:val="0"/>
          <w:numId w:val="2"/>
        </w:numPr>
        <w:tabs>
          <w:tab w:val="left" w:pos="1168"/>
        </w:tabs>
        <w:spacing w:before="171" w:after="0" w:line="391" w:lineRule="auto"/>
        <w:ind w:left="218" w:right="229" w:firstLine="420"/>
        <w:jc w:val="left"/>
        <w:rPr>
          <w:color w:val="auto"/>
          <w:sz w:val="21"/>
        </w:rPr>
      </w:pPr>
      <w:r>
        <w:rPr>
          <w:color w:val="auto"/>
          <w:sz w:val="21"/>
        </w:rPr>
        <w:t>供应商单位负责人为同一人或者存在直接控股、管理关系的不同供应商，不得参加同一合同项下的政府采购活动。</w:t>
      </w:r>
    </w:p>
    <w:p>
      <w:pPr>
        <w:pStyle w:val="22"/>
        <w:numPr>
          <w:ilvl w:val="0"/>
          <w:numId w:val="2"/>
        </w:numPr>
        <w:tabs>
          <w:tab w:val="left" w:pos="1166"/>
        </w:tabs>
        <w:spacing w:before="3" w:after="0" w:line="391" w:lineRule="auto"/>
        <w:ind w:left="218" w:right="229" w:firstLine="420"/>
        <w:jc w:val="left"/>
        <w:rPr>
          <w:color w:val="auto"/>
          <w:sz w:val="21"/>
        </w:rPr>
      </w:pPr>
      <w:r>
        <w:rPr>
          <w:color w:val="auto"/>
          <w:spacing w:val="-2"/>
          <w:sz w:val="21"/>
        </w:rPr>
        <w:t>凡为采购项目提供整体设计、规范编制或者项目管理、监理、检测等服务的供应商，不得</w:t>
      </w:r>
      <w:r>
        <w:rPr>
          <w:color w:val="auto"/>
          <w:sz w:val="21"/>
        </w:rPr>
        <w:t>再参加本项目的采购活动。</w:t>
      </w:r>
    </w:p>
    <w:p>
      <w:pPr>
        <w:pStyle w:val="8"/>
        <w:spacing w:before="1" w:line="393" w:lineRule="auto"/>
        <w:ind w:left="218" w:right="232" w:firstLine="420"/>
        <w:jc w:val="both"/>
        <w:rPr>
          <w:color w:val="auto"/>
        </w:rPr>
      </w:pPr>
      <w:r>
        <w:rPr>
          <w:color w:val="auto"/>
        </w:rPr>
        <w:t>（</w:t>
      </w:r>
      <w:r>
        <w:rPr>
          <w:color w:val="auto"/>
          <w:spacing w:val="-67"/>
        </w:rPr>
        <w:t xml:space="preserve"> </w:t>
      </w:r>
      <w:r>
        <w:rPr>
          <w:color w:val="auto"/>
        </w:rPr>
        <w:t>3</w:t>
      </w:r>
      <w:r>
        <w:rPr>
          <w:color w:val="auto"/>
          <w:spacing w:val="-66"/>
        </w:rPr>
        <w:t xml:space="preserve"> </w:t>
      </w:r>
      <w:r>
        <w:rPr>
          <w:color w:val="auto"/>
        </w:rPr>
        <w:t>）</w:t>
      </w:r>
      <w:r>
        <w:rPr>
          <w:color w:val="auto"/>
          <w:spacing w:val="6"/>
        </w:rPr>
        <w:t xml:space="preserve"> 供应商被“ 信用中国” 网站</w:t>
      </w:r>
      <w:r>
        <w:rPr>
          <w:color w:val="auto"/>
        </w:rPr>
        <w:t>（</w:t>
      </w:r>
      <w:r>
        <w:rPr>
          <w:color w:val="auto"/>
          <w:spacing w:val="-61"/>
        </w:rPr>
        <w:t xml:space="preserve"> </w:t>
      </w:r>
      <w:r>
        <w:rPr>
          <w:color w:val="auto"/>
        </w:rPr>
        <w:fldChar w:fldCharType="begin"/>
      </w:r>
      <w:r>
        <w:rPr>
          <w:color w:val="auto"/>
        </w:rPr>
        <w:instrText xml:space="preserve"> HYPERLINK "http://www.creditchina.gov.cn/" \h </w:instrText>
      </w:r>
      <w:r>
        <w:rPr>
          <w:color w:val="auto"/>
        </w:rPr>
        <w:fldChar w:fldCharType="separate"/>
      </w:r>
      <w:r>
        <w:rPr>
          <w:color w:val="auto"/>
        </w:rPr>
        <w:t>www.creditchina.gov.cn</w:t>
      </w:r>
      <w:r>
        <w:rPr>
          <w:color w:val="auto"/>
          <w:spacing w:val="-65"/>
        </w:rPr>
        <w:t xml:space="preserve"> </w:t>
      </w:r>
      <w:r>
        <w:rPr>
          <w:color w:val="auto"/>
          <w:spacing w:val="-65"/>
        </w:rPr>
        <w:fldChar w:fldCharType="end"/>
      </w:r>
      <w:r>
        <w:rPr>
          <w:color w:val="auto"/>
          <w:spacing w:val="-70"/>
        </w:rPr>
        <w:t>）</w:t>
      </w:r>
      <w:r>
        <w:rPr>
          <w:color w:val="auto"/>
          <w:spacing w:val="7"/>
        </w:rPr>
        <w:t>、“ 中国政府采购网”</w:t>
      </w:r>
      <w:r>
        <w:rPr>
          <w:color w:val="auto"/>
          <w:spacing w:val="-103"/>
        </w:rPr>
        <w:t xml:space="preserve"> </w:t>
      </w:r>
      <w:r>
        <w:rPr>
          <w:color w:val="auto"/>
          <w:spacing w:val="-2"/>
        </w:rPr>
        <w:t>(www.ccgp.gov.cn)列入失信被执行人、重大税收违法案件当事人名单、政府采购严重违法失信行为</w:t>
      </w:r>
      <w:r>
        <w:rPr>
          <w:color w:val="auto"/>
        </w:rPr>
        <w:t>记录名单。联合体成员存在不良信用记录的，视同联合体存在不良信用记录。</w:t>
      </w:r>
    </w:p>
    <w:p>
      <w:pPr>
        <w:pStyle w:val="8"/>
        <w:spacing w:before="93"/>
        <w:ind w:left="638"/>
        <w:rPr>
          <w:color w:val="auto"/>
        </w:rPr>
      </w:pPr>
      <w:r>
        <w:rPr>
          <w:color w:val="auto"/>
        </w:rPr>
        <w:t>（二）本项目</w:t>
      </w:r>
      <w:r>
        <w:rPr>
          <w:color w:val="auto"/>
          <w:u w:val="single"/>
        </w:rPr>
        <w:t>不接受</w:t>
      </w:r>
      <w:r>
        <w:rPr>
          <w:color w:val="auto"/>
        </w:rPr>
        <w:t>联合体投标；</w:t>
      </w:r>
    </w:p>
    <w:p>
      <w:pPr>
        <w:pStyle w:val="8"/>
        <w:spacing w:before="10"/>
        <w:rPr>
          <w:color w:val="auto"/>
          <w:sz w:val="9"/>
        </w:rPr>
      </w:pPr>
    </w:p>
    <w:p>
      <w:pPr>
        <w:pStyle w:val="8"/>
        <w:spacing w:before="71"/>
        <w:ind w:left="638"/>
        <w:rPr>
          <w:color w:val="auto"/>
        </w:rPr>
      </w:pPr>
      <w:r>
        <w:rPr>
          <w:color w:val="auto"/>
        </w:rPr>
        <w:t>（三）本项目</w:t>
      </w:r>
      <w:r>
        <w:rPr>
          <w:color w:val="auto"/>
          <w:u w:val="single" w:color="auto"/>
        </w:rPr>
        <w:t>不接受</w:t>
      </w:r>
      <w:r>
        <w:rPr>
          <w:color w:val="auto"/>
        </w:rPr>
        <w:t>进口产品投标。</w:t>
      </w:r>
    </w:p>
    <w:p>
      <w:pPr>
        <w:pStyle w:val="8"/>
        <w:spacing w:before="170" w:line="393" w:lineRule="auto"/>
        <w:ind w:left="218" w:right="230" w:firstLine="420"/>
        <w:jc w:val="both"/>
        <w:rPr>
          <w:color w:val="auto"/>
        </w:rPr>
      </w:pPr>
      <w:r>
        <w:rPr>
          <w:color w:val="auto"/>
        </w:rPr>
        <w:pict>
          <v:shape id="docshape4" o:spid="_x0000_s1026" o:spt="202" type="#_x0000_t202" style="position:absolute;left:0pt;margin-left:91.7pt;margin-top:67.35pt;height:90.4pt;width:412.4pt;mso-position-horizontal-relative:page;z-index:251659264;mso-width-relative:page;mso-height-relative:page;" filled="f" stroked="f" coordsize="21600,21600">
            <v:path/>
            <v:fill on="f" focussize="0,0"/>
            <v:stroke on="f" joinstyle="miter"/>
            <v:imagedata o:title=""/>
            <o:lock v:ext="edit"/>
            <v:textbox inset="0mm,0mm,0mm,0mm">
              <w:txbxContent>
                <w:tbl>
                  <w:tblPr>
                    <w:tblStyle w:val="12"/>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42"/>
                    <w:gridCol w:w="1049"/>
                    <w:gridCol w:w="34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742" w:type="dxa"/>
                      </w:tcPr>
                      <w:p>
                        <w:pPr>
                          <w:pStyle w:val="23"/>
                          <w:spacing w:before="143"/>
                          <w:ind w:left="107"/>
                          <w:rPr>
                            <w:sz w:val="21"/>
                          </w:rPr>
                        </w:pPr>
                        <w:r>
                          <w:rPr>
                            <w:sz w:val="21"/>
                          </w:rPr>
                          <w:t>单位名称</w:t>
                        </w:r>
                      </w:p>
                    </w:tc>
                    <w:tc>
                      <w:tcPr>
                        <w:tcW w:w="1049" w:type="dxa"/>
                      </w:tcPr>
                      <w:p>
                        <w:pPr>
                          <w:pStyle w:val="23"/>
                          <w:spacing w:before="143"/>
                          <w:ind w:left="107"/>
                          <w:rPr>
                            <w:sz w:val="21"/>
                          </w:rPr>
                        </w:pPr>
                        <w:r>
                          <w:rPr>
                            <w:sz w:val="21"/>
                          </w:rPr>
                          <w:t>联系人</w:t>
                        </w:r>
                      </w:p>
                    </w:tc>
                    <w:tc>
                      <w:tcPr>
                        <w:tcW w:w="3442" w:type="dxa"/>
                      </w:tcPr>
                      <w:p>
                        <w:pPr>
                          <w:pStyle w:val="23"/>
                          <w:spacing w:before="143"/>
                          <w:ind w:left="108"/>
                          <w:rPr>
                            <w:sz w:val="21"/>
                          </w:rPr>
                        </w:pPr>
                        <w:r>
                          <w:rPr>
                            <w:sz w:val="21"/>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742" w:type="dxa"/>
                      </w:tcPr>
                      <w:p>
                        <w:pPr>
                          <w:pStyle w:val="23"/>
                          <w:spacing w:before="142"/>
                          <w:ind w:left="107"/>
                          <w:rPr>
                            <w:sz w:val="21"/>
                          </w:rPr>
                        </w:pPr>
                        <w:r>
                          <w:rPr>
                            <w:sz w:val="21"/>
                          </w:rPr>
                          <w:t>赛尔网络有限公司</w:t>
                        </w:r>
                      </w:p>
                    </w:tc>
                    <w:tc>
                      <w:tcPr>
                        <w:tcW w:w="1049" w:type="dxa"/>
                      </w:tcPr>
                      <w:p>
                        <w:pPr>
                          <w:pStyle w:val="23"/>
                          <w:spacing w:before="142"/>
                          <w:ind w:left="107"/>
                          <w:rPr>
                            <w:sz w:val="21"/>
                          </w:rPr>
                        </w:pPr>
                        <w:r>
                          <w:rPr>
                            <w:sz w:val="21"/>
                          </w:rPr>
                          <w:t>孙经理</w:t>
                        </w:r>
                      </w:p>
                    </w:tc>
                    <w:tc>
                      <w:tcPr>
                        <w:tcW w:w="3442" w:type="dxa"/>
                      </w:tcPr>
                      <w:p>
                        <w:pPr>
                          <w:pStyle w:val="23"/>
                          <w:spacing w:before="142"/>
                          <w:ind w:left="108"/>
                          <w:rPr>
                            <w:sz w:val="21"/>
                          </w:rPr>
                        </w:pPr>
                        <w:r>
                          <w:rPr>
                            <w:sz w:val="21"/>
                          </w:rPr>
                          <w:t>025-84526113-303；15720827011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742" w:type="dxa"/>
                      </w:tcPr>
                      <w:p>
                        <w:pPr>
                          <w:pStyle w:val="23"/>
                          <w:spacing w:before="142"/>
                          <w:ind w:left="107"/>
                          <w:rPr>
                            <w:sz w:val="21"/>
                          </w:rPr>
                        </w:pPr>
                        <w:r>
                          <w:rPr>
                            <w:sz w:val="21"/>
                          </w:rPr>
                          <w:t>江苏苏美达仪器设备有限公司</w:t>
                        </w:r>
                      </w:p>
                    </w:tc>
                    <w:tc>
                      <w:tcPr>
                        <w:tcW w:w="1049" w:type="dxa"/>
                      </w:tcPr>
                      <w:p>
                        <w:pPr>
                          <w:pStyle w:val="23"/>
                          <w:spacing w:before="142"/>
                          <w:ind w:left="107"/>
                          <w:rPr>
                            <w:sz w:val="21"/>
                          </w:rPr>
                        </w:pPr>
                        <w:r>
                          <w:rPr>
                            <w:sz w:val="21"/>
                          </w:rPr>
                          <w:t>练经理</w:t>
                        </w:r>
                      </w:p>
                    </w:tc>
                    <w:tc>
                      <w:tcPr>
                        <w:tcW w:w="3442" w:type="dxa"/>
                      </w:tcPr>
                      <w:p>
                        <w:pPr>
                          <w:pStyle w:val="23"/>
                          <w:spacing w:before="142"/>
                          <w:ind w:left="108"/>
                          <w:rPr>
                            <w:sz w:val="21"/>
                          </w:rPr>
                        </w:pPr>
                        <w:r>
                          <w:rPr>
                            <w:sz w:val="21"/>
                          </w:rPr>
                          <w:t>025-84531280；15205153042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742" w:type="dxa"/>
                      </w:tcPr>
                      <w:p>
                        <w:pPr>
                          <w:pStyle w:val="23"/>
                          <w:spacing w:before="142"/>
                          <w:ind w:left="107"/>
                          <w:rPr>
                            <w:sz w:val="21"/>
                          </w:rPr>
                        </w:pPr>
                        <w:r>
                          <w:rPr>
                            <w:sz w:val="21"/>
                          </w:rPr>
                          <w:t>江苏海外集团国际技术工程有限公司</w:t>
                        </w:r>
                      </w:p>
                    </w:tc>
                    <w:tc>
                      <w:tcPr>
                        <w:tcW w:w="1049" w:type="dxa"/>
                      </w:tcPr>
                      <w:p>
                        <w:pPr>
                          <w:pStyle w:val="23"/>
                          <w:spacing w:before="142"/>
                          <w:ind w:left="107"/>
                          <w:rPr>
                            <w:sz w:val="21"/>
                          </w:rPr>
                        </w:pPr>
                        <w:r>
                          <w:rPr>
                            <w:sz w:val="21"/>
                          </w:rPr>
                          <w:t>方经理</w:t>
                        </w:r>
                      </w:p>
                    </w:tc>
                    <w:tc>
                      <w:tcPr>
                        <w:tcW w:w="3442" w:type="dxa"/>
                      </w:tcPr>
                      <w:p>
                        <w:pPr>
                          <w:pStyle w:val="23"/>
                          <w:spacing w:before="142"/>
                          <w:ind w:left="108"/>
                          <w:rPr>
                            <w:sz w:val="21"/>
                          </w:rPr>
                        </w:pPr>
                        <w:r>
                          <w:rPr>
                            <w:sz w:val="21"/>
                          </w:rPr>
                          <w:t>025-84795955；15996350251</w:t>
                        </w:r>
                      </w:p>
                    </w:tc>
                  </w:tr>
                </w:tbl>
                <w:p>
                  <w:pPr>
                    <w:pStyle w:val="8"/>
                  </w:pPr>
                </w:p>
              </w:txbxContent>
            </v:textbox>
          </v:shape>
        </w:pict>
      </w:r>
      <w:r>
        <w:rPr>
          <w:color w:val="auto"/>
        </w:rPr>
        <w:t>进口货物的外贸代理公司由投标人（中标人）在我校确定的三家外贸代理公司中自行选择，代理费由投标人与所选外贸公司协商确定并含在报价中。我校协助办理入关、免税等相关证明材料手续。</w:t>
      </w:r>
    </w:p>
    <w:p>
      <w:pPr>
        <w:pStyle w:val="8"/>
        <w:rPr>
          <w:color w:val="auto"/>
          <w:sz w:val="20"/>
        </w:rPr>
      </w:pPr>
    </w:p>
    <w:p>
      <w:pPr>
        <w:pStyle w:val="8"/>
        <w:rPr>
          <w:color w:val="auto"/>
          <w:sz w:val="20"/>
        </w:rPr>
      </w:pPr>
    </w:p>
    <w:p>
      <w:pPr>
        <w:pStyle w:val="8"/>
        <w:rPr>
          <w:color w:val="auto"/>
          <w:sz w:val="20"/>
        </w:rPr>
      </w:pPr>
    </w:p>
    <w:p>
      <w:pPr>
        <w:pStyle w:val="8"/>
        <w:rPr>
          <w:color w:val="auto"/>
          <w:sz w:val="20"/>
        </w:rPr>
      </w:pPr>
    </w:p>
    <w:p>
      <w:pPr>
        <w:pStyle w:val="8"/>
        <w:rPr>
          <w:color w:val="auto"/>
          <w:sz w:val="20"/>
        </w:rPr>
      </w:pPr>
    </w:p>
    <w:p>
      <w:pPr>
        <w:pStyle w:val="8"/>
        <w:rPr>
          <w:color w:val="auto"/>
          <w:sz w:val="20"/>
        </w:rPr>
      </w:pPr>
    </w:p>
    <w:p>
      <w:pPr>
        <w:pStyle w:val="8"/>
        <w:rPr>
          <w:color w:val="auto"/>
        </w:rPr>
      </w:pPr>
    </w:p>
    <w:p>
      <w:pPr>
        <w:pStyle w:val="7"/>
        <w:rPr>
          <w:color w:val="auto"/>
        </w:rPr>
      </w:pPr>
      <w:r>
        <w:rPr>
          <w:color w:val="auto"/>
          <w:spacing w:val="-1"/>
        </w:rPr>
        <w:t>六、招标文件提供信息</w:t>
      </w:r>
    </w:p>
    <w:p>
      <w:pPr>
        <w:pStyle w:val="8"/>
        <w:rPr>
          <w:b/>
          <w:color w:val="auto"/>
        </w:rPr>
      </w:pPr>
    </w:p>
    <w:p>
      <w:pPr>
        <w:pStyle w:val="8"/>
        <w:ind w:left="638"/>
        <w:rPr>
          <w:color w:val="auto"/>
        </w:rPr>
      </w:pPr>
      <w:r>
        <w:rPr>
          <w:color w:val="auto"/>
          <w:spacing w:val="-7"/>
          <w:w w:val="100"/>
        </w:rPr>
        <w:t>招标文件提供及公告期限：自招标公告在“南京信息工程大学信息公告</w:t>
      </w:r>
      <w:r>
        <w:rPr>
          <w:color w:val="auto"/>
          <w:spacing w:val="-15"/>
          <w:w w:val="100"/>
        </w:rPr>
        <w:t>”“南京信息工程大学招</w:t>
      </w:r>
    </w:p>
    <w:p>
      <w:pPr>
        <w:spacing w:after="0"/>
        <w:rPr>
          <w:color w:val="auto"/>
        </w:rPr>
        <w:sectPr>
          <w:footerReference r:id="rId7" w:type="default"/>
          <w:pgSz w:w="11910" w:h="16840"/>
          <w:pgMar w:top="1460" w:right="1180" w:bottom="1080" w:left="1200" w:header="0" w:footer="886" w:gutter="0"/>
          <w:cols w:space="720" w:num="1"/>
        </w:sectPr>
      </w:pPr>
    </w:p>
    <w:p>
      <w:pPr>
        <w:spacing w:before="80" w:line="499" w:lineRule="auto"/>
        <w:ind w:left="638" w:right="6151" w:hanging="420"/>
        <w:jc w:val="left"/>
        <w:rPr>
          <w:b/>
          <w:color w:val="auto"/>
          <w:sz w:val="21"/>
        </w:rPr>
      </w:pPr>
      <w:r>
        <w:rPr>
          <w:color w:val="auto"/>
          <w:spacing w:val="-7"/>
          <w:sz w:val="21"/>
        </w:rPr>
        <w:t xml:space="preserve">标网站”发布之日起 </w:t>
      </w:r>
      <w:r>
        <w:rPr>
          <w:rFonts w:ascii="Times New Roman" w:hAnsi="Times New Roman" w:eastAsia="Times New Roman"/>
          <w:color w:val="auto"/>
          <w:spacing w:val="-1"/>
          <w:sz w:val="21"/>
        </w:rPr>
        <w:t>5</w:t>
      </w:r>
      <w:r>
        <w:rPr>
          <w:rFonts w:ascii="Times New Roman" w:hAnsi="Times New Roman" w:eastAsia="Times New Roman"/>
          <w:color w:val="auto"/>
          <w:sz w:val="21"/>
        </w:rPr>
        <w:t xml:space="preserve"> </w:t>
      </w:r>
      <w:r>
        <w:rPr>
          <w:color w:val="auto"/>
          <w:spacing w:val="-1"/>
          <w:sz w:val="21"/>
        </w:rPr>
        <w:t>个工作日。</w:t>
      </w:r>
      <w:r>
        <w:rPr>
          <w:b/>
          <w:color w:val="auto"/>
          <w:sz w:val="21"/>
        </w:rPr>
        <w:t>七、投标文件接收信息</w:t>
      </w:r>
    </w:p>
    <w:p>
      <w:pPr>
        <w:pStyle w:val="22"/>
        <w:numPr>
          <w:ilvl w:val="0"/>
          <w:numId w:val="3"/>
        </w:numPr>
        <w:tabs>
          <w:tab w:val="left" w:pos="852"/>
          <w:tab w:val="left" w:pos="4781"/>
        </w:tabs>
        <w:spacing w:before="2" w:after="0" w:line="240" w:lineRule="auto"/>
        <w:ind w:left="851" w:right="0" w:hanging="214"/>
        <w:jc w:val="left"/>
        <w:rPr>
          <w:color w:val="auto"/>
          <w:sz w:val="21"/>
        </w:rPr>
      </w:pPr>
      <w:r>
        <w:rPr>
          <w:color w:val="auto"/>
          <w:sz w:val="21"/>
        </w:rPr>
        <w:t>投标截止时间：</w:t>
      </w:r>
      <w:r>
        <w:rPr>
          <w:rFonts w:hint="eastAsia"/>
          <w:color w:val="auto"/>
          <w:sz w:val="21"/>
          <w:lang w:val="en-US" w:eastAsia="zh-CN"/>
        </w:rPr>
        <w:t>2021年12月30日14：30（北京时间）；</w:t>
      </w:r>
    </w:p>
    <w:p>
      <w:pPr>
        <w:pStyle w:val="22"/>
        <w:numPr>
          <w:ilvl w:val="0"/>
          <w:numId w:val="3"/>
        </w:numPr>
        <w:tabs>
          <w:tab w:val="left" w:pos="799"/>
        </w:tabs>
        <w:spacing w:before="134" w:after="0" w:line="374" w:lineRule="auto"/>
        <w:ind w:left="218" w:right="167" w:firstLine="420"/>
        <w:jc w:val="both"/>
        <w:rPr>
          <w:rFonts w:ascii="Times New Roman" w:eastAsia="Times New Roman"/>
          <w:b/>
          <w:color w:val="auto"/>
          <w:sz w:val="19"/>
        </w:rPr>
      </w:pPr>
      <w:r>
        <w:rPr>
          <w:b/>
          <w:color w:val="auto"/>
          <w:sz w:val="21"/>
        </w:rPr>
        <w:t>接受方式：只接受以邮寄方式送达，并请务必用顺丰快递，</w:t>
      </w:r>
      <w:r>
        <w:rPr>
          <w:color w:val="auto"/>
          <w:sz w:val="21"/>
        </w:rPr>
        <w:t>邮寄材料务必于投标截止时间前</w:t>
      </w:r>
      <w:r>
        <w:rPr>
          <w:color w:val="auto"/>
          <w:spacing w:val="-4"/>
          <w:sz w:val="21"/>
        </w:rPr>
        <w:t>送达我校，请各投标单位自行安排邮寄时间，投标截止时间后，招标人不受理任何投标文件。</w:t>
      </w:r>
      <w:r>
        <w:rPr>
          <w:color w:val="auto"/>
          <w:sz w:val="21"/>
        </w:rPr>
        <w:t>（</w:t>
      </w:r>
      <w:r>
        <w:rPr>
          <w:b/>
          <w:i/>
          <w:color w:val="auto"/>
          <w:sz w:val="22"/>
          <w:u w:val="single"/>
        </w:rPr>
        <w:t>注：</w:t>
      </w:r>
      <w:r>
        <w:rPr>
          <w:b/>
          <w:i/>
          <w:color w:val="auto"/>
          <w:spacing w:val="-109"/>
          <w:sz w:val="22"/>
          <w:u w:val="single"/>
        </w:rPr>
        <w:t xml:space="preserve"> </w:t>
      </w:r>
      <w:r>
        <w:rPr>
          <w:b/>
          <w:i/>
          <w:color w:val="auto"/>
          <w:w w:val="95"/>
          <w:sz w:val="22"/>
          <w:u w:val="single"/>
        </w:rPr>
        <w:t xml:space="preserve">                                                                                                                                                                        由于疫情管理，我单位不接收顺丰同城急送，请各投标单位合理安排时间并自行负责</w:t>
      </w:r>
      <w:r>
        <w:rPr>
          <w:b/>
          <w:i/>
          <w:color w:val="auto"/>
          <w:spacing w:val="-102"/>
          <w:w w:val="95"/>
          <w:sz w:val="22"/>
          <w:u w:val="single"/>
        </w:rPr>
        <w:t>）</w:t>
      </w:r>
      <w:r>
        <w:rPr>
          <w:color w:val="auto"/>
          <w:spacing w:val="-106"/>
          <w:w w:val="95"/>
          <w:sz w:val="21"/>
        </w:rPr>
        <w:t>。</w:t>
      </w:r>
      <w:r>
        <w:rPr>
          <w:b/>
          <w:color w:val="auto"/>
          <w:w w:val="95"/>
          <w:sz w:val="21"/>
        </w:rPr>
        <w:t>（若后期有</w:t>
      </w:r>
    </w:p>
    <w:p>
      <w:pPr>
        <w:pStyle w:val="7"/>
        <w:spacing w:before="7"/>
        <w:ind w:left="218"/>
        <w:rPr>
          <w:color w:val="auto"/>
        </w:rPr>
      </w:pPr>
      <w:r>
        <w:rPr>
          <w:color w:val="auto"/>
          <w:spacing w:val="-1"/>
        </w:rPr>
        <w:t>调整，会将调整信息发送到各投标单位报名邮箱，请各投标单位在投标前密切关注报名邮箱</w:t>
      </w:r>
      <w:r>
        <w:rPr>
          <w:color w:val="auto"/>
        </w:rPr>
        <w:t>）</w:t>
      </w:r>
    </w:p>
    <w:p>
      <w:pPr>
        <w:pStyle w:val="22"/>
        <w:numPr>
          <w:ilvl w:val="0"/>
          <w:numId w:val="3"/>
        </w:numPr>
        <w:tabs>
          <w:tab w:val="left" w:pos="852"/>
        </w:tabs>
        <w:spacing w:before="86" w:after="0" w:line="367" w:lineRule="auto"/>
        <w:ind w:left="218" w:right="229" w:firstLine="420"/>
        <w:jc w:val="left"/>
        <w:rPr>
          <w:color w:val="auto"/>
          <w:sz w:val="19"/>
        </w:rPr>
      </w:pPr>
      <w:r>
        <w:rPr>
          <w:color w:val="auto"/>
          <w:spacing w:val="-13"/>
          <w:sz w:val="21"/>
        </w:rPr>
        <w:t xml:space="preserve">邮寄送达地点：南京市浦口区宁六路 </w:t>
      </w:r>
      <w:r>
        <w:rPr>
          <w:color w:val="auto"/>
          <w:sz w:val="21"/>
        </w:rPr>
        <w:t>219</w:t>
      </w:r>
      <w:r>
        <w:rPr>
          <w:color w:val="auto"/>
          <w:spacing w:val="-11"/>
          <w:sz w:val="21"/>
        </w:rPr>
        <w:t xml:space="preserve"> 号南京信息工程大学东苑大学生创业中心 </w:t>
      </w:r>
      <w:r>
        <w:rPr>
          <w:color w:val="auto"/>
          <w:sz w:val="21"/>
        </w:rPr>
        <w:t>3</w:t>
      </w:r>
      <w:r>
        <w:rPr>
          <w:color w:val="auto"/>
          <w:spacing w:val="-47"/>
          <w:sz w:val="21"/>
        </w:rPr>
        <w:t xml:space="preserve"> 号楼</w:t>
      </w:r>
      <w:r>
        <w:rPr>
          <w:color w:val="auto"/>
          <w:sz w:val="21"/>
        </w:rPr>
        <w:t>（体</w:t>
      </w:r>
      <w:r>
        <w:rPr>
          <w:color w:val="auto"/>
          <w:spacing w:val="-1"/>
          <w:sz w:val="21"/>
        </w:rPr>
        <w:t>育馆北面三层小楼</w:t>
      </w:r>
      <w:r>
        <w:rPr>
          <w:color w:val="auto"/>
          <w:sz w:val="21"/>
        </w:rPr>
        <w:t>）210</w:t>
      </w:r>
      <w:r>
        <w:rPr>
          <w:color w:val="auto"/>
          <w:spacing w:val="-8"/>
          <w:sz w:val="21"/>
        </w:rPr>
        <w:t xml:space="preserve"> 室招标办。联系人：马老师、罗老师</w:t>
      </w:r>
      <w:r>
        <w:rPr>
          <w:rFonts w:hint="eastAsia"/>
          <w:color w:val="auto"/>
          <w:spacing w:val="-8"/>
          <w:sz w:val="21"/>
          <w:lang w:eastAsia="zh-CN"/>
        </w:rPr>
        <w:t>、</w:t>
      </w:r>
      <w:r>
        <w:rPr>
          <w:rFonts w:hint="eastAsia"/>
          <w:color w:val="auto"/>
          <w:spacing w:val="-8"/>
          <w:sz w:val="21"/>
          <w:lang w:val="en-US" w:eastAsia="zh-CN"/>
        </w:rPr>
        <w:t>刘老师</w:t>
      </w:r>
      <w:r>
        <w:rPr>
          <w:color w:val="auto"/>
          <w:spacing w:val="-8"/>
          <w:sz w:val="21"/>
        </w:rPr>
        <w:t>；联系电话：</w:t>
      </w:r>
      <w:r>
        <w:rPr>
          <w:color w:val="auto"/>
          <w:sz w:val="21"/>
        </w:rPr>
        <w:t>025-58731441。</w:t>
      </w:r>
    </w:p>
    <w:p>
      <w:pPr>
        <w:pStyle w:val="8"/>
        <w:rPr>
          <w:color w:val="auto"/>
          <w:sz w:val="18"/>
        </w:rPr>
      </w:pPr>
    </w:p>
    <w:p>
      <w:pPr>
        <w:pStyle w:val="7"/>
        <w:rPr>
          <w:color w:val="auto"/>
        </w:rPr>
      </w:pPr>
      <w:r>
        <w:rPr>
          <w:color w:val="auto"/>
          <w:spacing w:val="-1"/>
        </w:rPr>
        <w:t>八、开标有关信息</w:t>
      </w:r>
    </w:p>
    <w:p>
      <w:pPr>
        <w:pStyle w:val="8"/>
        <w:spacing w:before="10"/>
        <w:rPr>
          <w:b/>
          <w:color w:val="auto"/>
          <w:sz w:val="22"/>
        </w:rPr>
      </w:pPr>
    </w:p>
    <w:p>
      <w:pPr>
        <w:pStyle w:val="8"/>
        <w:tabs>
          <w:tab w:val="left" w:pos="4781"/>
        </w:tabs>
        <w:spacing w:before="1"/>
        <w:ind w:left="638"/>
        <w:rPr>
          <w:rFonts w:ascii="Times New Roman" w:eastAsia="Times New Roman"/>
          <w:color w:val="auto"/>
        </w:rPr>
      </w:pPr>
      <w:r>
        <w:rPr>
          <w:color w:val="auto"/>
        </w:rPr>
        <w:t>开标时</w:t>
      </w:r>
      <w:r>
        <w:rPr>
          <w:rFonts w:ascii="宋体" w:hAnsi="宋体" w:eastAsia="宋体" w:cs="宋体"/>
          <w:color w:val="auto"/>
          <w:sz w:val="21"/>
          <w:szCs w:val="22"/>
          <w:lang w:val="en-US" w:eastAsia="zh-CN" w:bidi="ar-SA"/>
        </w:rPr>
        <w:t>间：</w:t>
      </w:r>
      <w:r>
        <w:rPr>
          <w:rFonts w:hint="eastAsia" w:ascii="宋体" w:hAnsi="宋体" w:eastAsia="宋体" w:cs="宋体"/>
          <w:color w:val="auto"/>
          <w:sz w:val="21"/>
          <w:szCs w:val="22"/>
          <w:lang w:val="en-US" w:eastAsia="zh-CN" w:bidi="ar-SA"/>
        </w:rPr>
        <w:t>2021年12月30日14：30（北京时间）</w:t>
      </w:r>
      <w:r>
        <w:rPr>
          <w:rFonts w:hint="eastAsia" w:ascii="仿宋" w:hAnsi="仿宋" w:eastAsia="仿宋" w:cs="仿宋"/>
          <w:i w:val="0"/>
          <w:iCs w:val="0"/>
          <w:caps w:val="0"/>
          <w:color w:val="auto"/>
          <w:spacing w:val="0"/>
          <w:kern w:val="0"/>
          <w:sz w:val="28"/>
          <w:szCs w:val="28"/>
          <w:lang w:val="en-US" w:eastAsia="zh-CN" w:bidi="ar"/>
        </w:rPr>
        <w:t>；</w:t>
      </w:r>
    </w:p>
    <w:p>
      <w:pPr>
        <w:pStyle w:val="8"/>
        <w:spacing w:before="55"/>
        <w:ind w:left="638"/>
        <w:rPr>
          <w:color w:val="auto"/>
        </w:rPr>
      </w:pPr>
      <w:r>
        <w:rPr>
          <w:color w:val="auto"/>
          <w:spacing w:val="-1"/>
        </w:rPr>
        <w:t>开标地点：</w:t>
      </w:r>
      <w:r>
        <w:rPr>
          <w:color w:val="auto"/>
          <w:spacing w:val="-4"/>
        </w:rPr>
        <w:t xml:space="preserve">南京信息工程大学东苑大学生创业中心 </w:t>
      </w:r>
      <w:r>
        <w:rPr>
          <w:color w:val="auto"/>
        </w:rPr>
        <w:t>3</w:t>
      </w:r>
      <w:r>
        <w:rPr>
          <w:color w:val="auto"/>
          <w:spacing w:val="-18"/>
        </w:rPr>
        <w:t xml:space="preserve"> 号楼</w:t>
      </w:r>
      <w:r>
        <w:rPr>
          <w:color w:val="auto"/>
        </w:rPr>
        <w:t>（体育馆北面三层小楼）210</w:t>
      </w:r>
      <w:r>
        <w:rPr>
          <w:color w:val="auto"/>
          <w:spacing w:val="-19"/>
        </w:rPr>
        <w:t xml:space="preserve"> 室。</w:t>
      </w:r>
    </w:p>
    <w:p>
      <w:pPr>
        <w:pStyle w:val="8"/>
        <w:spacing w:before="2"/>
        <w:rPr>
          <w:color w:val="auto"/>
          <w:sz w:val="17"/>
        </w:rPr>
      </w:pPr>
    </w:p>
    <w:p>
      <w:pPr>
        <w:pStyle w:val="8"/>
        <w:spacing w:line="386" w:lineRule="auto"/>
        <w:ind w:left="218" w:right="123" w:firstLine="420"/>
        <w:rPr>
          <w:color w:val="auto"/>
        </w:rPr>
      </w:pPr>
      <w:r>
        <w:rPr>
          <w:color w:val="auto"/>
          <w:spacing w:val="-2"/>
        </w:rPr>
        <w:t>本项目不安排公开开标、唱标，由招标办工作人员在我校纪检监察部门监督见证下进行，开标、</w:t>
      </w:r>
      <w:r>
        <w:rPr>
          <w:color w:val="auto"/>
        </w:rPr>
        <w:t>唱标工作全程视频监控并录像。</w:t>
      </w:r>
    </w:p>
    <w:p>
      <w:pPr>
        <w:pStyle w:val="7"/>
        <w:spacing w:before="31"/>
        <w:rPr>
          <w:color w:val="auto"/>
        </w:rPr>
      </w:pPr>
      <w:r>
        <w:rPr>
          <w:color w:val="auto"/>
        </w:rPr>
        <w:t>九、缴纳费用</w:t>
      </w:r>
    </w:p>
    <w:p>
      <w:pPr>
        <w:pStyle w:val="8"/>
        <w:spacing w:before="130"/>
        <w:ind w:left="638"/>
        <w:rPr>
          <w:color w:val="auto"/>
        </w:rPr>
      </w:pPr>
      <w:r>
        <w:rPr>
          <w:color w:val="auto"/>
        </w:rPr>
        <w:t>资料费：</w:t>
      </w:r>
      <w:r>
        <w:rPr>
          <w:color w:val="auto"/>
          <w:u w:val="single"/>
        </w:rPr>
        <w:t>叁佰元（300.00）</w:t>
      </w:r>
      <w:r>
        <w:rPr>
          <w:color w:val="auto"/>
        </w:rPr>
        <w:t>整。</w:t>
      </w:r>
    </w:p>
    <w:p>
      <w:pPr>
        <w:pStyle w:val="8"/>
        <w:spacing w:before="132" w:line="357" w:lineRule="auto"/>
        <w:ind w:left="218" w:right="230" w:firstLine="420"/>
        <w:jc w:val="both"/>
        <w:rPr>
          <w:color w:val="auto"/>
        </w:rPr>
      </w:pPr>
      <w:r>
        <w:rPr>
          <w:color w:val="auto"/>
        </w:rPr>
        <w:t>各投标人务必通过单位银行基本账户提前将资料费汇至我校以下账号：户名：南京信息工程大</w:t>
      </w:r>
      <w:r>
        <w:rPr>
          <w:color w:val="auto"/>
          <w:spacing w:val="-2"/>
        </w:rPr>
        <w:t>学；账号：10115401040000228；开户银行：中国农业银行南京盘城支行。请各投标人务必在转账留</w:t>
      </w:r>
      <w:r>
        <w:rPr>
          <w:color w:val="auto"/>
        </w:rPr>
        <w:t>言栏备注</w:t>
      </w:r>
      <w:r>
        <w:rPr>
          <w:b/>
          <w:color w:val="auto"/>
        </w:rPr>
        <w:t>填写本招标项目编号</w:t>
      </w:r>
      <w:r>
        <w:rPr>
          <w:color w:val="auto"/>
        </w:rPr>
        <w:t>，并尽量将投标单位的纳税识别号一并备注在转账留言栏中，以便开票和对账。请各单位在报名时将转账回单复印件务必放入《投标文件》中（无此证明，一律作为无效标处理</w:t>
      </w:r>
      <w:r>
        <w:rPr>
          <w:color w:val="auto"/>
          <w:spacing w:val="-108"/>
        </w:rPr>
        <w:t>）</w:t>
      </w:r>
      <w:r>
        <w:rPr>
          <w:color w:val="auto"/>
        </w:rPr>
        <w:t>。</w:t>
      </w:r>
    </w:p>
    <w:p>
      <w:pPr>
        <w:pStyle w:val="7"/>
        <w:spacing w:line="237" w:lineRule="exact"/>
        <w:ind w:left="631"/>
        <w:rPr>
          <w:color w:val="auto"/>
        </w:rPr>
      </w:pPr>
      <w:r>
        <w:rPr>
          <w:color w:val="auto"/>
          <w:spacing w:val="-3"/>
        </w:rPr>
        <w:t>我校提供电子普通发票，招标办定期到校财务结算中心对账</w:t>
      </w:r>
      <w:r>
        <w:rPr>
          <w:color w:val="auto"/>
          <w:spacing w:val="-2"/>
        </w:rPr>
        <w:t>（时间约半个月</w:t>
      </w:r>
      <w:r>
        <w:rPr>
          <w:color w:val="auto"/>
          <w:spacing w:val="-108"/>
        </w:rPr>
        <w:t>）</w:t>
      </w:r>
      <w:r>
        <w:rPr>
          <w:color w:val="auto"/>
          <w:spacing w:val="-2"/>
        </w:rPr>
        <w:t>。请投标单位在邮</w:t>
      </w:r>
    </w:p>
    <w:p>
      <w:pPr>
        <w:pStyle w:val="7"/>
        <w:spacing w:before="165"/>
        <w:ind w:left="218"/>
        <w:rPr>
          <w:color w:val="auto"/>
        </w:rPr>
      </w:pPr>
      <w:r>
        <w:rPr>
          <w:color w:val="auto"/>
          <w:spacing w:val="-1"/>
        </w:rPr>
        <w:t>件报名时提供单位纳税人识别号，并确保联系人手机号及邮箱状态正常，以便接收电子发票信息。</w:t>
      </w:r>
    </w:p>
    <w:p>
      <w:pPr>
        <w:pStyle w:val="8"/>
        <w:spacing w:before="1"/>
        <w:rPr>
          <w:b/>
          <w:color w:val="auto"/>
          <w:sz w:val="25"/>
        </w:rPr>
      </w:pPr>
    </w:p>
    <w:p>
      <w:pPr>
        <w:pStyle w:val="7"/>
        <w:rPr>
          <w:color w:val="auto"/>
        </w:rPr>
      </w:pPr>
      <w:r>
        <w:rPr>
          <w:color w:val="auto"/>
          <w:spacing w:val="-1"/>
        </w:rPr>
        <w:t>十、本次招标联系事项</w:t>
      </w:r>
    </w:p>
    <w:p>
      <w:pPr>
        <w:pStyle w:val="8"/>
        <w:spacing w:before="58" w:line="364" w:lineRule="auto"/>
        <w:ind w:left="218" w:right="229" w:firstLine="420"/>
        <w:rPr>
          <w:color w:val="auto"/>
        </w:rPr>
      </w:pPr>
      <w:r>
        <w:rPr>
          <w:color w:val="auto"/>
          <w:spacing w:val="-3"/>
        </w:rPr>
        <w:t xml:space="preserve">南京信息工程大学招标办地址：南京信息工程大学东苑大学生创业中心 </w:t>
      </w:r>
      <w:r>
        <w:rPr>
          <w:color w:val="auto"/>
        </w:rPr>
        <w:t>3</w:t>
      </w:r>
      <w:r>
        <w:rPr>
          <w:color w:val="auto"/>
          <w:spacing w:val="-12"/>
        </w:rPr>
        <w:t xml:space="preserve"> 号楼</w:t>
      </w:r>
      <w:r>
        <w:rPr>
          <w:color w:val="auto"/>
        </w:rPr>
        <w:t>（体育馆北面三层小楼）211</w:t>
      </w:r>
      <w:r>
        <w:rPr>
          <w:color w:val="auto"/>
          <w:spacing w:val="-18"/>
        </w:rPr>
        <w:t xml:space="preserve"> 室。</w:t>
      </w:r>
    </w:p>
    <w:p>
      <w:pPr>
        <w:pStyle w:val="8"/>
        <w:spacing w:before="5"/>
        <w:rPr>
          <w:color w:val="auto"/>
          <w:sz w:val="18"/>
        </w:rPr>
      </w:pPr>
    </w:p>
    <w:p>
      <w:pPr>
        <w:pStyle w:val="8"/>
        <w:ind w:left="638"/>
        <w:rPr>
          <w:color w:val="auto"/>
        </w:rPr>
      </w:pPr>
      <w:r>
        <w:rPr>
          <w:color w:val="auto"/>
        </w:rPr>
        <w:t>邮编：210044</w:t>
      </w:r>
    </w:p>
    <w:p>
      <w:pPr>
        <w:pStyle w:val="8"/>
        <w:spacing w:before="8"/>
        <w:rPr>
          <w:color w:val="auto"/>
          <w:sz w:val="22"/>
        </w:rPr>
      </w:pPr>
    </w:p>
    <w:p>
      <w:pPr>
        <w:pStyle w:val="8"/>
        <w:tabs>
          <w:tab w:val="left" w:pos="4736"/>
        </w:tabs>
        <w:spacing w:before="1" w:line="499" w:lineRule="auto"/>
        <w:ind w:left="638" w:right="2476"/>
        <w:rPr>
          <w:color w:val="auto"/>
        </w:rPr>
      </w:pPr>
      <w:r>
        <w:rPr>
          <w:color w:val="auto"/>
        </w:rPr>
        <w:t>招标办联系人：马老师、罗老师</w:t>
      </w:r>
      <w:r>
        <w:rPr>
          <w:rFonts w:hint="eastAsia"/>
          <w:color w:val="auto"/>
          <w:lang w:eastAsia="zh-CN"/>
        </w:rPr>
        <w:t>、</w:t>
      </w:r>
      <w:r>
        <w:rPr>
          <w:rFonts w:hint="eastAsia"/>
          <w:color w:val="auto"/>
          <w:lang w:val="en-US" w:eastAsia="zh-CN"/>
        </w:rPr>
        <w:t>刘老师</w:t>
      </w:r>
      <w:r>
        <w:rPr>
          <w:color w:val="auto"/>
        </w:rPr>
        <w:tab/>
      </w:r>
      <w:r>
        <w:rPr>
          <w:color w:val="auto"/>
        </w:rPr>
        <w:t>联系电话：025-58731441</w:t>
      </w:r>
      <w:r>
        <w:rPr>
          <w:color w:val="auto"/>
          <w:spacing w:val="-102"/>
        </w:rPr>
        <w:t xml:space="preserve"> </w:t>
      </w:r>
      <w:r>
        <w:rPr>
          <w:color w:val="auto"/>
        </w:rPr>
        <w:t>采购人：南京信息工程大学化学与材料学院</w:t>
      </w:r>
    </w:p>
    <w:p>
      <w:pPr>
        <w:pStyle w:val="8"/>
        <w:tabs>
          <w:tab w:val="left" w:pos="3896"/>
        </w:tabs>
        <w:spacing w:before="1"/>
        <w:ind w:left="638"/>
        <w:rPr>
          <w:color w:val="auto"/>
        </w:rPr>
      </w:pPr>
      <w:r>
        <w:rPr>
          <w:color w:val="auto"/>
        </w:rPr>
        <w:t>采购人联系人：朱老师</w:t>
      </w:r>
      <w:r>
        <w:rPr>
          <w:color w:val="auto"/>
        </w:rPr>
        <w:tab/>
      </w:r>
      <w:r>
        <w:rPr>
          <w:color w:val="auto"/>
          <w:spacing w:val="-1"/>
        </w:rPr>
        <w:t>采购</w:t>
      </w:r>
      <w:r>
        <w:rPr>
          <w:color w:val="auto"/>
        </w:rPr>
        <w:t>人联系电话：15996470016</w:t>
      </w:r>
    </w:p>
    <w:p>
      <w:pPr>
        <w:spacing w:after="0"/>
        <w:rPr>
          <w:color w:val="auto"/>
        </w:rPr>
        <w:sectPr>
          <w:footerReference r:id="rId8" w:type="default"/>
          <w:pgSz w:w="11910" w:h="16840"/>
          <w:pgMar w:top="1580" w:right="1180" w:bottom="1080" w:left="1200" w:header="0" w:footer="886" w:gutter="0"/>
          <w:cols w:space="720" w:num="1"/>
        </w:sectPr>
      </w:pPr>
    </w:p>
    <w:p>
      <w:pPr>
        <w:spacing w:before="80" w:line="499" w:lineRule="auto"/>
        <w:ind w:left="638" w:right="6151" w:firstLine="0"/>
        <w:jc w:val="left"/>
        <w:rPr>
          <w:color w:val="auto"/>
          <w:sz w:val="21"/>
        </w:rPr>
      </w:pPr>
      <w:r>
        <w:rPr>
          <w:b/>
          <w:color w:val="auto"/>
          <w:sz w:val="21"/>
        </w:rPr>
        <w:t>十一、本次招标投标保证金</w:t>
      </w:r>
      <w:r>
        <w:rPr>
          <w:b/>
          <w:color w:val="auto"/>
          <w:spacing w:val="1"/>
          <w:sz w:val="21"/>
        </w:rPr>
        <w:t xml:space="preserve"> </w:t>
      </w:r>
      <w:r>
        <w:rPr>
          <w:color w:val="auto"/>
          <w:sz w:val="21"/>
        </w:rPr>
        <w:t>本次招标</w:t>
      </w:r>
      <w:r>
        <w:rPr>
          <w:color w:val="auto"/>
          <w:sz w:val="21"/>
          <w:u w:val="single"/>
        </w:rPr>
        <w:t>不收取</w:t>
      </w:r>
      <w:r>
        <w:rPr>
          <w:color w:val="auto"/>
          <w:sz w:val="21"/>
        </w:rPr>
        <w:t>投标保证金。</w:t>
      </w:r>
    </w:p>
    <w:p>
      <w:pPr>
        <w:spacing w:before="2"/>
        <w:ind w:left="638" w:right="0" w:firstLine="0"/>
        <w:jc w:val="left"/>
        <w:rPr>
          <w:b/>
          <w:color w:val="auto"/>
          <w:sz w:val="21"/>
        </w:rPr>
      </w:pPr>
      <w:r>
        <w:rPr>
          <w:color w:val="auto"/>
          <w:spacing w:val="-1"/>
          <w:sz w:val="21"/>
        </w:rPr>
        <w:t>十二、</w:t>
      </w:r>
      <w:r>
        <w:rPr>
          <w:b/>
          <w:color w:val="auto"/>
          <w:sz w:val="21"/>
        </w:rPr>
        <w:t>履约保证金</w:t>
      </w:r>
    </w:p>
    <w:p>
      <w:pPr>
        <w:pStyle w:val="8"/>
        <w:spacing w:before="8"/>
        <w:rPr>
          <w:b/>
          <w:color w:val="auto"/>
          <w:sz w:val="22"/>
        </w:rPr>
      </w:pPr>
    </w:p>
    <w:p>
      <w:pPr>
        <w:pStyle w:val="8"/>
        <w:spacing w:line="499" w:lineRule="auto"/>
        <w:ind w:left="218" w:right="232" w:firstLine="420"/>
        <w:jc w:val="both"/>
        <w:rPr>
          <w:color w:val="auto"/>
        </w:rPr>
      </w:pPr>
      <w:r>
        <w:rPr>
          <w:color w:val="auto"/>
          <w:spacing w:val="1"/>
        </w:rPr>
        <w:t xml:space="preserve">中标后，中标人需交纳合同金额 </w:t>
      </w:r>
      <w:r>
        <w:rPr>
          <w:color w:val="auto"/>
        </w:rPr>
        <w:t>10%的履约保证金，合同履行结束后且经用户单位确认质量、</w:t>
      </w:r>
      <w:r>
        <w:rPr>
          <w:color w:val="auto"/>
          <w:spacing w:val="-4"/>
        </w:rPr>
        <w:t xml:space="preserve">服务无问题的情况下无息退还履约保证金 </w:t>
      </w:r>
      <w:r>
        <w:rPr>
          <w:color w:val="auto"/>
        </w:rPr>
        <w:t>50</w:t>
      </w:r>
      <w:r>
        <w:rPr>
          <w:color w:val="auto"/>
          <w:spacing w:val="-11"/>
        </w:rPr>
        <w:t xml:space="preserve">%,剩余 </w:t>
      </w:r>
      <w:r>
        <w:rPr>
          <w:color w:val="auto"/>
        </w:rPr>
        <w:t>50%自动转为质量保证金。履约保证金汇至我校以下账号：户名：南京信息工程大</w:t>
      </w:r>
      <w:r>
        <w:rPr>
          <w:color w:val="auto"/>
          <w:spacing w:val="-2"/>
        </w:rPr>
        <w:t>学；账号：10115401040000228；开户银行：中国农业银行南京盘城支行</w:t>
      </w:r>
    </w:p>
    <w:p>
      <w:pPr>
        <w:pStyle w:val="7"/>
        <w:spacing w:before="2"/>
        <w:rPr>
          <w:color w:val="auto"/>
        </w:rPr>
      </w:pPr>
      <w:r>
        <w:rPr>
          <w:color w:val="auto"/>
          <w:spacing w:val="-1"/>
        </w:rPr>
        <w:t>十三、付款方式</w:t>
      </w:r>
    </w:p>
    <w:p>
      <w:pPr>
        <w:pStyle w:val="8"/>
        <w:spacing w:before="4"/>
        <w:rPr>
          <w:b/>
          <w:color w:val="auto"/>
          <w:sz w:val="20"/>
        </w:rPr>
      </w:pPr>
    </w:p>
    <w:p>
      <w:pPr>
        <w:pStyle w:val="6"/>
        <w:spacing w:line="436" w:lineRule="auto"/>
        <w:ind w:right="234" w:firstLine="480"/>
        <w:jc w:val="both"/>
        <w:rPr>
          <w:color w:val="auto"/>
        </w:rPr>
      </w:pPr>
      <w:r>
        <w:rPr>
          <w:color w:val="auto"/>
          <w:spacing w:val="-2"/>
        </w:rPr>
        <w:t>针对国内供应货物，签订合同后，20</w:t>
      </w:r>
      <w:r>
        <w:rPr>
          <w:color w:val="auto"/>
          <w:spacing w:val="-15"/>
        </w:rPr>
        <w:t xml:space="preserve"> 日内预付合同金额的 </w:t>
      </w:r>
      <w:r>
        <w:rPr>
          <w:color w:val="auto"/>
          <w:spacing w:val="-2"/>
        </w:rPr>
        <w:t>30%，全部货物交货并最</w:t>
      </w:r>
      <w:r>
        <w:rPr>
          <w:color w:val="auto"/>
          <w:spacing w:val="-4"/>
        </w:rPr>
        <w:t xml:space="preserve">终验收合格后，凭验收凭证和货物验收合格等文件 </w:t>
      </w:r>
      <w:r>
        <w:rPr>
          <w:color w:val="auto"/>
        </w:rPr>
        <w:t>20</w:t>
      </w:r>
      <w:r>
        <w:rPr>
          <w:color w:val="auto"/>
          <w:spacing w:val="-13"/>
        </w:rPr>
        <w:t xml:space="preserve"> 日内支付至合同金额的 </w:t>
      </w:r>
      <w:r>
        <w:rPr>
          <w:color w:val="auto"/>
        </w:rPr>
        <w:t>100%，质</w:t>
      </w:r>
      <w:r>
        <w:rPr>
          <w:color w:val="auto"/>
          <w:spacing w:val="-2"/>
        </w:rPr>
        <w:t>量保证金质保期满后，经有关单位确认无质量问题后，一次性无息付清。具体内容以最</w:t>
      </w:r>
      <w:r>
        <w:rPr>
          <w:color w:val="auto"/>
        </w:rPr>
        <w:t>终签署的合同约定为准。</w:t>
      </w:r>
    </w:p>
    <w:p>
      <w:pPr>
        <w:pStyle w:val="6"/>
        <w:spacing w:before="1"/>
        <w:ind w:left="698"/>
        <w:jc w:val="both"/>
        <w:rPr>
          <w:color w:val="auto"/>
        </w:rPr>
      </w:pPr>
      <w:r>
        <w:rPr>
          <w:color w:val="auto"/>
        </w:rPr>
        <w:t>针对国外供应货物（进口货物</w:t>
      </w:r>
      <w:r>
        <w:rPr>
          <w:color w:val="auto"/>
          <w:spacing w:val="-120"/>
        </w:rPr>
        <w:t>）</w:t>
      </w:r>
      <w:r>
        <w:rPr>
          <w:color w:val="auto"/>
          <w:spacing w:val="-3"/>
        </w:rPr>
        <w:t xml:space="preserve">，由外贸公司开具全额发票，外贸合同中采用 </w:t>
      </w:r>
      <w:r>
        <w:rPr>
          <w:color w:val="auto"/>
        </w:rPr>
        <w:t>100%</w:t>
      </w:r>
    </w:p>
    <w:p>
      <w:pPr>
        <w:pStyle w:val="8"/>
        <w:spacing w:before="10"/>
        <w:rPr>
          <w:color w:val="auto"/>
          <w:sz w:val="19"/>
        </w:rPr>
      </w:pPr>
    </w:p>
    <w:p>
      <w:pPr>
        <w:pStyle w:val="6"/>
        <w:spacing w:before="1"/>
        <w:rPr>
          <w:color w:val="auto"/>
        </w:rPr>
      </w:pPr>
      <w:r>
        <w:rPr>
          <w:color w:val="auto"/>
          <w:spacing w:val="-1"/>
        </w:rPr>
        <w:t>信用证，</w:t>
      </w:r>
      <w:r>
        <w:rPr>
          <w:color w:val="auto"/>
        </w:rPr>
        <w:t>90%见单即付，10%凭最终用户方签字和盖章的验收报告支付。</w:t>
      </w:r>
    </w:p>
    <w:p>
      <w:pPr>
        <w:spacing w:after="0"/>
        <w:rPr>
          <w:color w:val="auto"/>
        </w:rPr>
        <w:sectPr>
          <w:footerReference r:id="rId9" w:type="default"/>
          <w:pgSz w:w="11910" w:h="16840"/>
          <w:pgMar w:top="1580" w:right="1180" w:bottom="1080" w:left="1200" w:header="0" w:footer="886" w:gutter="0"/>
          <w:cols w:space="720" w:num="1"/>
        </w:sectPr>
      </w:pPr>
    </w:p>
    <w:p>
      <w:pPr>
        <w:pStyle w:val="8"/>
        <w:rPr>
          <w:color w:val="auto"/>
          <w:sz w:val="20"/>
        </w:rPr>
      </w:pPr>
    </w:p>
    <w:p>
      <w:pPr>
        <w:pStyle w:val="8"/>
        <w:spacing w:before="2"/>
        <w:rPr>
          <w:color w:val="auto"/>
          <w:sz w:val="15"/>
        </w:rPr>
      </w:pPr>
    </w:p>
    <w:p>
      <w:pPr>
        <w:pStyle w:val="3"/>
        <w:spacing w:before="62"/>
        <w:ind w:right="221"/>
        <w:rPr>
          <w:color w:val="auto"/>
        </w:rPr>
      </w:pPr>
      <w:bookmarkStart w:id="1" w:name="_TOC_250003"/>
      <w:bookmarkEnd w:id="1"/>
      <w:r>
        <w:rPr>
          <w:color w:val="auto"/>
          <w:spacing w:val="12"/>
        </w:rPr>
        <w:t>第二章 投标人须知</w:t>
      </w:r>
    </w:p>
    <w:p>
      <w:pPr>
        <w:spacing w:before="222"/>
        <w:ind w:left="203" w:right="216" w:firstLine="0"/>
        <w:jc w:val="center"/>
        <w:rPr>
          <w:rFonts w:hint="eastAsia" w:ascii="楷体" w:eastAsia="楷体"/>
          <w:b/>
          <w:color w:val="auto"/>
          <w:sz w:val="28"/>
        </w:rPr>
      </w:pPr>
      <w:r>
        <w:rPr>
          <w:rFonts w:hint="eastAsia" w:ascii="楷体" w:eastAsia="楷体"/>
          <w:b/>
          <w:color w:val="auto"/>
          <w:spacing w:val="-1"/>
          <w:sz w:val="28"/>
        </w:rPr>
        <w:t>一、总 则</w:t>
      </w:r>
    </w:p>
    <w:p>
      <w:pPr>
        <w:pStyle w:val="8"/>
        <w:spacing w:before="6"/>
        <w:rPr>
          <w:rFonts w:ascii="楷体"/>
          <w:b/>
          <w:color w:val="auto"/>
          <w:sz w:val="9"/>
        </w:rPr>
      </w:pPr>
    </w:p>
    <w:p>
      <w:pPr>
        <w:pStyle w:val="7"/>
        <w:spacing w:before="72"/>
        <w:rPr>
          <w:color w:val="auto"/>
        </w:rPr>
      </w:pPr>
      <w:r>
        <w:rPr>
          <w:color w:val="auto"/>
        </w:rPr>
        <w:t>1、适用法律</w:t>
      </w:r>
    </w:p>
    <w:p>
      <w:pPr>
        <w:pStyle w:val="8"/>
        <w:spacing w:before="165" w:line="386" w:lineRule="auto"/>
        <w:ind w:left="218" w:right="230" w:firstLine="420"/>
        <w:jc w:val="both"/>
        <w:rPr>
          <w:color w:val="auto"/>
        </w:rPr>
      </w:pPr>
      <w:r>
        <w:rPr>
          <w:color w:val="auto"/>
        </w:rPr>
        <w:t>1.1 本次招标适用《中华人民共和国政府采购法》（以下简称政府采购法）、《中华人民共和国政府采购法实施条例》（以下简称政府采购法实施条例）、《政府采购货物和服务招标投标管理办法》等法律、行政法规、部门规章和规范性文件。</w:t>
      </w:r>
    </w:p>
    <w:p>
      <w:pPr>
        <w:pStyle w:val="7"/>
        <w:spacing w:before="6"/>
        <w:rPr>
          <w:color w:val="auto"/>
        </w:rPr>
      </w:pPr>
      <w:r>
        <w:rPr>
          <w:color w:val="auto"/>
        </w:rPr>
        <w:t>2、定义</w:t>
      </w:r>
    </w:p>
    <w:p>
      <w:pPr>
        <w:pStyle w:val="22"/>
        <w:numPr>
          <w:ilvl w:val="1"/>
          <w:numId w:val="4"/>
        </w:numPr>
        <w:tabs>
          <w:tab w:val="left" w:pos="957"/>
        </w:tabs>
        <w:spacing w:before="166" w:after="0" w:line="240" w:lineRule="auto"/>
        <w:ind w:left="956" w:right="0" w:hanging="319"/>
        <w:jc w:val="left"/>
        <w:rPr>
          <w:color w:val="auto"/>
          <w:sz w:val="21"/>
        </w:rPr>
      </w:pPr>
      <w:r>
        <w:rPr>
          <w:color w:val="auto"/>
          <w:sz w:val="21"/>
        </w:rPr>
        <w:t>“采购人”是指本项目校内具体申购单位。</w:t>
      </w:r>
    </w:p>
    <w:p>
      <w:pPr>
        <w:pStyle w:val="22"/>
        <w:numPr>
          <w:ilvl w:val="1"/>
          <w:numId w:val="4"/>
        </w:numPr>
        <w:tabs>
          <w:tab w:val="left" w:pos="957"/>
        </w:tabs>
        <w:spacing w:before="166" w:after="0" w:line="386" w:lineRule="auto"/>
        <w:ind w:left="218" w:right="230" w:firstLine="420"/>
        <w:jc w:val="left"/>
        <w:rPr>
          <w:color w:val="auto"/>
          <w:sz w:val="21"/>
        </w:rPr>
      </w:pPr>
      <w:r>
        <w:rPr>
          <w:color w:val="auto"/>
          <w:spacing w:val="-2"/>
          <w:sz w:val="21"/>
        </w:rPr>
        <w:t>“供应商（投标人）”是指参加投标竞争，并符合招标文件规定资格条件的法人、其他组织</w:t>
      </w:r>
      <w:r>
        <w:rPr>
          <w:color w:val="auto"/>
          <w:sz w:val="21"/>
        </w:rPr>
        <w:t>或者自然人。</w:t>
      </w:r>
    </w:p>
    <w:p>
      <w:pPr>
        <w:pStyle w:val="22"/>
        <w:numPr>
          <w:ilvl w:val="1"/>
          <w:numId w:val="4"/>
        </w:numPr>
        <w:tabs>
          <w:tab w:val="left" w:pos="957"/>
        </w:tabs>
        <w:spacing w:before="5" w:after="0" w:line="240" w:lineRule="auto"/>
        <w:ind w:left="956" w:right="0" w:hanging="319"/>
        <w:jc w:val="left"/>
        <w:rPr>
          <w:color w:val="auto"/>
          <w:sz w:val="21"/>
        </w:rPr>
      </w:pPr>
      <w:r>
        <w:rPr>
          <w:color w:val="auto"/>
          <w:sz w:val="21"/>
        </w:rPr>
        <w:t>“招标办”是指南京信息工程大学招标办。</w:t>
      </w:r>
    </w:p>
    <w:p>
      <w:pPr>
        <w:pStyle w:val="22"/>
        <w:numPr>
          <w:ilvl w:val="1"/>
          <w:numId w:val="4"/>
        </w:numPr>
        <w:tabs>
          <w:tab w:val="left" w:pos="957"/>
        </w:tabs>
        <w:spacing w:before="165" w:after="0" w:line="240" w:lineRule="auto"/>
        <w:ind w:left="956" w:right="0" w:hanging="319"/>
        <w:jc w:val="left"/>
        <w:rPr>
          <w:color w:val="auto"/>
          <w:sz w:val="21"/>
        </w:rPr>
      </w:pPr>
      <w:r>
        <w:rPr>
          <w:color w:val="auto"/>
          <w:spacing w:val="-1"/>
          <w:sz w:val="21"/>
        </w:rPr>
        <w:t>“货物和服务”指本招标文件中所述产品及相关服务。</w:t>
      </w:r>
    </w:p>
    <w:p>
      <w:pPr>
        <w:pStyle w:val="22"/>
        <w:numPr>
          <w:ilvl w:val="1"/>
          <w:numId w:val="4"/>
        </w:numPr>
        <w:tabs>
          <w:tab w:val="left" w:pos="957"/>
        </w:tabs>
        <w:spacing w:before="165" w:after="0" w:line="240" w:lineRule="auto"/>
        <w:ind w:left="956" w:right="0" w:hanging="319"/>
        <w:jc w:val="left"/>
        <w:rPr>
          <w:color w:val="auto"/>
          <w:sz w:val="21"/>
        </w:rPr>
      </w:pPr>
      <w:r>
        <w:rPr>
          <w:color w:val="auto"/>
          <w:spacing w:val="-1"/>
          <w:sz w:val="21"/>
        </w:rPr>
        <w:t>“用户或使用单位”是指使用货物，接受服务的单位。</w:t>
      </w:r>
    </w:p>
    <w:p>
      <w:pPr>
        <w:pStyle w:val="7"/>
        <w:spacing w:before="166"/>
        <w:rPr>
          <w:color w:val="auto"/>
        </w:rPr>
      </w:pPr>
      <w:r>
        <w:rPr>
          <w:color w:val="auto"/>
        </w:rPr>
        <w:t>3、政策功能</w:t>
      </w:r>
    </w:p>
    <w:p>
      <w:pPr>
        <w:pStyle w:val="22"/>
        <w:numPr>
          <w:ilvl w:val="1"/>
          <w:numId w:val="5"/>
        </w:numPr>
        <w:tabs>
          <w:tab w:val="left" w:pos="1009"/>
        </w:tabs>
        <w:spacing w:before="167" w:after="0" w:line="240" w:lineRule="auto"/>
        <w:ind w:left="1008" w:right="0" w:hanging="371"/>
        <w:jc w:val="both"/>
        <w:rPr>
          <w:color w:val="auto"/>
          <w:sz w:val="21"/>
        </w:rPr>
      </w:pPr>
      <w:r>
        <w:rPr>
          <w:color w:val="auto"/>
          <w:sz w:val="21"/>
        </w:rPr>
        <w:t>中小企业政策</w:t>
      </w:r>
    </w:p>
    <w:p>
      <w:pPr>
        <w:pStyle w:val="22"/>
        <w:numPr>
          <w:ilvl w:val="0"/>
          <w:numId w:val="6"/>
        </w:numPr>
        <w:tabs>
          <w:tab w:val="left" w:pos="1168"/>
        </w:tabs>
        <w:spacing w:before="166" w:after="0" w:line="386" w:lineRule="auto"/>
        <w:ind w:left="218" w:right="229" w:firstLine="420"/>
        <w:jc w:val="both"/>
        <w:rPr>
          <w:color w:val="auto"/>
          <w:sz w:val="21"/>
        </w:rPr>
      </w:pPr>
      <w:r>
        <w:rPr>
          <w:color w:val="auto"/>
          <w:spacing w:val="-1"/>
          <w:sz w:val="21"/>
        </w:rPr>
        <w:t>中小企业应当符合《政府采购促进中小企业发展暂行办法》</w:t>
      </w:r>
      <w:r>
        <w:rPr>
          <w:color w:val="auto"/>
          <w:sz w:val="21"/>
        </w:rPr>
        <w:t>（财库〔2011〕181</w:t>
      </w:r>
      <w:r>
        <w:rPr>
          <w:color w:val="auto"/>
          <w:spacing w:val="-28"/>
          <w:sz w:val="21"/>
        </w:rPr>
        <w:t xml:space="preserve"> 号</w:t>
      </w:r>
      <w:r>
        <w:rPr>
          <w:color w:val="auto"/>
          <w:sz w:val="21"/>
        </w:rPr>
        <w:t>）第二</w:t>
      </w:r>
      <w:r>
        <w:rPr>
          <w:color w:val="auto"/>
          <w:spacing w:val="-1"/>
          <w:sz w:val="21"/>
        </w:rPr>
        <w:t>条、《关于政府采购支持监狱企业发展有关问题的通知》</w:t>
      </w:r>
      <w:r>
        <w:rPr>
          <w:color w:val="auto"/>
          <w:sz w:val="21"/>
        </w:rPr>
        <w:t>（财库〔2014〕68</w:t>
      </w:r>
      <w:r>
        <w:rPr>
          <w:color w:val="auto"/>
          <w:spacing w:val="-28"/>
          <w:sz w:val="21"/>
        </w:rPr>
        <w:t xml:space="preserve"> 号</w:t>
      </w:r>
      <w:r>
        <w:rPr>
          <w:color w:val="auto"/>
          <w:sz w:val="21"/>
        </w:rPr>
        <w:t>）第一条或《关于促</w:t>
      </w:r>
      <w:r>
        <w:rPr>
          <w:color w:val="auto"/>
          <w:spacing w:val="-1"/>
          <w:sz w:val="21"/>
        </w:rPr>
        <w:t>进残疾人就业政府采购政策的通知》</w:t>
      </w:r>
      <w:r>
        <w:rPr>
          <w:color w:val="auto"/>
          <w:sz w:val="21"/>
        </w:rPr>
        <w:t>（财库〔2017〕141</w:t>
      </w:r>
      <w:r>
        <w:rPr>
          <w:color w:val="auto"/>
          <w:spacing w:val="-28"/>
          <w:sz w:val="21"/>
        </w:rPr>
        <w:t xml:space="preserve"> 号</w:t>
      </w:r>
      <w:r>
        <w:rPr>
          <w:color w:val="auto"/>
          <w:sz w:val="21"/>
        </w:rPr>
        <w:t>）第一条的规定。</w:t>
      </w:r>
    </w:p>
    <w:p>
      <w:pPr>
        <w:pStyle w:val="22"/>
        <w:numPr>
          <w:ilvl w:val="0"/>
          <w:numId w:val="6"/>
        </w:numPr>
        <w:tabs>
          <w:tab w:val="left" w:pos="1168"/>
        </w:tabs>
        <w:spacing w:before="6" w:after="0" w:line="386" w:lineRule="auto"/>
        <w:ind w:left="218" w:right="124" w:firstLine="420"/>
        <w:jc w:val="left"/>
        <w:rPr>
          <w:color w:val="auto"/>
          <w:sz w:val="21"/>
        </w:rPr>
      </w:pPr>
      <w:r>
        <w:rPr>
          <w:color w:val="auto"/>
          <w:spacing w:val="-1"/>
          <w:sz w:val="21"/>
        </w:rPr>
        <w:t>对于专门面向中小企业或小型、微型企业的项目，只面向中小企业或小型、微型企业采购</w:t>
      </w:r>
      <w:r>
        <w:rPr>
          <w:color w:val="auto"/>
          <w:sz w:val="21"/>
        </w:rPr>
        <w:t>。对于非专门面向中小企业的项目，对小型和微型企业产品的价格给予 10%的扣除，用扣除后的价格参与评审。</w:t>
      </w:r>
    </w:p>
    <w:p>
      <w:pPr>
        <w:pStyle w:val="22"/>
        <w:numPr>
          <w:ilvl w:val="0"/>
          <w:numId w:val="6"/>
        </w:numPr>
        <w:tabs>
          <w:tab w:val="left" w:pos="1168"/>
        </w:tabs>
        <w:spacing w:before="4" w:after="0" w:line="388" w:lineRule="auto"/>
        <w:ind w:left="218" w:right="230" w:firstLine="420"/>
        <w:jc w:val="left"/>
        <w:rPr>
          <w:color w:val="auto"/>
          <w:sz w:val="21"/>
        </w:rPr>
      </w:pPr>
      <w:r>
        <w:rPr>
          <w:color w:val="auto"/>
          <w:spacing w:val="-2"/>
          <w:sz w:val="21"/>
        </w:rPr>
        <w:t>参加政府采购活动的中小企业应当提供《中小企业声明函》、由省级以上监狱管理局戒毒</w:t>
      </w:r>
      <w:r>
        <w:rPr>
          <w:color w:val="auto"/>
          <w:sz w:val="21"/>
        </w:rPr>
        <w:t>管理局(含新疆生产建设兵团)出具的属于监狱企业的证明文件或《残疾人福利性单位声明函》。</w:t>
      </w:r>
    </w:p>
    <w:p>
      <w:pPr>
        <w:pStyle w:val="22"/>
        <w:numPr>
          <w:ilvl w:val="0"/>
          <w:numId w:val="6"/>
        </w:numPr>
        <w:tabs>
          <w:tab w:val="left" w:pos="1168"/>
        </w:tabs>
        <w:spacing w:before="0" w:after="0" w:line="388" w:lineRule="auto"/>
        <w:ind w:left="218" w:right="229" w:firstLine="420"/>
        <w:jc w:val="both"/>
        <w:rPr>
          <w:color w:val="auto"/>
          <w:sz w:val="21"/>
        </w:rPr>
      </w:pPr>
      <w:r>
        <w:rPr>
          <w:color w:val="auto"/>
          <w:spacing w:val="-2"/>
          <w:sz w:val="21"/>
        </w:rPr>
        <w:t>对于接受供应商以联合体形式参加采购活动的项目，小型、微型企业联合体应当符合《政</w:t>
      </w:r>
      <w:r>
        <w:rPr>
          <w:color w:val="auto"/>
          <w:sz w:val="21"/>
        </w:rPr>
        <w:t>府采购促进中小企业发展暂行办法》（财库〔2011〕181</w:t>
      </w:r>
      <w:r>
        <w:rPr>
          <w:color w:val="auto"/>
          <w:spacing w:val="12"/>
          <w:sz w:val="21"/>
        </w:rPr>
        <w:t xml:space="preserve"> 号</w:t>
      </w:r>
      <w:r>
        <w:rPr>
          <w:color w:val="auto"/>
          <w:sz w:val="21"/>
        </w:rPr>
        <w:t>）第六条的规定。联合协议中约定，小</w:t>
      </w:r>
      <w:r>
        <w:rPr>
          <w:color w:val="auto"/>
          <w:spacing w:val="-3"/>
          <w:sz w:val="21"/>
        </w:rPr>
        <w:t xml:space="preserve">型、微型企业的协议合同金额占到联合体协议合同总金额 </w:t>
      </w:r>
      <w:r>
        <w:rPr>
          <w:color w:val="auto"/>
          <w:sz w:val="21"/>
        </w:rPr>
        <w:t>30</w:t>
      </w:r>
      <w:r>
        <w:rPr>
          <w:color w:val="auto"/>
          <w:spacing w:val="-4"/>
          <w:sz w:val="21"/>
        </w:rPr>
        <w:t xml:space="preserve">%以上的，给予联合体 </w:t>
      </w:r>
      <w:r>
        <w:rPr>
          <w:color w:val="auto"/>
          <w:sz w:val="21"/>
        </w:rPr>
        <w:t>2%的价格扣除。联合体各方均为小型、微型企业的，联合体视同为小型、微型企业给予 10%价格扣除。组成联合体的大中型企业和其他自然人、法人或者其他组织，与小型、微型企业之间不得存在投资关系。</w:t>
      </w:r>
    </w:p>
    <w:p>
      <w:pPr>
        <w:spacing w:after="0" w:line="388" w:lineRule="auto"/>
        <w:jc w:val="both"/>
        <w:rPr>
          <w:color w:val="auto"/>
          <w:sz w:val="21"/>
        </w:rPr>
        <w:sectPr>
          <w:footerReference r:id="rId10" w:type="default"/>
          <w:pgSz w:w="11910" w:h="16840"/>
          <w:pgMar w:top="1580" w:right="1180" w:bottom="1080" w:left="1200" w:header="0" w:footer="886" w:gutter="0"/>
          <w:cols w:space="720" w:num="1"/>
        </w:sectPr>
      </w:pPr>
    </w:p>
    <w:p>
      <w:pPr>
        <w:pStyle w:val="22"/>
        <w:numPr>
          <w:ilvl w:val="0"/>
          <w:numId w:val="6"/>
        </w:numPr>
        <w:tabs>
          <w:tab w:val="left" w:pos="1168"/>
        </w:tabs>
        <w:spacing w:before="44" w:after="0" w:line="388" w:lineRule="auto"/>
        <w:ind w:left="218" w:right="229" w:firstLine="420"/>
        <w:jc w:val="both"/>
        <w:rPr>
          <w:color w:val="auto"/>
          <w:sz w:val="21"/>
        </w:rPr>
      </w:pPr>
      <w:r>
        <w:rPr>
          <w:color w:val="auto"/>
          <w:spacing w:val="-1"/>
          <w:sz w:val="21"/>
        </w:rPr>
        <w:t>中小企业依据《政府采购促进中小企业发展暂行办法》</w:t>
      </w:r>
      <w:r>
        <w:rPr>
          <w:color w:val="auto"/>
          <w:sz w:val="21"/>
        </w:rPr>
        <w:t>（财库〔2011〕181</w:t>
      </w:r>
      <w:r>
        <w:rPr>
          <w:color w:val="auto"/>
          <w:spacing w:val="-27"/>
          <w:sz w:val="21"/>
        </w:rPr>
        <w:t xml:space="preserve"> 号</w:t>
      </w:r>
      <w:r>
        <w:rPr>
          <w:color w:val="auto"/>
          <w:sz w:val="21"/>
        </w:rPr>
        <w:t>）规定的政策获取政府采购合同后，小型、微型企业不得分包或转包给大型、中型企业，中型企业不得分包或转包给大型企业。</w:t>
      </w:r>
    </w:p>
    <w:p>
      <w:pPr>
        <w:pStyle w:val="22"/>
        <w:numPr>
          <w:ilvl w:val="1"/>
          <w:numId w:val="5"/>
        </w:numPr>
        <w:tabs>
          <w:tab w:val="left" w:pos="1009"/>
        </w:tabs>
        <w:spacing w:before="0" w:after="0" w:line="267" w:lineRule="exact"/>
        <w:ind w:left="1008" w:right="0" w:hanging="371"/>
        <w:jc w:val="both"/>
        <w:rPr>
          <w:color w:val="auto"/>
          <w:sz w:val="21"/>
        </w:rPr>
      </w:pPr>
      <w:r>
        <w:rPr>
          <w:color w:val="auto"/>
          <w:sz w:val="21"/>
        </w:rPr>
        <w:t>进口产品政策</w:t>
      </w:r>
    </w:p>
    <w:p>
      <w:pPr>
        <w:pStyle w:val="22"/>
        <w:numPr>
          <w:ilvl w:val="0"/>
          <w:numId w:val="7"/>
        </w:numPr>
        <w:tabs>
          <w:tab w:val="left" w:pos="1168"/>
        </w:tabs>
        <w:spacing w:before="166" w:after="0" w:line="386" w:lineRule="auto"/>
        <w:ind w:left="218" w:right="230" w:firstLine="420"/>
        <w:jc w:val="left"/>
        <w:rPr>
          <w:color w:val="auto"/>
          <w:sz w:val="21"/>
        </w:rPr>
      </w:pPr>
      <w:r>
        <w:rPr>
          <w:color w:val="auto"/>
          <w:spacing w:val="-2"/>
          <w:sz w:val="21"/>
        </w:rPr>
        <w:t>除招标公告载明接受进口产品参加外，不允许进口产品参加。进口产品认定依照《财政部</w:t>
      </w:r>
      <w:r>
        <w:rPr>
          <w:color w:val="auto"/>
          <w:spacing w:val="-1"/>
          <w:sz w:val="21"/>
        </w:rPr>
        <w:t>关于政府采购进口产品管理有关问题的通知》</w:t>
      </w:r>
      <w:r>
        <w:rPr>
          <w:color w:val="auto"/>
          <w:sz w:val="21"/>
        </w:rPr>
        <w:t>（财办库〔2008〕248</w:t>
      </w:r>
      <w:r>
        <w:rPr>
          <w:color w:val="auto"/>
          <w:spacing w:val="-27"/>
          <w:sz w:val="21"/>
        </w:rPr>
        <w:t xml:space="preserve"> 号</w:t>
      </w:r>
      <w:r>
        <w:rPr>
          <w:color w:val="auto"/>
          <w:sz w:val="21"/>
        </w:rPr>
        <w:t>）的规定。</w:t>
      </w:r>
    </w:p>
    <w:p>
      <w:pPr>
        <w:pStyle w:val="22"/>
        <w:numPr>
          <w:ilvl w:val="0"/>
          <w:numId w:val="7"/>
        </w:numPr>
        <w:tabs>
          <w:tab w:val="left" w:pos="1168"/>
        </w:tabs>
        <w:spacing w:before="5" w:after="0" w:line="240" w:lineRule="auto"/>
        <w:ind w:left="1167" w:right="0" w:hanging="530"/>
        <w:jc w:val="left"/>
        <w:rPr>
          <w:color w:val="auto"/>
          <w:sz w:val="21"/>
        </w:rPr>
      </w:pPr>
      <w:r>
        <w:rPr>
          <w:color w:val="auto"/>
          <w:sz w:val="21"/>
        </w:rPr>
        <w:t>允许进口产品参加的，满足需求的国内产品可以参加。</w:t>
      </w:r>
    </w:p>
    <w:p>
      <w:pPr>
        <w:pStyle w:val="22"/>
        <w:numPr>
          <w:ilvl w:val="0"/>
          <w:numId w:val="7"/>
        </w:numPr>
        <w:tabs>
          <w:tab w:val="left" w:pos="1168"/>
        </w:tabs>
        <w:spacing w:before="165" w:after="0" w:line="386" w:lineRule="auto"/>
        <w:ind w:left="218" w:right="229" w:firstLine="420"/>
        <w:jc w:val="left"/>
        <w:rPr>
          <w:color w:val="auto"/>
          <w:sz w:val="21"/>
        </w:rPr>
      </w:pPr>
      <w:r>
        <w:rPr>
          <w:color w:val="auto"/>
          <w:sz w:val="21"/>
        </w:rPr>
        <w:t>允许进口产品参加的，优先采购向我国企业转让技术、与我国企业签订消化吸收再创新方案的供应商的进口产品。</w:t>
      </w:r>
    </w:p>
    <w:p>
      <w:pPr>
        <w:pStyle w:val="22"/>
        <w:numPr>
          <w:ilvl w:val="1"/>
          <w:numId w:val="5"/>
        </w:numPr>
        <w:tabs>
          <w:tab w:val="left" w:pos="1009"/>
        </w:tabs>
        <w:spacing w:before="3" w:after="0" w:line="240" w:lineRule="auto"/>
        <w:ind w:left="1008" w:right="0" w:hanging="371"/>
        <w:jc w:val="left"/>
        <w:rPr>
          <w:color w:val="auto"/>
          <w:sz w:val="21"/>
        </w:rPr>
      </w:pPr>
      <w:r>
        <w:rPr>
          <w:color w:val="auto"/>
          <w:sz w:val="21"/>
        </w:rPr>
        <w:t>未按要求提供相关材料的，不享受相关政策。</w:t>
      </w:r>
    </w:p>
    <w:p>
      <w:pPr>
        <w:pStyle w:val="22"/>
        <w:numPr>
          <w:ilvl w:val="1"/>
          <w:numId w:val="5"/>
        </w:numPr>
        <w:tabs>
          <w:tab w:val="left" w:pos="1009"/>
        </w:tabs>
        <w:spacing w:before="168" w:after="0" w:line="386" w:lineRule="auto"/>
        <w:ind w:left="218" w:right="124" w:firstLine="420"/>
        <w:jc w:val="left"/>
        <w:rPr>
          <w:color w:val="auto"/>
          <w:sz w:val="21"/>
        </w:rPr>
      </w:pPr>
      <w:r>
        <w:rPr>
          <w:color w:val="auto"/>
          <w:spacing w:val="-1"/>
          <w:sz w:val="21"/>
        </w:rPr>
        <w:t>招标文件中要求的产品品牌或型号，是采购人根据项目所要实现的功能推荐的品牌或型号，</w:t>
      </w:r>
      <w:r>
        <w:rPr>
          <w:color w:val="auto"/>
          <w:spacing w:val="-102"/>
          <w:sz w:val="21"/>
        </w:rPr>
        <w:t xml:space="preserve"> </w:t>
      </w:r>
      <w:r>
        <w:rPr>
          <w:color w:val="auto"/>
          <w:sz w:val="21"/>
        </w:rPr>
        <w:t>仅供供应商参考，并不是限制条件。</w:t>
      </w:r>
    </w:p>
    <w:p>
      <w:pPr>
        <w:pStyle w:val="7"/>
        <w:spacing w:before="2"/>
        <w:ind w:left="631"/>
        <w:rPr>
          <w:color w:val="auto"/>
        </w:rPr>
      </w:pPr>
      <w:r>
        <w:rPr>
          <w:color w:val="auto"/>
          <w:spacing w:val="-1"/>
        </w:rPr>
        <w:t>二、招标文件构成</w:t>
      </w:r>
    </w:p>
    <w:p>
      <w:pPr>
        <w:pStyle w:val="7"/>
        <w:spacing w:before="166"/>
        <w:rPr>
          <w:color w:val="auto"/>
        </w:rPr>
      </w:pPr>
      <w:r>
        <w:rPr>
          <w:color w:val="auto"/>
        </w:rPr>
        <w:t>4、招标文件组成</w:t>
      </w:r>
    </w:p>
    <w:p>
      <w:pPr>
        <w:pStyle w:val="22"/>
        <w:numPr>
          <w:ilvl w:val="1"/>
          <w:numId w:val="8"/>
        </w:numPr>
        <w:tabs>
          <w:tab w:val="left" w:pos="1062"/>
        </w:tabs>
        <w:spacing w:before="167" w:after="0" w:line="388" w:lineRule="auto"/>
        <w:ind w:left="218" w:right="123" w:firstLine="420"/>
        <w:jc w:val="left"/>
        <w:rPr>
          <w:color w:val="auto"/>
          <w:sz w:val="21"/>
        </w:rPr>
      </w:pPr>
      <w:r>
        <w:rPr>
          <w:color w:val="auto"/>
          <w:sz w:val="21"/>
        </w:rPr>
        <w:t>招标文件包括以下主要内容：投标邀请；投标人须知（包括投标文件的密封、签署、盖章</w:t>
      </w:r>
      <w:r>
        <w:rPr>
          <w:color w:val="auto"/>
          <w:spacing w:val="-2"/>
          <w:sz w:val="21"/>
        </w:rPr>
        <w:t>要求等）；投标人应当提交的资格、资信证明文件；为落实政府采购政策，采购标的需满足的要求，</w:t>
      </w:r>
      <w:r>
        <w:rPr>
          <w:color w:val="auto"/>
          <w:spacing w:val="-102"/>
          <w:sz w:val="21"/>
        </w:rPr>
        <w:t xml:space="preserve"> </w:t>
      </w:r>
      <w:r>
        <w:rPr>
          <w:color w:val="auto"/>
          <w:sz w:val="21"/>
        </w:rPr>
        <w:t>以及投标人须提供的证明材料；投标文件编制要求、投标报价要求的情形；采购项目预算金额，设定最高限价的，还应当公开最高限价；采购项目的技术规格、数量、服务标准、验收等要求，包括附件、图纸等；拟签订的合同文本；货物、服务提供的时间、地点、方式；采购资金的支付方式、</w:t>
      </w:r>
      <w:r>
        <w:rPr>
          <w:color w:val="auto"/>
          <w:spacing w:val="-2"/>
          <w:sz w:val="21"/>
        </w:rPr>
        <w:t>时间、条件；评标方法、评标标准和投标无效情形；投标有效期；投标截止时间、开标时间及地点；</w:t>
      </w:r>
      <w:r>
        <w:rPr>
          <w:color w:val="auto"/>
          <w:spacing w:val="-102"/>
          <w:sz w:val="21"/>
        </w:rPr>
        <w:t xml:space="preserve"> </w:t>
      </w:r>
      <w:r>
        <w:rPr>
          <w:color w:val="auto"/>
          <w:sz w:val="21"/>
        </w:rPr>
        <w:t>采购代理机构代理费用的收取标准和方式；投标人信用信息查询渠道及截止时点、信用信息查询记录和证据留存的具体方式、信用信息的使用规则等；省级以上财政部门规定的其他事项。</w:t>
      </w:r>
    </w:p>
    <w:p>
      <w:pPr>
        <w:pStyle w:val="22"/>
        <w:numPr>
          <w:ilvl w:val="1"/>
          <w:numId w:val="8"/>
        </w:numPr>
        <w:tabs>
          <w:tab w:val="left" w:pos="1062"/>
        </w:tabs>
        <w:spacing w:before="0" w:after="0" w:line="386" w:lineRule="auto"/>
        <w:ind w:left="218" w:right="233" w:firstLine="420"/>
        <w:jc w:val="left"/>
        <w:rPr>
          <w:color w:val="auto"/>
          <w:sz w:val="21"/>
        </w:rPr>
      </w:pPr>
      <w:r>
        <w:rPr>
          <w:color w:val="auto"/>
          <w:sz w:val="21"/>
        </w:rPr>
        <w:t>招标的最小单位是包。招标货物数量及技术要求中未分包的，投标人对要求提供的货物和服务不得部分投标；招标货物数量及技术要求中已经分包的，可以以包为单位投标。</w:t>
      </w:r>
    </w:p>
    <w:p>
      <w:pPr>
        <w:pStyle w:val="22"/>
        <w:numPr>
          <w:ilvl w:val="1"/>
          <w:numId w:val="8"/>
        </w:numPr>
        <w:tabs>
          <w:tab w:val="left" w:pos="1062"/>
        </w:tabs>
        <w:spacing w:before="0" w:after="0" w:line="388" w:lineRule="auto"/>
        <w:ind w:left="218" w:right="233" w:firstLine="420"/>
        <w:jc w:val="left"/>
        <w:rPr>
          <w:color w:val="auto"/>
          <w:sz w:val="21"/>
        </w:rPr>
      </w:pPr>
      <w:r>
        <w:rPr>
          <w:color w:val="auto"/>
          <w:sz w:val="21"/>
        </w:rPr>
        <w:t>采购代理机构如果要求投标人按照招标文件规定提交备选投标方案的，投标人可以提交备选方案；否则，备选方案将被拒绝。</w:t>
      </w:r>
    </w:p>
    <w:p>
      <w:pPr>
        <w:pStyle w:val="7"/>
        <w:rPr>
          <w:color w:val="auto"/>
        </w:rPr>
      </w:pPr>
      <w:r>
        <w:rPr>
          <w:color w:val="auto"/>
        </w:rPr>
        <w:t>5、招标文件的澄清或者修改</w:t>
      </w:r>
    </w:p>
    <w:p>
      <w:pPr>
        <w:pStyle w:val="22"/>
        <w:numPr>
          <w:ilvl w:val="1"/>
          <w:numId w:val="9"/>
        </w:numPr>
        <w:tabs>
          <w:tab w:val="left" w:pos="1062"/>
        </w:tabs>
        <w:spacing w:before="161" w:after="0" w:line="386" w:lineRule="auto"/>
        <w:ind w:left="218" w:right="229" w:firstLine="420"/>
        <w:jc w:val="both"/>
        <w:rPr>
          <w:color w:val="auto"/>
          <w:sz w:val="21"/>
        </w:rPr>
      </w:pPr>
      <w:r>
        <w:rPr>
          <w:color w:val="auto"/>
          <w:sz w:val="21"/>
        </w:rPr>
        <w:t>采购人或者招标办可以对已发出的招标文件、资格预审文件、投标邀请进行必要的澄清或者修改，但不得改变采购标的和资格条件。澄清或者修改将在报名结束后</w:t>
      </w:r>
      <w:r>
        <w:rPr>
          <w:b/>
          <w:color w:val="auto"/>
          <w:sz w:val="21"/>
        </w:rPr>
        <w:t>定向发送至各投标单位提供的报名邮箱</w:t>
      </w:r>
      <w:r>
        <w:rPr>
          <w:color w:val="auto"/>
          <w:sz w:val="21"/>
        </w:rPr>
        <w:t>。澄清或者修改的内容为招标文件、资格预审文件、投标邀请的组成部分。</w:t>
      </w:r>
    </w:p>
    <w:p>
      <w:pPr>
        <w:spacing w:after="0" w:line="386" w:lineRule="auto"/>
        <w:jc w:val="both"/>
        <w:rPr>
          <w:color w:val="auto"/>
          <w:sz w:val="21"/>
        </w:rPr>
        <w:sectPr>
          <w:footerReference r:id="rId11" w:type="default"/>
          <w:pgSz w:w="11910" w:h="16840"/>
          <w:pgMar w:top="1460" w:right="1180" w:bottom="1080" w:left="1200" w:header="0" w:footer="886" w:gutter="0"/>
          <w:cols w:space="720" w:num="1"/>
        </w:sectPr>
      </w:pPr>
    </w:p>
    <w:p>
      <w:pPr>
        <w:pStyle w:val="8"/>
        <w:spacing w:before="44"/>
        <w:ind w:left="638"/>
        <w:rPr>
          <w:color w:val="auto"/>
        </w:rPr>
      </w:pPr>
      <w:r>
        <w:rPr>
          <w:color w:val="auto"/>
          <w:spacing w:val="-3"/>
        </w:rPr>
        <w:t xml:space="preserve">澄清或者修改的内容可能影响投标文件编制的，采购人或者招标办应当在投标截止时间至少 </w:t>
      </w:r>
      <w:r>
        <w:rPr>
          <w:color w:val="auto"/>
        </w:rPr>
        <w:t>15</w:t>
      </w:r>
    </w:p>
    <w:p>
      <w:pPr>
        <w:pStyle w:val="8"/>
        <w:spacing w:before="166" w:line="388" w:lineRule="auto"/>
        <w:ind w:left="218" w:right="229"/>
        <w:rPr>
          <w:color w:val="auto"/>
        </w:rPr>
      </w:pPr>
      <w:r>
        <w:rPr>
          <w:color w:val="auto"/>
          <w:spacing w:val="-4"/>
        </w:rPr>
        <w:t xml:space="preserve">日前，以书面形式通知所有获取招标文件的潜在投标人；不足 </w:t>
      </w:r>
      <w:r>
        <w:rPr>
          <w:color w:val="auto"/>
          <w:spacing w:val="-2"/>
        </w:rPr>
        <w:t>15</w:t>
      </w:r>
      <w:r>
        <w:rPr>
          <w:color w:val="auto"/>
          <w:spacing w:val="-9"/>
        </w:rPr>
        <w:t xml:space="preserve"> 日的，采购人或者招标办应当顺延</w:t>
      </w:r>
      <w:r>
        <w:rPr>
          <w:color w:val="auto"/>
        </w:rPr>
        <w:t>提交投标文件的截止时间。</w:t>
      </w:r>
    </w:p>
    <w:p>
      <w:pPr>
        <w:pStyle w:val="22"/>
        <w:numPr>
          <w:ilvl w:val="1"/>
          <w:numId w:val="9"/>
        </w:numPr>
        <w:tabs>
          <w:tab w:val="left" w:pos="1062"/>
        </w:tabs>
        <w:spacing w:before="0" w:after="0" w:line="386" w:lineRule="auto"/>
        <w:ind w:left="218" w:right="233" w:firstLine="420"/>
        <w:jc w:val="left"/>
        <w:rPr>
          <w:color w:val="auto"/>
          <w:sz w:val="21"/>
        </w:rPr>
      </w:pPr>
      <w:r>
        <w:rPr>
          <w:color w:val="auto"/>
          <w:sz w:val="21"/>
        </w:rPr>
        <w:t>采购人或者招标办在招标文件要求提交投标文件截止时间三日前，有权决定延长投标截止时间和开标时间，并将变更公告</w:t>
      </w:r>
      <w:r>
        <w:rPr>
          <w:b/>
          <w:color w:val="auto"/>
          <w:sz w:val="21"/>
        </w:rPr>
        <w:t>定向发送至各投标单位提供的报名邮箱</w:t>
      </w:r>
      <w:r>
        <w:rPr>
          <w:color w:val="auto"/>
          <w:sz w:val="21"/>
        </w:rPr>
        <w:t>。</w:t>
      </w:r>
    </w:p>
    <w:p>
      <w:pPr>
        <w:pStyle w:val="7"/>
        <w:spacing w:before="2"/>
        <w:rPr>
          <w:color w:val="auto"/>
        </w:rPr>
      </w:pPr>
      <w:r>
        <w:rPr>
          <w:color w:val="auto"/>
          <w:spacing w:val="-1"/>
        </w:rPr>
        <w:t>三、投标文件的编制</w:t>
      </w:r>
    </w:p>
    <w:p>
      <w:pPr>
        <w:pStyle w:val="7"/>
        <w:spacing w:before="167"/>
        <w:rPr>
          <w:color w:val="auto"/>
        </w:rPr>
      </w:pPr>
      <w:r>
        <w:rPr>
          <w:color w:val="auto"/>
        </w:rPr>
        <w:t>6、投标文件的语言、计量单位、货币和编制</w:t>
      </w:r>
    </w:p>
    <w:p>
      <w:pPr>
        <w:pStyle w:val="22"/>
        <w:numPr>
          <w:ilvl w:val="1"/>
          <w:numId w:val="10"/>
        </w:numPr>
        <w:tabs>
          <w:tab w:val="left" w:pos="1062"/>
        </w:tabs>
        <w:spacing w:before="166" w:after="0" w:line="388" w:lineRule="auto"/>
        <w:ind w:left="218" w:right="230" w:firstLine="420"/>
        <w:jc w:val="both"/>
        <w:rPr>
          <w:color w:val="auto"/>
          <w:sz w:val="21"/>
        </w:rPr>
      </w:pPr>
      <w:r>
        <w:rPr>
          <w:color w:val="auto"/>
          <w:sz w:val="21"/>
        </w:rPr>
        <w:t>投标人提交的投标文件、技术文件和资料，包括图纸中的说明，以及投标人与代理机构就有关投标的所有来往函电均应使用中文。投标文件中若有英文或其他语言文字的资料，应提供相应的中文翻译资料。对不同文本投标文件的解释发生异议的，以中文文本为准。</w:t>
      </w:r>
    </w:p>
    <w:p>
      <w:pPr>
        <w:pStyle w:val="22"/>
        <w:numPr>
          <w:ilvl w:val="1"/>
          <w:numId w:val="10"/>
        </w:numPr>
        <w:tabs>
          <w:tab w:val="left" w:pos="1009"/>
        </w:tabs>
        <w:spacing w:before="0" w:after="0" w:line="268" w:lineRule="exact"/>
        <w:ind w:left="1008" w:right="0" w:hanging="371"/>
        <w:jc w:val="both"/>
        <w:rPr>
          <w:color w:val="auto"/>
          <w:sz w:val="21"/>
        </w:rPr>
      </w:pPr>
      <w:r>
        <w:rPr>
          <w:color w:val="auto"/>
          <w:sz w:val="21"/>
        </w:rPr>
        <w:t>投标人所使用的计量单位应为国家法定计量单位。</w:t>
      </w:r>
    </w:p>
    <w:p>
      <w:pPr>
        <w:pStyle w:val="22"/>
        <w:numPr>
          <w:ilvl w:val="1"/>
          <w:numId w:val="10"/>
        </w:numPr>
        <w:tabs>
          <w:tab w:val="left" w:pos="1009"/>
        </w:tabs>
        <w:spacing w:before="165" w:after="0" w:line="386" w:lineRule="auto"/>
        <w:ind w:left="218" w:right="124" w:firstLine="420"/>
        <w:jc w:val="left"/>
        <w:rPr>
          <w:color w:val="auto"/>
          <w:sz w:val="21"/>
        </w:rPr>
      </w:pPr>
      <w:r>
        <w:rPr>
          <w:color w:val="auto"/>
          <w:spacing w:val="-1"/>
          <w:sz w:val="21"/>
        </w:rPr>
        <w:t>投标人应用人民币报价，</w:t>
      </w:r>
      <w:r>
        <w:rPr>
          <w:b/>
          <w:color w:val="auto"/>
          <w:spacing w:val="-1"/>
          <w:sz w:val="21"/>
        </w:rPr>
        <w:t>报价单位为“元”。</w:t>
      </w:r>
      <w:r>
        <w:rPr>
          <w:color w:val="auto"/>
          <w:sz w:val="21"/>
        </w:rPr>
        <w:t>投标人的报价应将设备费、服务费、代理费、运输费、上下力费、检测费、安装费、调试费、安装辅材、合理利润、国家相关税费（含关税）及其他所有费用包含在内，一旦确定中标，不得另行提出其他费用要求。</w:t>
      </w:r>
    </w:p>
    <w:p>
      <w:pPr>
        <w:pStyle w:val="22"/>
        <w:numPr>
          <w:ilvl w:val="1"/>
          <w:numId w:val="10"/>
        </w:numPr>
        <w:tabs>
          <w:tab w:val="left" w:pos="1062"/>
        </w:tabs>
        <w:spacing w:before="6" w:after="0" w:line="386" w:lineRule="auto"/>
        <w:ind w:left="218" w:right="232" w:firstLine="420"/>
        <w:jc w:val="left"/>
        <w:rPr>
          <w:color w:val="auto"/>
          <w:sz w:val="21"/>
        </w:rPr>
      </w:pPr>
      <w:r>
        <w:rPr>
          <w:color w:val="auto"/>
          <w:sz w:val="21"/>
        </w:rPr>
        <w:t>投标文件应字迹清楚、内容齐全、不得涂改。如有修改，修改处须有投标人公章或投标专用章和法定代表人或其授权的投标人代表签字。</w:t>
      </w:r>
    </w:p>
    <w:p>
      <w:pPr>
        <w:pStyle w:val="22"/>
        <w:numPr>
          <w:ilvl w:val="1"/>
          <w:numId w:val="10"/>
        </w:numPr>
        <w:tabs>
          <w:tab w:val="left" w:pos="1009"/>
        </w:tabs>
        <w:spacing w:before="3" w:after="0" w:line="388" w:lineRule="auto"/>
        <w:ind w:left="218" w:right="229" w:firstLine="420"/>
        <w:jc w:val="left"/>
        <w:rPr>
          <w:color w:val="auto"/>
          <w:sz w:val="21"/>
        </w:rPr>
      </w:pPr>
      <w:r>
        <w:rPr>
          <w:color w:val="auto"/>
          <w:spacing w:val="-4"/>
          <w:sz w:val="21"/>
        </w:rPr>
        <w:t xml:space="preserve">投标文件应按照招标文件规定的顺序，统一用 </w:t>
      </w:r>
      <w:r>
        <w:rPr>
          <w:color w:val="auto"/>
          <w:sz w:val="21"/>
        </w:rPr>
        <w:t>A4</w:t>
      </w:r>
      <w:r>
        <w:rPr>
          <w:color w:val="auto"/>
          <w:spacing w:val="-8"/>
          <w:sz w:val="21"/>
        </w:rPr>
        <w:t xml:space="preserve"> 规格幅面打印、装订成册并编制目录，由</w:t>
      </w:r>
      <w:r>
        <w:rPr>
          <w:color w:val="auto"/>
          <w:sz w:val="21"/>
        </w:rPr>
        <w:t>于编排混乱导致投标文件被误读或查找不到，责任由投标人承担。</w:t>
      </w:r>
    </w:p>
    <w:p>
      <w:pPr>
        <w:pStyle w:val="22"/>
        <w:numPr>
          <w:ilvl w:val="1"/>
          <w:numId w:val="10"/>
        </w:numPr>
        <w:tabs>
          <w:tab w:val="left" w:pos="1062"/>
        </w:tabs>
        <w:spacing w:before="0" w:after="0" w:line="386" w:lineRule="auto"/>
        <w:ind w:left="218" w:right="233" w:firstLine="420"/>
        <w:jc w:val="left"/>
        <w:rPr>
          <w:color w:val="auto"/>
          <w:sz w:val="21"/>
        </w:rPr>
      </w:pPr>
      <w:r>
        <w:rPr>
          <w:color w:val="auto"/>
          <w:sz w:val="21"/>
        </w:rPr>
        <w:t>投标人应在投标文件中写清相应的项目编号、项目名称、投标人全称、地址、电话、传真等。</w:t>
      </w:r>
    </w:p>
    <w:p>
      <w:pPr>
        <w:pStyle w:val="22"/>
        <w:numPr>
          <w:ilvl w:val="1"/>
          <w:numId w:val="10"/>
        </w:numPr>
        <w:tabs>
          <w:tab w:val="left" w:pos="1054"/>
        </w:tabs>
        <w:spacing w:before="2" w:after="0" w:line="386" w:lineRule="auto"/>
        <w:ind w:left="218" w:right="230" w:firstLine="412"/>
        <w:jc w:val="left"/>
        <w:rPr>
          <w:color w:val="auto"/>
          <w:sz w:val="21"/>
        </w:rPr>
      </w:pPr>
      <w:r>
        <w:rPr>
          <w:color w:val="auto"/>
          <w:sz w:val="21"/>
        </w:rPr>
        <w:t>投标人根据招标文件载明的标的采购项目实际情况，拟在中标后将中标项目的非主体、非关键性工作交由他人完成的，应当在投标文件中载明。</w:t>
      </w:r>
    </w:p>
    <w:p>
      <w:pPr>
        <w:pStyle w:val="7"/>
        <w:spacing w:before="5"/>
        <w:rPr>
          <w:color w:val="auto"/>
        </w:rPr>
      </w:pPr>
      <w:r>
        <w:rPr>
          <w:color w:val="auto"/>
        </w:rPr>
        <w:t>7、投标文件的组成</w:t>
      </w:r>
    </w:p>
    <w:p>
      <w:pPr>
        <w:pStyle w:val="22"/>
        <w:numPr>
          <w:ilvl w:val="1"/>
          <w:numId w:val="11"/>
        </w:numPr>
        <w:tabs>
          <w:tab w:val="left" w:pos="1009"/>
        </w:tabs>
        <w:spacing w:before="165" w:after="0" w:line="386" w:lineRule="auto"/>
        <w:ind w:left="218" w:right="321" w:firstLine="420"/>
        <w:jc w:val="left"/>
        <w:rPr>
          <w:color w:val="auto"/>
          <w:sz w:val="21"/>
        </w:rPr>
      </w:pPr>
      <w:r>
        <w:rPr>
          <w:color w:val="auto"/>
          <w:sz w:val="21"/>
        </w:rPr>
        <w:t>投标人应当根据招标文件要求编制投标文件，投标文件应对招标文件提出的要求和条件作出实质性响应，并在《商务条款偏离表》和《技术规格偏离表》等处逐条标明满足与否。</w:t>
      </w:r>
    </w:p>
    <w:p>
      <w:pPr>
        <w:pStyle w:val="22"/>
        <w:numPr>
          <w:ilvl w:val="1"/>
          <w:numId w:val="11"/>
        </w:numPr>
        <w:tabs>
          <w:tab w:val="left" w:pos="1062"/>
        </w:tabs>
        <w:spacing w:before="3" w:after="0" w:line="240" w:lineRule="auto"/>
        <w:ind w:left="1061" w:right="0" w:hanging="424"/>
        <w:jc w:val="left"/>
        <w:rPr>
          <w:color w:val="auto"/>
          <w:sz w:val="21"/>
        </w:rPr>
      </w:pPr>
      <w:r>
        <w:rPr>
          <w:color w:val="auto"/>
          <w:sz w:val="21"/>
        </w:rPr>
        <w:t>投标文件由商务部分、技术部分、价格部分以及其他部分组成。</w:t>
      </w:r>
    </w:p>
    <w:p>
      <w:pPr>
        <w:pStyle w:val="7"/>
        <w:spacing w:before="168"/>
        <w:rPr>
          <w:color w:val="auto"/>
        </w:rPr>
      </w:pPr>
      <w:r>
        <w:rPr>
          <w:color w:val="auto"/>
        </w:rPr>
        <w:t>8、投标文件的商务部分</w:t>
      </w:r>
    </w:p>
    <w:p>
      <w:pPr>
        <w:spacing w:before="165" w:line="386" w:lineRule="auto"/>
        <w:ind w:left="218" w:right="231" w:firstLine="420"/>
        <w:jc w:val="both"/>
        <w:rPr>
          <w:color w:val="auto"/>
          <w:sz w:val="21"/>
        </w:rPr>
      </w:pPr>
      <w:r>
        <w:rPr>
          <w:color w:val="auto"/>
          <w:sz w:val="21"/>
        </w:rPr>
        <w:t>8.1 商务部分是证明投标人有资格参加投标和中标后有能力履行合同的文件，这些文件应能满</w:t>
      </w:r>
      <w:r>
        <w:rPr>
          <w:color w:val="auto"/>
          <w:spacing w:val="-2"/>
          <w:sz w:val="21"/>
        </w:rPr>
        <w:t>足招标的要求，包括但不限于下列文件（</w:t>
      </w:r>
      <w:r>
        <w:rPr>
          <w:b/>
          <w:color w:val="auto"/>
          <w:spacing w:val="-2"/>
          <w:sz w:val="21"/>
        </w:rPr>
        <w:t>（1）-（5）所述材料如提供不全或不满足招标文件的实质</w:t>
      </w:r>
      <w:r>
        <w:rPr>
          <w:b/>
          <w:color w:val="auto"/>
          <w:sz w:val="21"/>
        </w:rPr>
        <w:t>性要求，评标委员会有权否决投标人的投标</w:t>
      </w:r>
      <w:r>
        <w:rPr>
          <w:color w:val="auto"/>
          <w:sz w:val="21"/>
        </w:rPr>
        <w:t>）：</w:t>
      </w:r>
    </w:p>
    <w:p>
      <w:pPr>
        <w:pStyle w:val="22"/>
        <w:numPr>
          <w:ilvl w:val="0"/>
          <w:numId w:val="12"/>
        </w:numPr>
        <w:tabs>
          <w:tab w:val="left" w:pos="1168"/>
        </w:tabs>
        <w:spacing w:before="6" w:after="0" w:line="240" w:lineRule="auto"/>
        <w:ind w:left="1167" w:right="0" w:hanging="530"/>
        <w:jc w:val="left"/>
        <w:rPr>
          <w:color w:val="auto"/>
          <w:sz w:val="21"/>
        </w:rPr>
      </w:pPr>
      <w:r>
        <w:rPr>
          <w:color w:val="auto"/>
          <w:sz w:val="21"/>
        </w:rPr>
        <w:t>投标函（投标申请及声明）（</w:t>
      </w:r>
      <w:r>
        <w:rPr>
          <w:b/>
          <w:color w:val="auto"/>
          <w:sz w:val="21"/>
        </w:rPr>
        <w:t>格式见附件</w:t>
      </w:r>
      <w:r>
        <w:rPr>
          <w:color w:val="auto"/>
          <w:sz w:val="21"/>
        </w:rPr>
        <w:t>）；</w:t>
      </w:r>
    </w:p>
    <w:p>
      <w:pPr>
        <w:pStyle w:val="22"/>
        <w:numPr>
          <w:ilvl w:val="0"/>
          <w:numId w:val="12"/>
        </w:numPr>
        <w:tabs>
          <w:tab w:val="left" w:pos="1168"/>
        </w:tabs>
        <w:spacing w:before="165" w:after="0" w:line="240" w:lineRule="auto"/>
        <w:ind w:left="1167" w:right="0" w:hanging="530"/>
        <w:jc w:val="left"/>
        <w:rPr>
          <w:color w:val="auto"/>
          <w:sz w:val="21"/>
        </w:rPr>
      </w:pPr>
      <w:r>
        <w:rPr>
          <w:color w:val="auto"/>
          <w:sz w:val="21"/>
        </w:rPr>
        <w:t>法定代表人授权委托书及委托代理人的身份证明文件的复印件（</w:t>
      </w:r>
      <w:r>
        <w:rPr>
          <w:b/>
          <w:color w:val="auto"/>
          <w:sz w:val="21"/>
        </w:rPr>
        <w:t>格式见附件</w:t>
      </w:r>
      <w:r>
        <w:rPr>
          <w:color w:val="auto"/>
          <w:sz w:val="21"/>
        </w:rPr>
        <w:t>）；</w:t>
      </w:r>
    </w:p>
    <w:p>
      <w:pPr>
        <w:spacing w:after="0" w:line="240" w:lineRule="auto"/>
        <w:jc w:val="left"/>
        <w:rPr>
          <w:color w:val="auto"/>
          <w:sz w:val="21"/>
        </w:rPr>
        <w:sectPr>
          <w:footerReference r:id="rId12" w:type="default"/>
          <w:pgSz w:w="11910" w:h="16840"/>
          <w:pgMar w:top="1460" w:right="1180" w:bottom="1080" w:left="1200" w:header="0" w:footer="886" w:gutter="0"/>
          <w:cols w:space="720" w:num="1"/>
        </w:sectPr>
      </w:pPr>
    </w:p>
    <w:p>
      <w:pPr>
        <w:pStyle w:val="22"/>
        <w:numPr>
          <w:ilvl w:val="0"/>
          <w:numId w:val="12"/>
        </w:numPr>
        <w:tabs>
          <w:tab w:val="left" w:pos="1168"/>
        </w:tabs>
        <w:spacing w:before="44" w:after="0" w:line="240" w:lineRule="auto"/>
        <w:ind w:left="1167" w:right="0" w:hanging="530"/>
        <w:jc w:val="left"/>
        <w:rPr>
          <w:color w:val="auto"/>
          <w:sz w:val="21"/>
        </w:rPr>
      </w:pPr>
      <w:r>
        <w:rPr>
          <w:color w:val="auto"/>
          <w:sz w:val="21"/>
        </w:rPr>
        <w:t>投标人资格资信证明文件：</w:t>
      </w:r>
    </w:p>
    <w:p>
      <w:pPr>
        <w:pStyle w:val="22"/>
        <w:numPr>
          <w:ilvl w:val="0"/>
          <w:numId w:val="13"/>
        </w:numPr>
        <w:tabs>
          <w:tab w:val="left" w:pos="1059"/>
        </w:tabs>
        <w:spacing w:before="166" w:after="0" w:line="240" w:lineRule="auto"/>
        <w:ind w:left="1058" w:right="0" w:hanging="473"/>
        <w:jc w:val="left"/>
        <w:rPr>
          <w:color w:val="auto"/>
          <w:sz w:val="21"/>
        </w:rPr>
      </w:pPr>
      <w:r>
        <w:rPr>
          <w:color w:val="auto"/>
          <w:spacing w:val="-5"/>
          <w:sz w:val="21"/>
        </w:rPr>
        <w:t xml:space="preserve">第一章投标邀请中第五项第 </w:t>
      </w:r>
      <w:r>
        <w:rPr>
          <w:color w:val="auto"/>
          <w:sz w:val="21"/>
        </w:rPr>
        <w:t>1</w:t>
      </w:r>
      <w:r>
        <w:rPr>
          <w:color w:val="auto"/>
          <w:spacing w:val="-27"/>
          <w:sz w:val="21"/>
        </w:rPr>
        <w:t xml:space="preserve"> 条</w:t>
      </w:r>
      <w:r>
        <w:rPr>
          <w:color w:val="auto"/>
          <w:spacing w:val="-18"/>
          <w:sz w:val="21"/>
        </w:rPr>
        <w:t>：《中华人民共和国政府采购法》规定的资格条件证明文件；</w:t>
      </w:r>
    </w:p>
    <w:p>
      <w:pPr>
        <w:pStyle w:val="22"/>
        <w:numPr>
          <w:ilvl w:val="0"/>
          <w:numId w:val="13"/>
        </w:numPr>
        <w:tabs>
          <w:tab w:val="left" w:pos="1059"/>
        </w:tabs>
        <w:spacing w:before="168" w:after="0" w:line="386" w:lineRule="auto"/>
        <w:ind w:left="218" w:right="229" w:firstLine="367"/>
        <w:jc w:val="left"/>
        <w:rPr>
          <w:color w:val="auto"/>
          <w:sz w:val="21"/>
        </w:rPr>
      </w:pPr>
      <w:r>
        <w:rPr>
          <w:color w:val="auto"/>
          <w:spacing w:val="-4"/>
          <w:sz w:val="21"/>
        </w:rPr>
        <w:t xml:space="preserve">第一章投标邀请中第五项第 </w:t>
      </w:r>
      <w:r>
        <w:rPr>
          <w:color w:val="auto"/>
          <w:sz w:val="21"/>
        </w:rPr>
        <w:t>3</w:t>
      </w:r>
      <w:r>
        <w:rPr>
          <w:color w:val="auto"/>
          <w:spacing w:val="-6"/>
          <w:sz w:val="21"/>
        </w:rPr>
        <w:t xml:space="preserve"> 条：采购人根据采购项目的特殊要求规定的特定条件证明文</w:t>
      </w:r>
      <w:r>
        <w:rPr>
          <w:color w:val="auto"/>
          <w:sz w:val="21"/>
        </w:rPr>
        <w:t>件；</w:t>
      </w:r>
    </w:p>
    <w:p>
      <w:pPr>
        <w:pStyle w:val="22"/>
        <w:numPr>
          <w:ilvl w:val="0"/>
          <w:numId w:val="12"/>
        </w:numPr>
        <w:tabs>
          <w:tab w:val="left" w:pos="1168"/>
        </w:tabs>
        <w:spacing w:before="2" w:after="0" w:line="240" w:lineRule="auto"/>
        <w:ind w:left="1167" w:right="0" w:hanging="530"/>
        <w:jc w:val="left"/>
        <w:rPr>
          <w:color w:val="auto"/>
          <w:sz w:val="21"/>
        </w:rPr>
      </w:pPr>
      <w:r>
        <w:rPr>
          <w:color w:val="auto"/>
          <w:sz w:val="21"/>
        </w:rPr>
        <w:t>开标一览表（</w:t>
      </w:r>
      <w:r>
        <w:rPr>
          <w:b/>
          <w:color w:val="auto"/>
          <w:sz w:val="21"/>
        </w:rPr>
        <w:t>格式见附件</w:t>
      </w:r>
      <w:r>
        <w:rPr>
          <w:color w:val="auto"/>
          <w:spacing w:val="-108"/>
          <w:sz w:val="21"/>
        </w:rPr>
        <w:t>）；</w:t>
      </w:r>
    </w:p>
    <w:p>
      <w:pPr>
        <w:pStyle w:val="22"/>
        <w:numPr>
          <w:ilvl w:val="0"/>
          <w:numId w:val="12"/>
        </w:numPr>
        <w:tabs>
          <w:tab w:val="left" w:pos="1168"/>
        </w:tabs>
        <w:spacing w:before="165" w:after="0" w:line="240" w:lineRule="auto"/>
        <w:ind w:left="1167" w:right="0" w:hanging="530"/>
        <w:jc w:val="left"/>
        <w:rPr>
          <w:color w:val="auto"/>
          <w:sz w:val="21"/>
        </w:rPr>
      </w:pPr>
      <w:r>
        <w:rPr>
          <w:color w:val="auto"/>
          <w:sz w:val="21"/>
        </w:rPr>
        <w:t>《商务条款偏离表》；</w:t>
      </w:r>
    </w:p>
    <w:p>
      <w:pPr>
        <w:pStyle w:val="22"/>
        <w:numPr>
          <w:ilvl w:val="0"/>
          <w:numId w:val="12"/>
        </w:numPr>
        <w:tabs>
          <w:tab w:val="left" w:pos="1168"/>
        </w:tabs>
        <w:spacing w:before="168" w:after="0" w:line="240" w:lineRule="auto"/>
        <w:ind w:left="1167" w:right="0" w:hanging="530"/>
        <w:jc w:val="left"/>
        <w:rPr>
          <w:color w:val="auto"/>
          <w:sz w:val="21"/>
        </w:rPr>
      </w:pPr>
      <w:r>
        <w:rPr>
          <w:color w:val="auto"/>
          <w:sz w:val="21"/>
        </w:rPr>
        <w:t>分项报价表（</w:t>
      </w:r>
      <w:r>
        <w:rPr>
          <w:b/>
          <w:color w:val="auto"/>
          <w:sz w:val="21"/>
        </w:rPr>
        <w:t>格式见附件</w:t>
      </w:r>
      <w:r>
        <w:rPr>
          <w:color w:val="auto"/>
          <w:sz w:val="21"/>
        </w:rPr>
        <w:t>）；</w:t>
      </w:r>
    </w:p>
    <w:p>
      <w:pPr>
        <w:pStyle w:val="22"/>
        <w:numPr>
          <w:ilvl w:val="0"/>
          <w:numId w:val="12"/>
        </w:numPr>
        <w:tabs>
          <w:tab w:val="left" w:pos="1168"/>
        </w:tabs>
        <w:spacing w:before="165" w:after="0" w:line="240" w:lineRule="auto"/>
        <w:ind w:left="1167" w:right="0" w:hanging="530"/>
        <w:jc w:val="left"/>
        <w:rPr>
          <w:color w:val="auto"/>
          <w:sz w:val="21"/>
        </w:rPr>
      </w:pPr>
      <w:r>
        <w:rPr>
          <w:color w:val="auto"/>
          <w:sz w:val="21"/>
        </w:rPr>
        <w:t>第三章评标标准中对应的其它所需证明材料（如有自行添加）；</w:t>
      </w:r>
    </w:p>
    <w:p>
      <w:pPr>
        <w:pStyle w:val="22"/>
        <w:numPr>
          <w:ilvl w:val="0"/>
          <w:numId w:val="12"/>
        </w:numPr>
        <w:tabs>
          <w:tab w:val="left" w:pos="1168"/>
        </w:tabs>
        <w:spacing w:before="166" w:after="0" w:line="240" w:lineRule="auto"/>
        <w:ind w:left="1167" w:right="0" w:hanging="530"/>
        <w:jc w:val="left"/>
        <w:rPr>
          <w:color w:val="auto"/>
          <w:sz w:val="21"/>
        </w:rPr>
      </w:pPr>
      <w:r>
        <w:rPr>
          <w:color w:val="auto"/>
          <w:sz w:val="21"/>
        </w:rPr>
        <w:t>要求采购人提供的配合（如有自拟并自行添加）；</w:t>
      </w:r>
    </w:p>
    <w:p>
      <w:pPr>
        <w:pStyle w:val="22"/>
        <w:numPr>
          <w:ilvl w:val="0"/>
          <w:numId w:val="12"/>
        </w:numPr>
        <w:tabs>
          <w:tab w:val="left" w:pos="1168"/>
        </w:tabs>
        <w:spacing w:before="166" w:after="0" w:line="240" w:lineRule="auto"/>
        <w:ind w:left="1167" w:right="0" w:hanging="530"/>
        <w:jc w:val="left"/>
        <w:rPr>
          <w:color w:val="auto"/>
          <w:sz w:val="21"/>
        </w:rPr>
      </w:pPr>
      <w:r>
        <w:rPr>
          <w:color w:val="auto"/>
          <w:sz w:val="21"/>
        </w:rPr>
        <w:t>其它（投标人认为有必要提供的声明和文件，如有，自行拟定并添加）。</w:t>
      </w:r>
    </w:p>
    <w:p>
      <w:pPr>
        <w:pStyle w:val="7"/>
        <w:spacing w:before="167"/>
        <w:rPr>
          <w:color w:val="auto"/>
        </w:rPr>
      </w:pPr>
      <w:r>
        <w:rPr>
          <w:color w:val="auto"/>
        </w:rPr>
        <w:t>9、投标文件的技术部分</w:t>
      </w:r>
    </w:p>
    <w:p>
      <w:pPr>
        <w:pStyle w:val="8"/>
        <w:spacing w:before="166" w:line="386" w:lineRule="auto"/>
        <w:ind w:left="218" w:right="268" w:firstLine="420"/>
        <w:jc w:val="both"/>
        <w:rPr>
          <w:color w:val="auto"/>
        </w:rPr>
      </w:pPr>
      <w:r>
        <w:rPr>
          <w:color w:val="auto"/>
        </w:rPr>
        <w:t>技术部分是证明供应商提供的货物和服务是合格的、并符合招标文件要求的证明文件，以及对货物和服务的详细说明，这些文件可以是文字资料、图纸和数据等。提供的货物和服务如与招标文件要求有不符之处，应说明其差别之所在。包括但不限于下列文件：</w:t>
      </w:r>
    </w:p>
    <w:p>
      <w:pPr>
        <w:pStyle w:val="22"/>
        <w:numPr>
          <w:ilvl w:val="0"/>
          <w:numId w:val="14"/>
        </w:numPr>
        <w:tabs>
          <w:tab w:val="left" w:pos="1168"/>
        </w:tabs>
        <w:spacing w:before="6" w:after="0" w:line="240" w:lineRule="auto"/>
        <w:ind w:left="1167" w:right="0" w:hanging="530"/>
        <w:jc w:val="left"/>
        <w:rPr>
          <w:color w:val="auto"/>
          <w:sz w:val="21"/>
        </w:rPr>
      </w:pPr>
      <w:r>
        <w:rPr>
          <w:color w:val="auto"/>
          <w:spacing w:val="-1"/>
          <w:sz w:val="21"/>
        </w:rPr>
        <w:t>技术说明或服务方案；</w:t>
      </w:r>
    </w:p>
    <w:p>
      <w:pPr>
        <w:pStyle w:val="22"/>
        <w:numPr>
          <w:ilvl w:val="0"/>
          <w:numId w:val="14"/>
        </w:numPr>
        <w:tabs>
          <w:tab w:val="left" w:pos="1168"/>
        </w:tabs>
        <w:spacing w:before="165" w:after="0" w:line="240" w:lineRule="auto"/>
        <w:ind w:left="1167" w:right="0" w:hanging="530"/>
        <w:jc w:val="left"/>
        <w:rPr>
          <w:color w:val="auto"/>
          <w:sz w:val="21"/>
        </w:rPr>
      </w:pPr>
      <w:r>
        <w:rPr>
          <w:color w:val="auto"/>
          <w:spacing w:val="-1"/>
          <w:sz w:val="21"/>
        </w:rPr>
        <w:t>《技术条款偏离表》；</w:t>
      </w:r>
    </w:p>
    <w:p>
      <w:pPr>
        <w:pStyle w:val="22"/>
        <w:numPr>
          <w:ilvl w:val="0"/>
          <w:numId w:val="14"/>
        </w:numPr>
        <w:tabs>
          <w:tab w:val="left" w:pos="1168"/>
        </w:tabs>
        <w:spacing w:before="165" w:after="0" w:line="240" w:lineRule="auto"/>
        <w:ind w:left="1167" w:right="0" w:hanging="530"/>
        <w:jc w:val="left"/>
        <w:rPr>
          <w:color w:val="auto"/>
          <w:sz w:val="21"/>
        </w:rPr>
      </w:pPr>
      <w:r>
        <w:rPr>
          <w:color w:val="auto"/>
          <w:sz w:val="21"/>
        </w:rPr>
        <w:t>服务承诺；</w:t>
      </w:r>
    </w:p>
    <w:p>
      <w:pPr>
        <w:pStyle w:val="22"/>
        <w:numPr>
          <w:ilvl w:val="0"/>
          <w:numId w:val="14"/>
        </w:numPr>
        <w:tabs>
          <w:tab w:val="left" w:pos="1168"/>
        </w:tabs>
        <w:spacing w:before="166" w:after="0" w:line="240" w:lineRule="auto"/>
        <w:ind w:left="1167" w:right="0" w:hanging="530"/>
        <w:jc w:val="left"/>
        <w:rPr>
          <w:color w:val="auto"/>
          <w:sz w:val="21"/>
        </w:rPr>
      </w:pPr>
      <w:r>
        <w:rPr>
          <w:color w:val="auto"/>
          <w:sz w:val="21"/>
        </w:rPr>
        <w:t>投标人拟投入本项目的设备、人员情况一览表；</w:t>
      </w:r>
    </w:p>
    <w:p>
      <w:pPr>
        <w:pStyle w:val="22"/>
        <w:numPr>
          <w:ilvl w:val="0"/>
          <w:numId w:val="14"/>
        </w:numPr>
        <w:tabs>
          <w:tab w:val="left" w:pos="1168"/>
        </w:tabs>
        <w:spacing w:before="168" w:after="0" w:line="240" w:lineRule="auto"/>
        <w:ind w:left="1167" w:right="0" w:hanging="530"/>
        <w:jc w:val="left"/>
        <w:rPr>
          <w:color w:val="auto"/>
          <w:sz w:val="21"/>
        </w:rPr>
      </w:pPr>
      <w:r>
        <w:rPr>
          <w:color w:val="auto"/>
          <w:sz w:val="21"/>
        </w:rPr>
        <w:t>供应商认为需要提供的其他技术资料。</w:t>
      </w:r>
    </w:p>
    <w:p>
      <w:pPr>
        <w:pStyle w:val="7"/>
        <w:spacing w:before="165"/>
        <w:rPr>
          <w:color w:val="auto"/>
        </w:rPr>
      </w:pPr>
      <w:r>
        <w:rPr>
          <w:color w:val="auto"/>
        </w:rPr>
        <w:t>10、投标文件的价格部分</w:t>
      </w:r>
    </w:p>
    <w:p>
      <w:pPr>
        <w:pStyle w:val="22"/>
        <w:numPr>
          <w:ilvl w:val="1"/>
          <w:numId w:val="15"/>
        </w:numPr>
        <w:tabs>
          <w:tab w:val="left" w:pos="1112"/>
        </w:tabs>
        <w:spacing w:before="166" w:after="0" w:line="386" w:lineRule="auto"/>
        <w:ind w:left="218" w:right="231" w:firstLine="420"/>
        <w:jc w:val="both"/>
        <w:rPr>
          <w:color w:val="auto"/>
          <w:sz w:val="21"/>
        </w:rPr>
      </w:pPr>
      <w:r>
        <w:rPr>
          <w:color w:val="auto"/>
          <w:spacing w:val="-1"/>
          <w:sz w:val="21"/>
        </w:rPr>
        <w:t>价格部分是对采购标的价格构成的说明，招标文件如无特别说明，每一项货物及服务仅接</w:t>
      </w:r>
      <w:r>
        <w:rPr>
          <w:color w:val="auto"/>
          <w:sz w:val="21"/>
        </w:rPr>
        <w:t>受一个价格。</w:t>
      </w:r>
    </w:p>
    <w:p>
      <w:pPr>
        <w:pStyle w:val="22"/>
        <w:numPr>
          <w:ilvl w:val="1"/>
          <w:numId w:val="15"/>
        </w:numPr>
        <w:tabs>
          <w:tab w:val="left" w:pos="1112"/>
        </w:tabs>
        <w:spacing w:before="4" w:after="0" w:line="386" w:lineRule="auto"/>
        <w:ind w:left="218" w:right="232" w:firstLine="420"/>
        <w:jc w:val="both"/>
        <w:rPr>
          <w:color w:val="auto"/>
          <w:sz w:val="21"/>
        </w:rPr>
      </w:pPr>
      <w:r>
        <w:rPr>
          <w:color w:val="auto"/>
          <w:spacing w:val="-1"/>
          <w:sz w:val="21"/>
        </w:rPr>
        <w:t>报价应包含本次招标标的有关的所有费用，以及技术资料、支付给员工的工资和国家强制</w:t>
      </w:r>
      <w:r>
        <w:rPr>
          <w:color w:val="auto"/>
          <w:sz w:val="21"/>
        </w:rPr>
        <w:t>缴纳的各种社会保障资金，以及投标人认为需要的其他费用等</w:t>
      </w:r>
      <w:r>
        <w:rPr>
          <w:b/>
          <w:color w:val="auto"/>
          <w:sz w:val="21"/>
        </w:rPr>
        <w:t>。</w:t>
      </w:r>
    </w:p>
    <w:p>
      <w:pPr>
        <w:pStyle w:val="22"/>
        <w:numPr>
          <w:ilvl w:val="1"/>
          <w:numId w:val="15"/>
        </w:numPr>
        <w:tabs>
          <w:tab w:val="left" w:pos="1112"/>
        </w:tabs>
        <w:spacing w:before="3" w:after="0" w:line="388" w:lineRule="auto"/>
        <w:ind w:left="218" w:right="232" w:firstLine="420"/>
        <w:jc w:val="both"/>
        <w:rPr>
          <w:color w:val="auto"/>
          <w:sz w:val="21"/>
        </w:rPr>
      </w:pPr>
      <w:r>
        <w:rPr>
          <w:color w:val="auto"/>
          <w:spacing w:val="-1"/>
          <w:sz w:val="21"/>
        </w:rPr>
        <w:t>投标人的任何错漏、优惠、竞争性报价不得作为减轻责任、减少服务、增加收费、降低质</w:t>
      </w:r>
      <w:r>
        <w:rPr>
          <w:color w:val="auto"/>
          <w:sz w:val="21"/>
        </w:rPr>
        <w:t>量的理由。</w:t>
      </w:r>
    </w:p>
    <w:p>
      <w:pPr>
        <w:pStyle w:val="22"/>
        <w:numPr>
          <w:ilvl w:val="1"/>
          <w:numId w:val="15"/>
        </w:numPr>
        <w:tabs>
          <w:tab w:val="left" w:pos="1112"/>
        </w:tabs>
        <w:spacing w:before="0" w:after="0" w:line="386" w:lineRule="auto"/>
        <w:ind w:left="218" w:right="229" w:firstLine="420"/>
        <w:jc w:val="both"/>
        <w:rPr>
          <w:color w:val="auto"/>
          <w:sz w:val="21"/>
        </w:rPr>
      </w:pPr>
      <w:r>
        <w:rPr>
          <w:color w:val="auto"/>
          <w:spacing w:val="-1"/>
          <w:sz w:val="21"/>
        </w:rPr>
        <w:t>评标委员会认为投标人的报价明显低于其他通过符合性审查的投标人的报价，有可能影响</w:t>
      </w:r>
      <w:r>
        <w:rPr>
          <w:color w:val="auto"/>
          <w:sz w:val="21"/>
        </w:rPr>
        <w:t>产品质量或者不能诚信履约的，应当要求其在评标现场合理的时间内提供书面说明，必要时提交相关证明材料；投标人不能证明其报价合理性的，评标委员会应当将其作为</w:t>
      </w:r>
      <w:r>
        <w:rPr>
          <w:b/>
          <w:color w:val="auto"/>
          <w:sz w:val="21"/>
        </w:rPr>
        <w:t>无效投标处理</w:t>
      </w:r>
      <w:r>
        <w:rPr>
          <w:color w:val="auto"/>
          <w:sz w:val="21"/>
        </w:rPr>
        <w:t>。</w:t>
      </w:r>
    </w:p>
    <w:p>
      <w:pPr>
        <w:pStyle w:val="22"/>
        <w:numPr>
          <w:ilvl w:val="1"/>
          <w:numId w:val="15"/>
        </w:numPr>
        <w:tabs>
          <w:tab w:val="left" w:pos="1112"/>
        </w:tabs>
        <w:spacing w:before="4" w:after="0" w:line="388" w:lineRule="auto"/>
        <w:ind w:left="218" w:right="229" w:firstLine="420"/>
        <w:jc w:val="both"/>
        <w:rPr>
          <w:color w:val="auto"/>
          <w:sz w:val="21"/>
        </w:rPr>
      </w:pPr>
      <w:r>
        <w:rPr>
          <w:color w:val="auto"/>
          <w:spacing w:val="-1"/>
          <w:sz w:val="21"/>
        </w:rPr>
        <w:t>投标人应在《开标一览表》、《分项报价》等标明投标货物和服务的单价、总价以及分项</w:t>
      </w:r>
      <w:r>
        <w:rPr>
          <w:color w:val="auto"/>
          <w:sz w:val="21"/>
        </w:rPr>
        <w:t>报价。投标人系</w:t>
      </w:r>
      <w:r>
        <w:rPr>
          <w:b/>
          <w:color w:val="auto"/>
          <w:sz w:val="21"/>
        </w:rPr>
        <w:t>小型、微型企业，并提供本企业制造的货物、承担的工程或者服务，</w:t>
      </w:r>
      <w:r>
        <w:rPr>
          <w:color w:val="auto"/>
          <w:sz w:val="21"/>
        </w:rPr>
        <w:t>或者提供其他小型、微型企业制造的货物，须在《开标一览表》、《分项报价》中注明。</w:t>
      </w:r>
    </w:p>
    <w:p>
      <w:pPr>
        <w:spacing w:after="0" w:line="388" w:lineRule="auto"/>
        <w:jc w:val="both"/>
        <w:rPr>
          <w:color w:val="auto"/>
          <w:sz w:val="21"/>
        </w:rPr>
        <w:sectPr>
          <w:footerReference r:id="rId13" w:type="default"/>
          <w:pgSz w:w="11910" w:h="16840"/>
          <w:pgMar w:top="1460" w:right="1180" w:bottom="1080" w:left="1200" w:header="0" w:footer="886" w:gutter="0"/>
          <w:cols w:space="720" w:num="1"/>
        </w:sectPr>
      </w:pPr>
    </w:p>
    <w:p>
      <w:pPr>
        <w:pStyle w:val="22"/>
        <w:numPr>
          <w:ilvl w:val="1"/>
          <w:numId w:val="15"/>
        </w:numPr>
        <w:tabs>
          <w:tab w:val="left" w:pos="1093"/>
        </w:tabs>
        <w:spacing w:before="44" w:after="0" w:line="386" w:lineRule="auto"/>
        <w:ind w:left="218" w:right="126" w:firstLine="420"/>
        <w:jc w:val="left"/>
        <w:rPr>
          <w:color w:val="auto"/>
          <w:sz w:val="21"/>
        </w:rPr>
      </w:pPr>
      <w:r>
        <w:rPr>
          <w:color w:val="auto"/>
          <w:spacing w:val="-3"/>
          <w:sz w:val="21"/>
        </w:rPr>
        <w:t>《开标一览表》一式两份，一份装订在投标文件中，一份单独封装，并标明“开标一览表”</w:t>
      </w:r>
      <w:r>
        <w:rPr>
          <w:color w:val="auto"/>
          <w:spacing w:val="-102"/>
          <w:sz w:val="21"/>
        </w:rPr>
        <w:t xml:space="preserve"> </w:t>
      </w:r>
      <w:r>
        <w:rPr>
          <w:color w:val="auto"/>
          <w:sz w:val="21"/>
        </w:rPr>
        <w:t>字样，随投标文件一并递交，以便唱标时使用。</w:t>
      </w:r>
    </w:p>
    <w:p>
      <w:pPr>
        <w:pStyle w:val="7"/>
        <w:numPr>
          <w:ilvl w:val="1"/>
          <w:numId w:val="15"/>
        </w:numPr>
        <w:tabs>
          <w:tab w:val="left" w:pos="1112"/>
        </w:tabs>
        <w:spacing w:before="5" w:after="0" w:line="240" w:lineRule="auto"/>
        <w:ind w:left="1111" w:right="0" w:hanging="474"/>
        <w:jc w:val="left"/>
        <w:rPr>
          <w:color w:val="auto"/>
        </w:rPr>
      </w:pPr>
      <w:r>
        <w:rPr>
          <w:color w:val="auto"/>
        </w:rPr>
        <w:t>本项目预算为：详见第一章</w:t>
      </w:r>
      <w:r>
        <w:rPr>
          <w:b w:val="0"/>
          <w:color w:val="auto"/>
        </w:rPr>
        <w:t>。</w:t>
      </w:r>
    </w:p>
    <w:p>
      <w:pPr>
        <w:pStyle w:val="7"/>
        <w:spacing w:before="166"/>
        <w:rPr>
          <w:color w:val="auto"/>
        </w:rPr>
      </w:pPr>
      <w:r>
        <w:rPr>
          <w:color w:val="auto"/>
        </w:rPr>
        <w:t>11、投标文件的其他部分</w:t>
      </w:r>
    </w:p>
    <w:p>
      <w:pPr>
        <w:pStyle w:val="8"/>
        <w:spacing w:before="165"/>
        <w:ind w:left="638"/>
        <w:rPr>
          <w:color w:val="auto"/>
        </w:rPr>
      </w:pPr>
      <w:r>
        <w:rPr>
          <w:color w:val="auto"/>
        </w:rPr>
        <w:t>11.1</w:t>
      </w:r>
      <w:r>
        <w:rPr>
          <w:color w:val="auto"/>
          <w:spacing w:val="-2"/>
        </w:rPr>
        <w:t xml:space="preserve"> 其他部分由投标人根据编制投标文件需要提供的其他相关文件组成。</w:t>
      </w:r>
    </w:p>
    <w:p>
      <w:pPr>
        <w:pStyle w:val="7"/>
        <w:spacing w:before="165"/>
        <w:rPr>
          <w:color w:val="auto"/>
        </w:rPr>
      </w:pPr>
      <w:r>
        <w:rPr>
          <w:color w:val="auto"/>
        </w:rPr>
        <w:t>12、投标保证金：本项目无须缴纳投标保证金</w:t>
      </w:r>
    </w:p>
    <w:p>
      <w:pPr>
        <w:pStyle w:val="7"/>
        <w:spacing w:before="168"/>
        <w:rPr>
          <w:color w:val="auto"/>
        </w:rPr>
      </w:pPr>
      <w:r>
        <w:rPr>
          <w:color w:val="auto"/>
        </w:rPr>
        <w:t>13、投标有效期</w:t>
      </w:r>
    </w:p>
    <w:p>
      <w:pPr>
        <w:pStyle w:val="7"/>
        <w:numPr>
          <w:ilvl w:val="1"/>
          <w:numId w:val="16"/>
        </w:numPr>
        <w:tabs>
          <w:tab w:val="left" w:pos="1165"/>
        </w:tabs>
        <w:spacing w:before="165" w:after="0" w:line="386" w:lineRule="auto"/>
        <w:ind w:left="218" w:right="229" w:firstLine="420"/>
        <w:jc w:val="left"/>
        <w:rPr>
          <w:color w:val="auto"/>
        </w:rPr>
      </w:pPr>
      <w:r>
        <w:rPr>
          <w:b w:val="0"/>
          <w:color w:val="auto"/>
          <w:spacing w:val="-6"/>
        </w:rPr>
        <w:t xml:space="preserve">自开标之日起 </w:t>
      </w:r>
      <w:r>
        <w:rPr>
          <w:color w:val="auto"/>
          <w:spacing w:val="-1"/>
        </w:rPr>
        <w:t>90</w:t>
      </w:r>
      <w:r>
        <w:rPr>
          <w:color w:val="auto"/>
          <w:spacing w:val="-34"/>
        </w:rPr>
        <w:t xml:space="preserve"> </w:t>
      </w:r>
      <w:r>
        <w:rPr>
          <w:b w:val="0"/>
          <w:color w:val="auto"/>
          <w:spacing w:val="-1"/>
        </w:rPr>
        <w:t>天内投标有效</w:t>
      </w:r>
      <w:r>
        <w:rPr>
          <w:color w:val="auto"/>
          <w:spacing w:val="-1"/>
        </w:rPr>
        <w:t>，投标有效期从提交投标文件的截止之日起算。投标文件</w:t>
      </w:r>
      <w:r>
        <w:rPr>
          <w:color w:val="auto"/>
        </w:rPr>
        <w:t>中承诺的投标有效期应当不少于招标文件中载明的投标有效期。</w:t>
      </w:r>
    </w:p>
    <w:p>
      <w:pPr>
        <w:pStyle w:val="22"/>
        <w:numPr>
          <w:ilvl w:val="1"/>
          <w:numId w:val="16"/>
        </w:numPr>
        <w:tabs>
          <w:tab w:val="left" w:pos="1112"/>
        </w:tabs>
        <w:spacing w:before="3" w:after="0" w:line="388" w:lineRule="auto"/>
        <w:ind w:left="218" w:right="230" w:firstLine="420"/>
        <w:jc w:val="left"/>
        <w:rPr>
          <w:color w:val="auto"/>
          <w:sz w:val="21"/>
        </w:rPr>
      </w:pPr>
      <w:r>
        <w:rPr>
          <w:color w:val="auto"/>
          <w:spacing w:val="-1"/>
          <w:sz w:val="21"/>
        </w:rPr>
        <w:t>特殊情况下，在原投标有效期截止之前，招标办可要求投标人同意延长投标有效期，这种</w:t>
      </w:r>
      <w:r>
        <w:rPr>
          <w:color w:val="auto"/>
          <w:sz w:val="21"/>
        </w:rPr>
        <w:t>要求与答复均应以书面形式提交。</w:t>
      </w:r>
    </w:p>
    <w:p>
      <w:pPr>
        <w:pStyle w:val="7"/>
        <w:spacing w:line="268" w:lineRule="exact"/>
        <w:rPr>
          <w:color w:val="auto"/>
        </w:rPr>
      </w:pPr>
      <w:r>
        <w:rPr>
          <w:color w:val="auto"/>
        </w:rPr>
        <w:t>14、投标文件签署</w:t>
      </w:r>
    </w:p>
    <w:p>
      <w:pPr>
        <w:pStyle w:val="8"/>
        <w:spacing w:before="166" w:line="386" w:lineRule="auto"/>
        <w:ind w:left="218" w:right="233" w:firstLine="420"/>
        <w:rPr>
          <w:color w:val="auto"/>
        </w:rPr>
      </w:pPr>
      <w:r>
        <w:rPr>
          <w:color w:val="auto"/>
        </w:rPr>
        <w:t>14.1 投标文件的正本和副本均应由投标人法人代表或经正式授权并对投标人有约束力的委托代理人签字，如果它们之间内容有差异，则以正本为准。</w:t>
      </w:r>
    </w:p>
    <w:p>
      <w:pPr>
        <w:pStyle w:val="7"/>
        <w:spacing w:before="5"/>
        <w:rPr>
          <w:color w:val="auto"/>
        </w:rPr>
      </w:pPr>
      <w:r>
        <w:rPr>
          <w:color w:val="auto"/>
        </w:rPr>
        <w:t>15、投标费用</w:t>
      </w:r>
    </w:p>
    <w:p>
      <w:pPr>
        <w:pStyle w:val="8"/>
        <w:spacing w:before="165" w:line="386" w:lineRule="auto"/>
        <w:ind w:left="218" w:right="232" w:firstLine="420"/>
        <w:rPr>
          <w:color w:val="auto"/>
        </w:rPr>
      </w:pPr>
      <w:r>
        <w:rPr>
          <w:color w:val="auto"/>
          <w:spacing w:val="-1"/>
        </w:rPr>
        <w:t>15.1</w:t>
      </w:r>
      <w:r>
        <w:rPr>
          <w:color w:val="auto"/>
          <w:spacing w:val="-9"/>
        </w:rPr>
        <w:t xml:space="preserve"> 投标人应承担所有与准备和参加投标有关的费用，无论采购结果如何，招标办和采购人在</w:t>
      </w:r>
      <w:r>
        <w:rPr>
          <w:color w:val="auto"/>
        </w:rPr>
        <w:t>任何情况下均无义务和责任承担这些费用。</w:t>
      </w:r>
    </w:p>
    <w:p>
      <w:pPr>
        <w:pStyle w:val="7"/>
        <w:spacing w:before="3"/>
        <w:rPr>
          <w:color w:val="auto"/>
        </w:rPr>
      </w:pPr>
      <w:r>
        <w:rPr>
          <w:color w:val="auto"/>
          <w:spacing w:val="-1"/>
        </w:rPr>
        <w:t>四、投标文件的递交</w:t>
      </w:r>
    </w:p>
    <w:p>
      <w:pPr>
        <w:pStyle w:val="7"/>
        <w:spacing w:before="167"/>
        <w:rPr>
          <w:color w:val="auto"/>
        </w:rPr>
      </w:pPr>
      <w:r>
        <w:rPr>
          <w:color w:val="auto"/>
        </w:rPr>
        <w:t>16、投标文件的密封和递交</w:t>
      </w:r>
    </w:p>
    <w:p>
      <w:pPr>
        <w:pStyle w:val="22"/>
        <w:numPr>
          <w:ilvl w:val="1"/>
          <w:numId w:val="17"/>
        </w:numPr>
        <w:tabs>
          <w:tab w:val="left" w:pos="1165"/>
        </w:tabs>
        <w:spacing w:before="166" w:after="0" w:line="386" w:lineRule="auto"/>
        <w:ind w:left="218" w:right="232" w:firstLine="420"/>
        <w:jc w:val="both"/>
        <w:rPr>
          <w:color w:val="auto"/>
          <w:sz w:val="21"/>
        </w:rPr>
      </w:pPr>
      <w:r>
        <w:rPr>
          <w:b/>
          <w:color w:val="auto"/>
          <w:w w:val="100"/>
          <w:sz w:val="21"/>
        </w:rPr>
        <w:t>投标人的投标文件一式伍份（</w:t>
      </w:r>
      <w:r>
        <w:rPr>
          <w:b/>
          <w:color w:val="auto"/>
          <w:spacing w:val="-1"/>
          <w:w w:val="100"/>
          <w:sz w:val="21"/>
        </w:rPr>
        <w:t>正本一份、副本肆份</w:t>
      </w:r>
      <w:r>
        <w:rPr>
          <w:b/>
          <w:color w:val="auto"/>
          <w:spacing w:val="-104"/>
          <w:w w:val="100"/>
          <w:sz w:val="21"/>
        </w:rPr>
        <w:t>）</w:t>
      </w:r>
      <w:r>
        <w:rPr>
          <w:b/>
          <w:color w:val="auto"/>
          <w:spacing w:val="-2"/>
          <w:w w:val="100"/>
          <w:sz w:val="21"/>
        </w:rPr>
        <w:t>，所有投标文件均应密封后递交。</w:t>
      </w:r>
      <w:r>
        <w:rPr>
          <w:color w:val="auto"/>
          <w:spacing w:val="-13"/>
          <w:w w:val="100"/>
          <w:sz w:val="21"/>
        </w:rPr>
        <w:t>每</w:t>
      </w:r>
      <w:r>
        <w:rPr>
          <w:color w:val="auto"/>
          <w:sz w:val="21"/>
        </w:rPr>
        <w:t>套投标文件须清楚标明“正本”、“副本”。如果它们之间内容有差异，以正本为准。</w:t>
      </w:r>
    </w:p>
    <w:p>
      <w:pPr>
        <w:pStyle w:val="7"/>
        <w:numPr>
          <w:ilvl w:val="1"/>
          <w:numId w:val="17"/>
        </w:numPr>
        <w:tabs>
          <w:tab w:val="left" w:pos="1112"/>
        </w:tabs>
        <w:spacing w:before="2" w:after="0" w:line="388" w:lineRule="auto"/>
        <w:ind w:left="218" w:right="164" w:firstLine="420"/>
        <w:jc w:val="both"/>
        <w:rPr>
          <w:color w:val="auto"/>
        </w:rPr>
      </w:pPr>
      <w:r>
        <w:rPr>
          <w:color w:val="auto"/>
        </w:rPr>
        <w:t>投标文件正本和所有副本均需打印或用不褪色墨水书写，并由投标人的法定代表人或授权代表签字并在招标文件中注明须加盖公章的地方加盖公章，如为授权代表签字的应附“法定代表人</w:t>
      </w:r>
      <w:r>
        <w:rPr>
          <w:color w:val="auto"/>
          <w:spacing w:val="-12"/>
          <w:w w:val="100"/>
        </w:rPr>
        <w:t>授权委托书”，正本必须为原件，但投标人的相关证明文件可采用复印件，采用复印件的，招标办、</w:t>
      </w:r>
      <w:r>
        <w:rPr>
          <w:color w:val="auto"/>
        </w:rPr>
        <w:t>评标委员会认为需要时，投标人应提供原件供核对。</w:t>
      </w:r>
    </w:p>
    <w:p>
      <w:pPr>
        <w:pStyle w:val="22"/>
        <w:numPr>
          <w:ilvl w:val="1"/>
          <w:numId w:val="17"/>
        </w:numPr>
        <w:tabs>
          <w:tab w:val="left" w:pos="1112"/>
        </w:tabs>
        <w:spacing w:before="0" w:after="0" w:line="388" w:lineRule="auto"/>
        <w:ind w:left="218" w:right="232" w:firstLine="420"/>
        <w:jc w:val="both"/>
        <w:rPr>
          <w:color w:val="auto"/>
          <w:sz w:val="21"/>
        </w:rPr>
      </w:pPr>
      <w:r>
        <w:rPr>
          <w:color w:val="auto"/>
          <w:spacing w:val="-1"/>
          <w:sz w:val="21"/>
        </w:rPr>
        <w:t>投标文件不应有涂改、增删之处，如必须修改时，修改处必须有投标人法定代表人或授权</w:t>
      </w:r>
      <w:r>
        <w:rPr>
          <w:color w:val="auto"/>
          <w:sz w:val="21"/>
        </w:rPr>
        <w:t>代表签字。</w:t>
      </w:r>
    </w:p>
    <w:p>
      <w:pPr>
        <w:pStyle w:val="22"/>
        <w:numPr>
          <w:ilvl w:val="1"/>
          <w:numId w:val="17"/>
        </w:numPr>
        <w:tabs>
          <w:tab w:val="left" w:pos="1112"/>
        </w:tabs>
        <w:spacing w:before="0" w:after="0" w:line="386" w:lineRule="auto"/>
        <w:ind w:left="218" w:right="123" w:firstLine="420"/>
        <w:jc w:val="both"/>
        <w:rPr>
          <w:color w:val="auto"/>
          <w:sz w:val="21"/>
        </w:rPr>
      </w:pPr>
      <w:r>
        <w:rPr>
          <w:color w:val="auto"/>
          <w:spacing w:val="-7"/>
          <w:sz w:val="21"/>
        </w:rPr>
        <w:t xml:space="preserve">投标文件提倡按照 </w:t>
      </w:r>
      <w:r>
        <w:rPr>
          <w:color w:val="auto"/>
          <w:spacing w:val="-1"/>
          <w:sz w:val="21"/>
        </w:rPr>
        <w:t>A4</w:t>
      </w:r>
      <w:r>
        <w:rPr>
          <w:color w:val="auto"/>
          <w:spacing w:val="-12"/>
          <w:sz w:val="21"/>
        </w:rPr>
        <w:t xml:space="preserve"> 幅面打印或复印并进行装订，如有资料超过 </w:t>
      </w:r>
      <w:r>
        <w:rPr>
          <w:color w:val="auto"/>
          <w:sz w:val="21"/>
        </w:rPr>
        <w:t>A4</w:t>
      </w:r>
      <w:r>
        <w:rPr>
          <w:color w:val="auto"/>
          <w:spacing w:val="-16"/>
          <w:sz w:val="21"/>
        </w:rPr>
        <w:t xml:space="preserve"> 幅面折叠成 </w:t>
      </w:r>
      <w:r>
        <w:rPr>
          <w:color w:val="auto"/>
          <w:sz w:val="21"/>
        </w:rPr>
        <w:t>A4</w:t>
      </w:r>
      <w:r>
        <w:rPr>
          <w:color w:val="auto"/>
          <w:spacing w:val="-14"/>
          <w:sz w:val="21"/>
        </w:rPr>
        <w:t xml:space="preserve"> 幅面；</w:t>
      </w:r>
      <w:r>
        <w:rPr>
          <w:color w:val="auto"/>
          <w:spacing w:val="-103"/>
          <w:sz w:val="21"/>
        </w:rPr>
        <w:t xml:space="preserve"> </w:t>
      </w:r>
      <w:r>
        <w:rPr>
          <w:color w:val="auto"/>
          <w:sz w:val="21"/>
        </w:rPr>
        <w:t>投标文件装订提倡采用胶装的形式。</w:t>
      </w:r>
    </w:p>
    <w:p>
      <w:pPr>
        <w:pStyle w:val="22"/>
        <w:numPr>
          <w:ilvl w:val="1"/>
          <w:numId w:val="17"/>
        </w:numPr>
        <w:tabs>
          <w:tab w:val="left" w:pos="1165"/>
        </w:tabs>
        <w:spacing w:before="0" w:after="0" w:line="388" w:lineRule="auto"/>
        <w:ind w:left="218" w:right="164" w:firstLine="420"/>
        <w:jc w:val="both"/>
        <w:rPr>
          <w:color w:val="auto"/>
          <w:sz w:val="21"/>
        </w:rPr>
      </w:pPr>
      <w:r>
        <w:rPr>
          <w:color w:val="auto"/>
          <w:sz w:val="21"/>
        </w:rPr>
        <w:t>投标人应当在招标文件要求提交投标文件的截止时间前，将投标文件密封送达投标地点。任何单位和个人不得在开标前开启投标文件。</w:t>
      </w:r>
    </w:p>
    <w:p>
      <w:pPr>
        <w:pStyle w:val="7"/>
        <w:spacing w:line="268" w:lineRule="exact"/>
        <w:rPr>
          <w:color w:val="auto"/>
        </w:rPr>
      </w:pPr>
      <w:r>
        <w:rPr>
          <w:color w:val="auto"/>
        </w:rPr>
        <w:t>17、有下列情形的投标文件将被拒收：</w:t>
      </w:r>
    </w:p>
    <w:p>
      <w:pPr>
        <w:spacing w:after="0" w:line="268" w:lineRule="exact"/>
        <w:rPr>
          <w:color w:val="auto"/>
        </w:rPr>
        <w:sectPr>
          <w:footerReference r:id="rId14" w:type="default"/>
          <w:pgSz w:w="11910" w:h="16840"/>
          <w:pgMar w:top="1460" w:right="1180" w:bottom="1080" w:left="1200" w:header="0" w:footer="886" w:gutter="0"/>
          <w:cols w:space="720" w:num="1"/>
        </w:sectPr>
      </w:pPr>
    </w:p>
    <w:p>
      <w:pPr>
        <w:pStyle w:val="22"/>
        <w:numPr>
          <w:ilvl w:val="1"/>
          <w:numId w:val="18"/>
        </w:numPr>
        <w:tabs>
          <w:tab w:val="left" w:pos="1112"/>
        </w:tabs>
        <w:spacing w:before="44" w:after="0" w:line="240" w:lineRule="auto"/>
        <w:ind w:left="1111" w:right="0" w:hanging="474"/>
        <w:jc w:val="left"/>
        <w:rPr>
          <w:color w:val="auto"/>
          <w:sz w:val="21"/>
        </w:rPr>
      </w:pPr>
      <w:r>
        <w:rPr>
          <w:color w:val="auto"/>
          <w:sz w:val="21"/>
        </w:rPr>
        <w:t>逾期送达的；</w:t>
      </w:r>
    </w:p>
    <w:p>
      <w:pPr>
        <w:pStyle w:val="22"/>
        <w:numPr>
          <w:ilvl w:val="1"/>
          <w:numId w:val="18"/>
        </w:numPr>
        <w:tabs>
          <w:tab w:val="left" w:pos="1112"/>
        </w:tabs>
        <w:spacing w:before="166" w:after="0" w:line="240" w:lineRule="auto"/>
        <w:ind w:left="1111" w:right="0" w:hanging="474"/>
        <w:jc w:val="left"/>
        <w:rPr>
          <w:color w:val="auto"/>
          <w:sz w:val="21"/>
        </w:rPr>
      </w:pPr>
      <w:r>
        <w:rPr>
          <w:color w:val="auto"/>
          <w:sz w:val="21"/>
        </w:rPr>
        <w:t>未按照招标文件要求密封的。</w:t>
      </w:r>
    </w:p>
    <w:p>
      <w:pPr>
        <w:pStyle w:val="7"/>
        <w:spacing w:before="168"/>
        <w:rPr>
          <w:color w:val="auto"/>
        </w:rPr>
      </w:pPr>
      <w:r>
        <w:rPr>
          <w:color w:val="auto"/>
        </w:rPr>
        <w:t>18、投标文件的修改和撤回</w:t>
      </w:r>
    </w:p>
    <w:p>
      <w:pPr>
        <w:pStyle w:val="22"/>
        <w:numPr>
          <w:ilvl w:val="1"/>
          <w:numId w:val="19"/>
        </w:numPr>
        <w:tabs>
          <w:tab w:val="left" w:pos="1112"/>
        </w:tabs>
        <w:spacing w:before="165" w:after="0" w:line="386" w:lineRule="auto"/>
        <w:ind w:left="218" w:right="230" w:firstLine="420"/>
        <w:jc w:val="both"/>
        <w:rPr>
          <w:color w:val="auto"/>
          <w:sz w:val="21"/>
        </w:rPr>
      </w:pPr>
      <w:r>
        <w:rPr>
          <w:color w:val="auto"/>
          <w:spacing w:val="-1"/>
          <w:sz w:val="21"/>
        </w:rPr>
        <w:t>投标人在投标截止时间前，可以对所递交的投标文件进行补充、修改或者撤回，并书面通</w:t>
      </w:r>
      <w:r>
        <w:rPr>
          <w:color w:val="auto"/>
          <w:sz w:val="21"/>
        </w:rPr>
        <w:t>知采购人或者招标办。补充、修改的内容应当按照招标文件要求签署、盖章、密封后，作为投标文件的组成部分。</w:t>
      </w:r>
    </w:p>
    <w:p>
      <w:pPr>
        <w:pStyle w:val="22"/>
        <w:numPr>
          <w:ilvl w:val="1"/>
          <w:numId w:val="19"/>
        </w:numPr>
        <w:tabs>
          <w:tab w:val="left" w:pos="1165"/>
        </w:tabs>
        <w:spacing w:before="6" w:after="0" w:line="240" w:lineRule="auto"/>
        <w:ind w:left="1164" w:right="0" w:hanging="527"/>
        <w:jc w:val="both"/>
        <w:rPr>
          <w:color w:val="auto"/>
          <w:sz w:val="21"/>
        </w:rPr>
      </w:pPr>
      <w:r>
        <w:rPr>
          <w:color w:val="auto"/>
          <w:sz w:val="21"/>
        </w:rPr>
        <w:t>投标截止时间之后，投标文件不得撤回。</w:t>
      </w:r>
    </w:p>
    <w:p>
      <w:pPr>
        <w:pStyle w:val="7"/>
        <w:spacing w:before="165"/>
        <w:rPr>
          <w:color w:val="auto"/>
        </w:rPr>
      </w:pPr>
      <w:r>
        <w:rPr>
          <w:color w:val="auto"/>
        </w:rPr>
        <w:t>19、诚实信用</w:t>
      </w:r>
    </w:p>
    <w:p>
      <w:pPr>
        <w:pStyle w:val="22"/>
        <w:numPr>
          <w:ilvl w:val="1"/>
          <w:numId w:val="20"/>
        </w:numPr>
        <w:tabs>
          <w:tab w:val="left" w:pos="1112"/>
        </w:tabs>
        <w:spacing w:before="166" w:after="0" w:line="388" w:lineRule="auto"/>
        <w:ind w:left="218" w:right="231" w:firstLine="420"/>
        <w:jc w:val="left"/>
        <w:rPr>
          <w:color w:val="auto"/>
          <w:sz w:val="21"/>
        </w:rPr>
      </w:pPr>
      <w:r>
        <w:rPr>
          <w:color w:val="auto"/>
          <w:spacing w:val="-1"/>
          <w:sz w:val="21"/>
        </w:rPr>
        <w:t>投标人应当遵循公平竞争的原则，不得恶意串通，不得妨碍其他投标人的竞争行为，不得</w:t>
      </w:r>
      <w:r>
        <w:rPr>
          <w:color w:val="auto"/>
          <w:sz w:val="21"/>
        </w:rPr>
        <w:t>损害采购人或者其他投标人的合法权益。</w:t>
      </w:r>
    </w:p>
    <w:p>
      <w:pPr>
        <w:pStyle w:val="22"/>
        <w:numPr>
          <w:ilvl w:val="1"/>
          <w:numId w:val="20"/>
        </w:numPr>
        <w:tabs>
          <w:tab w:val="left" w:pos="1112"/>
        </w:tabs>
        <w:spacing w:before="0" w:after="0" w:line="386" w:lineRule="auto"/>
        <w:ind w:left="218" w:right="232" w:firstLine="420"/>
        <w:jc w:val="left"/>
        <w:rPr>
          <w:color w:val="auto"/>
          <w:sz w:val="21"/>
        </w:rPr>
      </w:pPr>
      <w:r>
        <w:rPr>
          <w:color w:val="auto"/>
          <w:spacing w:val="-1"/>
          <w:sz w:val="21"/>
        </w:rPr>
        <w:t>在评标过程中发现投标人有上述情形的，评标委员会应当认定其投标无效，并书面报告本</w:t>
      </w:r>
      <w:r>
        <w:rPr>
          <w:color w:val="auto"/>
          <w:sz w:val="21"/>
        </w:rPr>
        <w:t>级财政部门。</w:t>
      </w:r>
    </w:p>
    <w:p>
      <w:pPr>
        <w:pStyle w:val="7"/>
        <w:spacing w:before="2"/>
        <w:rPr>
          <w:color w:val="auto"/>
        </w:rPr>
      </w:pPr>
      <w:r>
        <w:rPr>
          <w:color w:val="auto"/>
          <w:spacing w:val="-1"/>
        </w:rPr>
        <w:t>五、开标、评标与定标</w:t>
      </w:r>
    </w:p>
    <w:p>
      <w:pPr>
        <w:pStyle w:val="7"/>
        <w:spacing w:before="165"/>
        <w:rPr>
          <w:color w:val="auto"/>
        </w:rPr>
      </w:pPr>
      <w:r>
        <w:rPr>
          <w:color w:val="auto"/>
        </w:rPr>
        <w:t>20、开标</w:t>
      </w:r>
    </w:p>
    <w:p>
      <w:pPr>
        <w:pStyle w:val="22"/>
        <w:numPr>
          <w:ilvl w:val="1"/>
          <w:numId w:val="21"/>
        </w:numPr>
        <w:tabs>
          <w:tab w:val="left" w:pos="1165"/>
        </w:tabs>
        <w:spacing w:before="168" w:after="0" w:line="240" w:lineRule="auto"/>
        <w:ind w:left="1164" w:right="0" w:hanging="527"/>
        <w:jc w:val="both"/>
        <w:rPr>
          <w:color w:val="auto"/>
          <w:sz w:val="21"/>
        </w:rPr>
      </w:pPr>
      <w:r>
        <w:rPr>
          <w:color w:val="auto"/>
          <w:sz w:val="21"/>
        </w:rPr>
        <w:t>招标办将在招标文件确定的时间和地点进行公开开标。</w:t>
      </w:r>
    </w:p>
    <w:p>
      <w:pPr>
        <w:pStyle w:val="22"/>
        <w:numPr>
          <w:ilvl w:val="1"/>
          <w:numId w:val="21"/>
        </w:numPr>
        <w:tabs>
          <w:tab w:val="left" w:pos="1112"/>
        </w:tabs>
        <w:spacing w:before="165" w:after="0" w:line="388" w:lineRule="auto"/>
        <w:ind w:left="218" w:right="229" w:firstLine="420"/>
        <w:jc w:val="both"/>
        <w:rPr>
          <w:color w:val="auto"/>
          <w:sz w:val="21"/>
        </w:rPr>
      </w:pPr>
      <w:r>
        <w:rPr>
          <w:color w:val="auto"/>
          <w:spacing w:val="-1"/>
          <w:sz w:val="21"/>
        </w:rPr>
        <w:t>开标时，应当由投标人或者其推选的代表检查投标文件的密封情况；经确认无误后，由采</w:t>
      </w:r>
      <w:r>
        <w:rPr>
          <w:color w:val="auto"/>
          <w:sz w:val="21"/>
        </w:rPr>
        <w:t>购人或者招标办工作人员当众拆封，宣布投标人名称、投标价格和招标文件规定的需要宣布的其他内容。</w:t>
      </w:r>
    </w:p>
    <w:p>
      <w:pPr>
        <w:pStyle w:val="22"/>
        <w:numPr>
          <w:ilvl w:val="1"/>
          <w:numId w:val="21"/>
        </w:numPr>
        <w:tabs>
          <w:tab w:val="left" w:pos="1112"/>
        </w:tabs>
        <w:spacing w:before="0" w:after="0" w:line="267" w:lineRule="exact"/>
        <w:ind w:left="1111" w:right="0" w:hanging="474"/>
        <w:jc w:val="both"/>
        <w:rPr>
          <w:color w:val="auto"/>
          <w:sz w:val="21"/>
        </w:rPr>
      </w:pPr>
      <w:r>
        <w:rPr>
          <w:color w:val="auto"/>
          <w:spacing w:val="-9"/>
          <w:sz w:val="21"/>
        </w:rPr>
        <w:t xml:space="preserve">投标人不足 </w:t>
      </w:r>
      <w:r>
        <w:rPr>
          <w:color w:val="auto"/>
          <w:sz w:val="21"/>
        </w:rPr>
        <w:t>3</w:t>
      </w:r>
      <w:r>
        <w:rPr>
          <w:color w:val="auto"/>
          <w:spacing w:val="-8"/>
          <w:sz w:val="21"/>
        </w:rPr>
        <w:t xml:space="preserve"> 家的，不得开标。</w:t>
      </w:r>
    </w:p>
    <w:p>
      <w:pPr>
        <w:pStyle w:val="22"/>
        <w:numPr>
          <w:ilvl w:val="1"/>
          <w:numId w:val="21"/>
        </w:numPr>
        <w:tabs>
          <w:tab w:val="left" w:pos="1112"/>
        </w:tabs>
        <w:spacing w:before="166" w:after="0" w:line="386" w:lineRule="auto"/>
        <w:ind w:left="218" w:right="232" w:firstLine="420"/>
        <w:jc w:val="both"/>
        <w:rPr>
          <w:color w:val="auto"/>
          <w:sz w:val="21"/>
        </w:rPr>
      </w:pPr>
      <w:r>
        <w:rPr>
          <w:color w:val="auto"/>
          <w:spacing w:val="-1"/>
          <w:sz w:val="21"/>
        </w:rPr>
        <w:t>开标过程由招标办负责记录，由参加开标的各投标人代表和相关工作人员签字确认后随采</w:t>
      </w:r>
      <w:r>
        <w:rPr>
          <w:color w:val="auto"/>
          <w:sz w:val="21"/>
        </w:rPr>
        <w:t>购文件一并存档。</w:t>
      </w:r>
    </w:p>
    <w:p>
      <w:pPr>
        <w:pStyle w:val="8"/>
        <w:spacing w:before="2" w:line="388" w:lineRule="auto"/>
        <w:ind w:left="218" w:right="230" w:firstLine="420"/>
        <w:jc w:val="both"/>
        <w:rPr>
          <w:color w:val="auto"/>
        </w:rPr>
      </w:pPr>
      <w:r>
        <w:rPr>
          <w:color w:val="auto"/>
        </w:rPr>
        <w:t>投标人代表对开标过程和开标记录有疑义，以及认为采购人、招标办相关工作人员有需要回避的情形的，应当场提出询问或者回避申请。采购人、招标办对投标人代表提出的询问或者回避申请及时处理。</w:t>
      </w:r>
    </w:p>
    <w:p>
      <w:pPr>
        <w:pStyle w:val="22"/>
        <w:numPr>
          <w:ilvl w:val="1"/>
          <w:numId w:val="21"/>
        </w:numPr>
        <w:tabs>
          <w:tab w:val="left" w:pos="1112"/>
        </w:tabs>
        <w:spacing w:before="0" w:after="0" w:line="267" w:lineRule="exact"/>
        <w:ind w:left="1111" w:right="0" w:hanging="474"/>
        <w:jc w:val="both"/>
        <w:rPr>
          <w:color w:val="auto"/>
          <w:sz w:val="21"/>
        </w:rPr>
      </w:pPr>
      <w:r>
        <w:rPr>
          <w:color w:val="auto"/>
          <w:sz w:val="21"/>
        </w:rPr>
        <w:t>投标人未参加开标的，视同认可开标结果。</w:t>
      </w:r>
    </w:p>
    <w:p>
      <w:pPr>
        <w:pStyle w:val="22"/>
        <w:numPr>
          <w:ilvl w:val="1"/>
          <w:numId w:val="21"/>
        </w:numPr>
        <w:tabs>
          <w:tab w:val="left" w:pos="1112"/>
        </w:tabs>
        <w:spacing w:before="166" w:after="0" w:line="388" w:lineRule="auto"/>
        <w:ind w:left="218" w:right="232" w:firstLine="420"/>
        <w:jc w:val="both"/>
        <w:rPr>
          <w:color w:val="auto"/>
          <w:sz w:val="21"/>
        </w:rPr>
      </w:pPr>
      <w:r>
        <w:rPr>
          <w:color w:val="auto"/>
          <w:spacing w:val="-3"/>
          <w:sz w:val="21"/>
        </w:rPr>
        <w:t xml:space="preserve">公开招标数额标准以上的采购项目，投标截止后投标人不足 </w:t>
      </w:r>
      <w:r>
        <w:rPr>
          <w:color w:val="auto"/>
          <w:sz w:val="21"/>
        </w:rPr>
        <w:t>3</w:t>
      </w:r>
      <w:r>
        <w:rPr>
          <w:color w:val="auto"/>
          <w:spacing w:val="-8"/>
          <w:sz w:val="21"/>
        </w:rPr>
        <w:t xml:space="preserve"> 家或者通过资格审查或符合</w:t>
      </w:r>
      <w:r>
        <w:rPr>
          <w:color w:val="auto"/>
          <w:spacing w:val="-7"/>
          <w:sz w:val="21"/>
        </w:rPr>
        <w:t xml:space="preserve">性审查的投标人不足 </w:t>
      </w:r>
      <w:r>
        <w:rPr>
          <w:color w:val="auto"/>
          <w:sz w:val="21"/>
        </w:rPr>
        <w:t>3</w:t>
      </w:r>
      <w:r>
        <w:rPr>
          <w:color w:val="auto"/>
          <w:spacing w:val="-8"/>
          <w:sz w:val="21"/>
        </w:rPr>
        <w:t xml:space="preserve"> 家的，除采购任务取消情形外，按照以下方式处理：</w:t>
      </w:r>
    </w:p>
    <w:p>
      <w:pPr>
        <w:pStyle w:val="22"/>
        <w:numPr>
          <w:ilvl w:val="0"/>
          <w:numId w:val="22"/>
        </w:numPr>
        <w:tabs>
          <w:tab w:val="left" w:pos="1168"/>
        </w:tabs>
        <w:spacing w:before="0" w:after="0" w:line="386" w:lineRule="auto"/>
        <w:ind w:left="218" w:right="232" w:firstLine="420"/>
        <w:jc w:val="left"/>
        <w:rPr>
          <w:color w:val="auto"/>
          <w:sz w:val="21"/>
        </w:rPr>
      </w:pPr>
      <w:r>
        <w:rPr>
          <w:color w:val="auto"/>
          <w:sz w:val="21"/>
        </w:rPr>
        <w:t>招标文件存在不合理条款或者招标程序不符合规定的，采购人、招标办改正后依法重新招标；</w:t>
      </w:r>
    </w:p>
    <w:p>
      <w:pPr>
        <w:pStyle w:val="22"/>
        <w:numPr>
          <w:ilvl w:val="0"/>
          <w:numId w:val="22"/>
        </w:numPr>
        <w:tabs>
          <w:tab w:val="left" w:pos="1168"/>
        </w:tabs>
        <w:spacing w:before="2" w:after="0" w:line="388" w:lineRule="auto"/>
        <w:ind w:left="218" w:right="229" w:firstLine="420"/>
        <w:jc w:val="both"/>
        <w:rPr>
          <w:color w:val="auto"/>
          <w:sz w:val="21"/>
        </w:rPr>
      </w:pPr>
      <w:r>
        <w:rPr>
          <w:color w:val="auto"/>
          <w:spacing w:val="-2"/>
          <w:sz w:val="21"/>
        </w:rPr>
        <w:t>招标文件没有不合理条款、招标程序符合规定，需要采用其他采购方式采购的，采购人依</w:t>
      </w:r>
      <w:r>
        <w:rPr>
          <w:color w:val="auto"/>
          <w:sz w:val="21"/>
        </w:rPr>
        <w:t>法报财政部门批准，经批准后，可变更为其他采购方式采购。本次招标文件中对供应商资格条件要求、技术要求和商务等要求，将作为其他采购方式采购的基本要求和谈判依据。</w:t>
      </w:r>
    </w:p>
    <w:p>
      <w:pPr>
        <w:spacing w:after="0" w:line="388" w:lineRule="auto"/>
        <w:jc w:val="both"/>
        <w:rPr>
          <w:color w:val="auto"/>
          <w:sz w:val="21"/>
        </w:rPr>
        <w:sectPr>
          <w:footerReference r:id="rId15" w:type="default"/>
          <w:pgSz w:w="11910" w:h="16840"/>
          <w:pgMar w:top="1460" w:right="1180" w:bottom="1080" w:left="1200" w:header="0" w:footer="886" w:gutter="0"/>
          <w:cols w:space="720" w:num="1"/>
        </w:sectPr>
      </w:pPr>
    </w:p>
    <w:p>
      <w:pPr>
        <w:pStyle w:val="7"/>
        <w:spacing w:before="44"/>
        <w:rPr>
          <w:color w:val="auto"/>
        </w:rPr>
      </w:pPr>
      <w:r>
        <w:rPr>
          <w:color w:val="auto"/>
        </w:rPr>
        <w:t>21、评标</w:t>
      </w:r>
    </w:p>
    <w:p>
      <w:pPr>
        <w:pStyle w:val="7"/>
        <w:numPr>
          <w:ilvl w:val="1"/>
          <w:numId w:val="23"/>
        </w:numPr>
        <w:tabs>
          <w:tab w:val="left" w:pos="1165"/>
        </w:tabs>
        <w:spacing w:before="166" w:after="0" w:line="240" w:lineRule="auto"/>
        <w:ind w:left="1164" w:right="0" w:hanging="527"/>
        <w:jc w:val="left"/>
        <w:rPr>
          <w:color w:val="auto"/>
        </w:rPr>
      </w:pPr>
      <w:r>
        <w:rPr>
          <w:color w:val="auto"/>
        </w:rPr>
        <w:t>评标委员会</w:t>
      </w:r>
    </w:p>
    <w:p>
      <w:pPr>
        <w:pStyle w:val="22"/>
        <w:numPr>
          <w:ilvl w:val="2"/>
          <w:numId w:val="23"/>
        </w:numPr>
        <w:tabs>
          <w:tab w:val="left" w:pos="1323"/>
        </w:tabs>
        <w:spacing w:before="168" w:after="0" w:line="240" w:lineRule="auto"/>
        <w:ind w:left="1322" w:right="0" w:hanging="685"/>
        <w:jc w:val="left"/>
        <w:rPr>
          <w:b/>
          <w:color w:val="auto"/>
          <w:sz w:val="21"/>
        </w:rPr>
      </w:pPr>
      <w:r>
        <w:rPr>
          <w:color w:val="auto"/>
          <w:sz w:val="21"/>
        </w:rPr>
        <w:t>评标委员会负责具体评标事务，并独立履行下列职责：</w:t>
      </w:r>
    </w:p>
    <w:p>
      <w:pPr>
        <w:pStyle w:val="8"/>
        <w:spacing w:before="165"/>
        <w:ind w:left="638"/>
        <w:rPr>
          <w:color w:val="auto"/>
        </w:rPr>
      </w:pPr>
      <w:r>
        <w:rPr>
          <w:color w:val="auto"/>
        </w:rPr>
        <w:t>（一）审查、评价投标文件是否符合招标文件的商务、技术等实质性要求；</w:t>
      </w:r>
    </w:p>
    <w:p>
      <w:pPr>
        <w:pStyle w:val="8"/>
        <w:spacing w:before="165"/>
        <w:ind w:left="638"/>
        <w:rPr>
          <w:color w:val="auto"/>
        </w:rPr>
      </w:pPr>
      <w:r>
        <w:rPr>
          <w:color w:val="auto"/>
        </w:rPr>
        <w:t>（二）要求投标人对投标文件有关事项作出澄清或者说明；</w:t>
      </w:r>
    </w:p>
    <w:p>
      <w:pPr>
        <w:pStyle w:val="8"/>
        <w:spacing w:before="166"/>
        <w:ind w:left="638"/>
        <w:rPr>
          <w:color w:val="auto"/>
        </w:rPr>
      </w:pPr>
      <w:r>
        <w:rPr>
          <w:color w:val="auto"/>
        </w:rPr>
        <w:t>（三）对投标文件进行比较和评价；</w:t>
      </w:r>
    </w:p>
    <w:p>
      <w:pPr>
        <w:pStyle w:val="8"/>
        <w:spacing w:before="167"/>
        <w:ind w:left="638"/>
        <w:rPr>
          <w:color w:val="auto"/>
        </w:rPr>
      </w:pPr>
      <w:r>
        <w:rPr>
          <w:color w:val="auto"/>
          <w:spacing w:val="-1"/>
        </w:rPr>
        <w:t>（四）确定中标候选人名单，以及根据采购人委托直接确定中标人；</w:t>
      </w:r>
    </w:p>
    <w:p>
      <w:pPr>
        <w:pStyle w:val="8"/>
        <w:spacing w:before="166"/>
        <w:ind w:left="638"/>
        <w:rPr>
          <w:color w:val="auto"/>
        </w:rPr>
      </w:pPr>
      <w:r>
        <w:rPr>
          <w:color w:val="auto"/>
          <w:spacing w:val="-1"/>
        </w:rPr>
        <w:t>（五）</w:t>
      </w:r>
      <w:r>
        <w:rPr>
          <w:color w:val="auto"/>
        </w:rPr>
        <w:t>向采购人、招标办或者有关部门报告评标中发现的违法行为。</w:t>
      </w:r>
    </w:p>
    <w:p>
      <w:pPr>
        <w:pStyle w:val="22"/>
        <w:numPr>
          <w:ilvl w:val="2"/>
          <w:numId w:val="23"/>
        </w:numPr>
        <w:tabs>
          <w:tab w:val="left" w:pos="1376"/>
        </w:tabs>
        <w:spacing w:before="165" w:after="0" w:line="240" w:lineRule="auto"/>
        <w:ind w:left="1375" w:right="0" w:hanging="738"/>
        <w:jc w:val="left"/>
        <w:rPr>
          <w:b/>
          <w:color w:val="auto"/>
          <w:sz w:val="21"/>
        </w:rPr>
      </w:pPr>
      <w:r>
        <w:rPr>
          <w:color w:val="auto"/>
          <w:sz w:val="21"/>
        </w:rPr>
        <w:t>评标委员会由采购人代表和有关技术、经济等方面的专家组成，独立开展评审工作。</w:t>
      </w:r>
    </w:p>
    <w:p>
      <w:pPr>
        <w:pStyle w:val="7"/>
        <w:numPr>
          <w:ilvl w:val="1"/>
          <w:numId w:val="23"/>
        </w:numPr>
        <w:tabs>
          <w:tab w:val="left" w:pos="1270"/>
        </w:tabs>
        <w:spacing w:before="166" w:after="0" w:line="240" w:lineRule="auto"/>
        <w:ind w:left="1270" w:right="0" w:hanging="632"/>
        <w:jc w:val="both"/>
        <w:rPr>
          <w:color w:val="auto"/>
        </w:rPr>
      </w:pPr>
      <w:r>
        <w:rPr>
          <w:color w:val="auto"/>
        </w:rPr>
        <w:t>评标程序</w:t>
      </w:r>
    </w:p>
    <w:p>
      <w:pPr>
        <w:pStyle w:val="22"/>
        <w:numPr>
          <w:ilvl w:val="2"/>
          <w:numId w:val="23"/>
        </w:numPr>
        <w:tabs>
          <w:tab w:val="left" w:pos="1323"/>
        </w:tabs>
        <w:spacing w:before="168" w:after="0" w:line="386" w:lineRule="auto"/>
        <w:ind w:left="218" w:right="231" w:firstLine="420"/>
        <w:jc w:val="both"/>
        <w:rPr>
          <w:b/>
          <w:color w:val="auto"/>
          <w:sz w:val="21"/>
        </w:rPr>
      </w:pPr>
      <w:r>
        <w:rPr>
          <w:b/>
          <w:color w:val="auto"/>
          <w:spacing w:val="-1"/>
          <w:sz w:val="21"/>
        </w:rPr>
        <w:t>投标文件的资格性检查。</w:t>
      </w:r>
      <w:r>
        <w:rPr>
          <w:color w:val="auto"/>
          <w:spacing w:val="-1"/>
          <w:sz w:val="21"/>
        </w:rPr>
        <w:t>公开招标采购项目开标结束后，采购人或者招标办应当依法对</w:t>
      </w:r>
      <w:r>
        <w:rPr>
          <w:color w:val="auto"/>
          <w:spacing w:val="-4"/>
          <w:sz w:val="21"/>
        </w:rPr>
        <w:t xml:space="preserve">投标人的资格进行审查。合格投标人不足 </w:t>
      </w:r>
      <w:r>
        <w:rPr>
          <w:color w:val="auto"/>
          <w:sz w:val="21"/>
        </w:rPr>
        <w:t>3</w:t>
      </w:r>
      <w:r>
        <w:rPr>
          <w:color w:val="auto"/>
          <w:spacing w:val="-8"/>
          <w:sz w:val="21"/>
        </w:rPr>
        <w:t xml:space="preserve"> 家的，不得评标。投标文件有下列情况之一的，在资格</w:t>
      </w:r>
      <w:r>
        <w:rPr>
          <w:color w:val="auto"/>
          <w:sz w:val="21"/>
        </w:rPr>
        <w:t>性、符合性检查时按照无效投标处理：</w:t>
      </w:r>
    </w:p>
    <w:p>
      <w:pPr>
        <w:pStyle w:val="7"/>
        <w:numPr>
          <w:ilvl w:val="0"/>
          <w:numId w:val="24"/>
        </w:numPr>
        <w:tabs>
          <w:tab w:val="left" w:pos="1168"/>
        </w:tabs>
        <w:spacing w:before="3" w:after="0" w:line="240" w:lineRule="auto"/>
        <w:ind w:left="1167" w:right="0" w:hanging="530"/>
        <w:jc w:val="left"/>
        <w:rPr>
          <w:color w:val="auto"/>
        </w:rPr>
      </w:pPr>
      <w:r>
        <w:rPr>
          <w:color w:val="auto"/>
        </w:rPr>
        <w:t>未按照招标文件规定要求密封、签署、盖章的；</w:t>
      </w:r>
    </w:p>
    <w:p>
      <w:pPr>
        <w:pStyle w:val="7"/>
        <w:numPr>
          <w:ilvl w:val="0"/>
          <w:numId w:val="24"/>
        </w:numPr>
        <w:tabs>
          <w:tab w:val="left" w:pos="1168"/>
        </w:tabs>
        <w:spacing w:before="168" w:after="0" w:line="240" w:lineRule="auto"/>
        <w:ind w:left="1167" w:right="0" w:hanging="530"/>
        <w:jc w:val="left"/>
        <w:rPr>
          <w:color w:val="auto"/>
        </w:rPr>
      </w:pPr>
      <w:r>
        <w:rPr>
          <w:color w:val="auto"/>
        </w:rPr>
        <w:t>不具备招标文件中规定资格要求的；</w:t>
      </w:r>
    </w:p>
    <w:p>
      <w:pPr>
        <w:pStyle w:val="7"/>
        <w:numPr>
          <w:ilvl w:val="0"/>
          <w:numId w:val="24"/>
        </w:numPr>
        <w:tabs>
          <w:tab w:val="left" w:pos="1168"/>
        </w:tabs>
        <w:spacing w:before="165" w:after="0" w:line="240" w:lineRule="auto"/>
        <w:ind w:left="1167" w:right="0" w:hanging="530"/>
        <w:jc w:val="left"/>
        <w:rPr>
          <w:color w:val="auto"/>
        </w:rPr>
      </w:pPr>
      <w:r>
        <w:rPr>
          <w:color w:val="auto"/>
        </w:rPr>
        <w:t>报价超过招标文件中规定的预算金额或者最高限价的；</w:t>
      </w:r>
    </w:p>
    <w:p>
      <w:pPr>
        <w:pStyle w:val="7"/>
        <w:numPr>
          <w:ilvl w:val="0"/>
          <w:numId w:val="24"/>
        </w:numPr>
        <w:tabs>
          <w:tab w:val="left" w:pos="1168"/>
        </w:tabs>
        <w:spacing w:before="166" w:after="0" w:line="240" w:lineRule="auto"/>
        <w:ind w:left="1167" w:right="0" w:hanging="530"/>
        <w:jc w:val="left"/>
        <w:rPr>
          <w:color w:val="auto"/>
        </w:rPr>
      </w:pPr>
      <w:r>
        <w:rPr>
          <w:color w:val="auto"/>
        </w:rPr>
        <w:t>投标文件含有采购人不能接受的附加条件的；</w:t>
      </w:r>
    </w:p>
    <w:p>
      <w:pPr>
        <w:pStyle w:val="7"/>
        <w:numPr>
          <w:ilvl w:val="0"/>
          <w:numId w:val="24"/>
        </w:numPr>
        <w:tabs>
          <w:tab w:val="left" w:pos="1168"/>
        </w:tabs>
        <w:spacing w:before="165" w:after="0" w:line="240" w:lineRule="auto"/>
        <w:ind w:left="1167" w:right="0" w:hanging="530"/>
        <w:jc w:val="left"/>
        <w:rPr>
          <w:color w:val="auto"/>
        </w:rPr>
      </w:pPr>
      <w:r>
        <w:rPr>
          <w:color w:val="auto"/>
          <w:spacing w:val="-1"/>
        </w:rPr>
        <w:t>不同投标人的投标文件由同一单位或者个人编制；</w:t>
      </w:r>
    </w:p>
    <w:p>
      <w:pPr>
        <w:pStyle w:val="7"/>
        <w:numPr>
          <w:ilvl w:val="0"/>
          <w:numId w:val="24"/>
        </w:numPr>
        <w:tabs>
          <w:tab w:val="left" w:pos="1168"/>
        </w:tabs>
        <w:spacing w:before="168" w:after="0" w:line="240" w:lineRule="auto"/>
        <w:ind w:left="1167" w:right="0" w:hanging="530"/>
        <w:jc w:val="left"/>
        <w:rPr>
          <w:color w:val="auto"/>
        </w:rPr>
      </w:pPr>
      <w:r>
        <w:rPr>
          <w:color w:val="auto"/>
          <w:spacing w:val="-1"/>
        </w:rPr>
        <w:t>不同投标人委托同一单位或者个人办理投标事宜；</w:t>
      </w:r>
    </w:p>
    <w:p>
      <w:pPr>
        <w:pStyle w:val="7"/>
        <w:numPr>
          <w:ilvl w:val="0"/>
          <w:numId w:val="24"/>
        </w:numPr>
        <w:tabs>
          <w:tab w:val="left" w:pos="1168"/>
        </w:tabs>
        <w:spacing w:before="166" w:after="0" w:line="240" w:lineRule="auto"/>
        <w:ind w:left="1167" w:right="0" w:hanging="530"/>
        <w:jc w:val="left"/>
        <w:rPr>
          <w:color w:val="auto"/>
        </w:rPr>
      </w:pPr>
      <w:r>
        <w:rPr>
          <w:color w:val="auto"/>
        </w:rPr>
        <w:t>不同投标人的投标文件载明的项目管理成员或者联系人员为同一人；</w:t>
      </w:r>
    </w:p>
    <w:p>
      <w:pPr>
        <w:pStyle w:val="7"/>
        <w:numPr>
          <w:ilvl w:val="0"/>
          <w:numId w:val="24"/>
        </w:numPr>
        <w:tabs>
          <w:tab w:val="left" w:pos="1168"/>
        </w:tabs>
        <w:spacing w:before="165" w:after="0" w:line="240" w:lineRule="auto"/>
        <w:ind w:left="1167" w:right="0" w:hanging="530"/>
        <w:jc w:val="left"/>
        <w:rPr>
          <w:color w:val="auto"/>
        </w:rPr>
      </w:pPr>
      <w:r>
        <w:rPr>
          <w:color w:val="auto"/>
        </w:rPr>
        <w:t>不同投标人的投标文件异常一致或者投标报价呈规律性差异；</w:t>
      </w:r>
    </w:p>
    <w:p>
      <w:pPr>
        <w:pStyle w:val="7"/>
        <w:numPr>
          <w:ilvl w:val="0"/>
          <w:numId w:val="24"/>
        </w:numPr>
        <w:tabs>
          <w:tab w:val="left" w:pos="1168"/>
        </w:tabs>
        <w:spacing w:before="165" w:after="0" w:line="240" w:lineRule="auto"/>
        <w:ind w:left="1167" w:right="0" w:hanging="530"/>
        <w:jc w:val="left"/>
        <w:rPr>
          <w:color w:val="auto"/>
        </w:rPr>
      </w:pPr>
      <w:r>
        <w:rPr>
          <w:color w:val="auto"/>
        </w:rPr>
        <w:t>不同投标人的投标文件相互混装；</w:t>
      </w:r>
    </w:p>
    <w:p>
      <w:pPr>
        <w:pStyle w:val="7"/>
        <w:numPr>
          <w:ilvl w:val="0"/>
          <w:numId w:val="24"/>
        </w:numPr>
        <w:tabs>
          <w:tab w:val="left" w:pos="1274"/>
        </w:tabs>
        <w:spacing w:before="168" w:after="0" w:line="240" w:lineRule="auto"/>
        <w:ind w:left="1273" w:right="0" w:hanging="636"/>
        <w:jc w:val="left"/>
        <w:rPr>
          <w:color w:val="auto"/>
        </w:rPr>
      </w:pPr>
      <w:r>
        <w:rPr>
          <w:color w:val="auto"/>
        </w:rPr>
        <w:t>服务承诺和付款条件未响应招标要求的；</w:t>
      </w:r>
    </w:p>
    <w:p>
      <w:pPr>
        <w:pStyle w:val="7"/>
        <w:numPr>
          <w:ilvl w:val="0"/>
          <w:numId w:val="24"/>
        </w:numPr>
        <w:tabs>
          <w:tab w:val="left" w:pos="1274"/>
        </w:tabs>
        <w:spacing w:before="165" w:after="0" w:line="240" w:lineRule="auto"/>
        <w:ind w:left="1273" w:right="0" w:hanging="636"/>
        <w:jc w:val="left"/>
        <w:rPr>
          <w:color w:val="auto"/>
        </w:rPr>
      </w:pPr>
      <w:r>
        <w:rPr>
          <w:color w:val="auto"/>
        </w:rPr>
        <w:t>提供虚假材料的（包括营业执照、财务报表、资格证明文件等）；</w:t>
      </w:r>
    </w:p>
    <w:p>
      <w:pPr>
        <w:pStyle w:val="7"/>
        <w:numPr>
          <w:ilvl w:val="0"/>
          <w:numId w:val="24"/>
        </w:numPr>
        <w:tabs>
          <w:tab w:val="left" w:pos="1274"/>
        </w:tabs>
        <w:spacing w:before="166" w:after="0" w:line="388" w:lineRule="auto"/>
        <w:ind w:left="218" w:right="268" w:firstLine="420"/>
        <w:jc w:val="both"/>
        <w:rPr>
          <w:color w:val="auto"/>
        </w:rPr>
      </w:pPr>
      <w:r>
        <w:rPr>
          <w:color w:val="auto"/>
          <w:spacing w:val="-1"/>
        </w:rPr>
        <w:t>评标委员会认定投标人的报价明显低于其他通过符合性审查投标人的报价，有可能影响产品质量或者不能诚信履约，且投标人不能应评标委员会要求在评标现场合理的时间内提供书面说</w:t>
      </w:r>
      <w:r>
        <w:rPr>
          <w:color w:val="auto"/>
        </w:rPr>
        <w:t>明（必要时评标委员会可要求投标人提交相关证明材料）证明其报价合理性的；</w:t>
      </w:r>
    </w:p>
    <w:p>
      <w:pPr>
        <w:pStyle w:val="7"/>
        <w:numPr>
          <w:ilvl w:val="0"/>
          <w:numId w:val="24"/>
        </w:numPr>
        <w:tabs>
          <w:tab w:val="left" w:pos="1274"/>
        </w:tabs>
        <w:spacing w:before="0" w:after="0" w:line="268" w:lineRule="exact"/>
        <w:ind w:left="1273" w:right="0" w:hanging="636"/>
        <w:jc w:val="left"/>
        <w:rPr>
          <w:color w:val="auto"/>
        </w:rPr>
      </w:pPr>
      <w:r>
        <w:rPr>
          <w:color w:val="auto"/>
        </w:rPr>
        <w:t>投标文件内容不全或不符合招标文件中规定的其它实质性要求的；</w:t>
      </w:r>
    </w:p>
    <w:p>
      <w:pPr>
        <w:pStyle w:val="7"/>
        <w:numPr>
          <w:ilvl w:val="0"/>
          <w:numId w:val="24"/>
        </w:numPr>
        <w:tabs>
          <w:tab w:val="left" w:pos="1274"/>
        </w:tabs>
        <w:spacing w:before="165" w:after="0" w:line="386" w:lineRule="auto"/>
        <w:ind w:left="218" w:right="268" w:firstLine="420"/>
        <w:jc w:val="left"/>
        <w:rPr>
          <w:color w:val="auto"/>
        </w:rPr>
      </w:pPr>
      <w:r>
        <w:rPr>
          <w:color w:val="auto"/>
          <w:spacing w:val="-28"/>
        </w:rPr>
        <w:t xml:space="preserve">无 </w:t>
      </w:r>
      <w:r>
        <w:rPr>
          <w:color w:val="auto"/>
          <w:spacing w:val="-1"/>
        </w:rPr>
        <w:t>300</w:t>
      </w:r>
      <w:r>
        <w:rPr>
          <w:color w:val="auto"/>
          <w:spacing w:val="-9"/>
        </w:rPr>
        <w:t xml:space="preserve"> 元报名资料费银行转账回单复印件的，或报名资料费银行转账回单中未注明本项</w:t>
      </w:r>
      <w:r>
        <w:rPr>
          <w:color w:val="auto"/>
        </w:rPr>
        <w:t>目标段号的；</w:t>
      </w:r>
    </w:p>
    <w:p>
      <w:pPr>
        <w:pStyle w:val="7"/>
        <w:numPr>
          <w:ilvl w:val="0"/>
          <w:numId w:val="24"/>
        </w:numPr>
        <w:tabs>
          <w:tab w:val="left" w:pos="1274"/>
        </w:tabs>
        <w:spacing w:before="5" w:after="0" w:line="240" w:lineRule="auto"/>
        <w:ind w:left="1273" w:right="0" w:hanging="636"/>
        <w:jc w:val="left"/>
        <w:rPr>
          <w:color w:val="auto"/>
        </w:rPr>
      </w:pPr>
      <w:r>
        <w:rPr>
          <w:color w:val="auto"/>
        </w:rPr>
        <w:t>法律、法规和招标文件规定的其他无效情形。</w:t>
      </w:r>
    </w:p>
    <w:p>
      <w:pPr>
        <w:spacing w:after="0" w:line="240" w:lineRule="auto"/>
        <w:jc w:val="left"/>
        <w:rPr>
          <w:color w:val="auto"/>
        </w:rPr>
        <w:sectPr>
          <w:footerReference r:id="rId16" w:type="default"/>
          <w:pgSz w:w="11910" w:h="16840"/>
          <w:pgMar w:top="1460" w:right="1180" w:bottom="1080" w:left="1200" w:header="0" w:footer="886" w:gutter="0"/>
          <w:cols w:space="720" w:num="1"/>
        </w:sectPr>
      </w:pPr>
    </w:p>
    <w:p>
      <w:pPr>
        <w:pStyle w:val="22"/>
        <w:numPr>
          <w:ilvl w:val="2"/>
          <w:numId w:val="23"/>
        </w:numPr>
        <w:tabs>
          <w:tab w:val="left" w:pos="1323"/>
        </w:tabs>
        <w:spacing w:before="44" w:after="0" w:line="386" w:lineRule="auto"/>
        <w:ind w:left="218" w:right="231" w:firstLine="420"/>
        <w:jc w:val="left"/>
        <w:rPr>
          <w:b/>
          <w:color w:val="auto"/>
          <w:sz w:val="21"/>
        </w:rPr>
      </w:pPr>
      <w:r>
        <w:rPr>
          <w:b/>
          <w:color w:val="auto"/>
          <w:spacing w:val="-1"/>
          <w:sz w:val="21"/>
        </w:rPr>
        <w:t>投标文件的符合性审查</w:t>
      </w:r>
      <w:r>
        <w:rPr>
          <w:color w:val="auto"/>
          <w:spacing w:val="-1"/>
          <w:sz w:val="21"/>
        </w:rPr>
        <w:t>。评标委员会对通过资格性检查的投标人的投标文件进行符合性</w:t>
      </w:r>
      <w:r>
        <w:rPr>
          <w:color w:val="auto"/>
          <w:sz w:val="21"/>
        </w:rPr>
        <w:t>审查，以确定其是否满足招标文件的实质性要求。</w:t>
      </w:r>
    </w:p>
    <w:p>
      <w:pPr>
        <w:pStyle w:val="7"/>
        <w:numPr>
          <w:ilvl w:val="3"/>
          <w:numId w:val="23"/>
        </w:numPr>
        <w:tabs>
          <w:tab w:val="left" w:pos="1532"/>
        </w:tabs>
        <w:spacing w:before="5" w:after="0" w:line="386" w:lineRule="auto"/>
        <w:ind w:left="218" w:right="231" w:firstLine="420"/>
        <w:jc w:val="left"/>
        <w:rPr>
          <w:color w:val="auto"/>
        </w:rPr>
      </w:pPr>
      <w:r>
        <w:rPr>
          <w:color w:val="auto"/>
          <w:spacing w:val="-2"/>
        </w:rPr>
        <w:t>实质性要求是指本招标文件中用带星号</w:t>
      </w:r>
      <w:r>
        <w:rPr>
          <w:color w:val="auto"/>
          <w:spacing w:val="-1"/>
        </w:rPr>
        <w:t>（“★”）、“必须”或“应（应当）”等其</w:t>
      </w:r>
      <w:r>
        <w:rPr>
          <w:color w:val="auto"/>
        </w:rPr>
        <w:t>他文字说明的商务和技术要求。</w:t>
      </w:r>
    </w:p>
    <w:p>
      <w:pPr>
        <w:pStyle w:val="22"/>
        <w:numPr>
          <w:ilvl w:val="3"/>
          <w:numId w:val="23"/>
        </w:numPr>
        <w:tabs>
          <w:tab w:val="left" w:pos="1534"/>
        </w:tabs>
        <w:spacing w:before="3" w:after="0" w:line="240" w:lineRule="auto"/>
        <w:ind w:left="1534" w:right="0" w:hanging="896"/>
        <w:jc w:val="left"/>
        <w:rPr>
          <w:b/>
          <w:color w:val="auto"/>
          <w:sz w:val="21"/>
        </w:rPr>
      </w:pPr>
      <w:r>
        <w:rPr>
          <w:color w:val="auto"/>
          <w:sz w:val="21"/>
        </w:rPr>
        <w:t>有下列情形之一的予以废标：</w:t>
      </w:r>
    </w:p>
    <w:p>
      <w:pPr>
        <w:pStyle w:val="22"/>
        <w:numPr>
          <w:ilvl w:val="0"/>
          <w:numId w:val="25"/>
        </w:numPr>
        <w:tabs>
          <w:tab w:val="left" w:pos="1168"/>
        </w:tabs>
        <w:spacing w:before="165" w:after="0" w:line="240" w:lineRule="auto"/>
        <w:ind w:left="1167" w:right="0" w:hanging="530"/>
        <w:jc w:val="left"/>
        <w:rPr>
          <w:color w:val="auto"/>
          <w:sz w:val="21"/>
        </w:rPr>
      </w:pPr>
      <w:r>
        <w:rPr>
          <w:color w:val="auto"/>
          <w:sz w:val="21"/>
        </w:rPr>
        <w:t>符合专业条件的供应商或者对招标文件作实质性响应的供应商不足三家的；</w:t>
      </w:r>
    </w:p>
    <w:p>
      <w:pPr>
        <w:pStyle w:val="22"/>
        <w:numPr>
          <w:ilvl w:val="0"/>
          <w:numId w:val="25"/>
        </w:numPr>
        <w:tabs>
          <w:tab w:val="left" w:pos="1168"/>
        </w:tabs>
        <w:spacing w:before="168" w:after="0" w:line="240" w:lineRule="auto"/>
        <w:ind w:left="1167" w:right="0" w:hanging="530"/>
        <w:jc w:val="left"/>
        <w:rPr>
          <w:color w:val="auto"/>
          <w:sz w:val="21"/>
        </w:rPr>
      </w:pPr>
      <w:r>
        <w:rPr>
          <w:color w:val="auto"/>
          <w:sz w:val="21"/>
        </w:rPr>
        <w:t>出现影响采购公正的违法、违规行为的；</w:t>
      </w:r>
    </w:p>
    <w:p>
      <w:pPr>
        <w:pStyle w:val="22"/>
        <w:numPr>
          <w:ilvl w:val="0"/>
          <w:numId w:val="25"/>
        </w:numPr>
        <w:tabs>
          <w:tab w:val="left" w:pos="1168"/>
        </w:tabs>
        <w:spacing w:before="165" w:after="0" w:line="240" w:lineRule="auto"/>
        <w:ind w:left="1167" w:right="0" w:hanging="530"/>
        <w:jc w:val="left"/>
        <w:rPr>
          <w:color w:val="auto"/>
          <w:sz w:val="21"/>
        </w:rPr>
      </w:pPr>
      <w:r>
        <w:rPr>
          <w:color w:val="auto"/>
          <w:sz w:val="21"/>
        </w:rPr>
        <w:t>投标人的报价均超过了采购预算，采购人不能支付的；</w:t>
      </w:r>
    </w:p>
    <w:p>
      <w:pPr>
        <w:pStyle w:val="22"/>
        <w:numPr>
          <w:ilvl w:val="0"/>
          <w:numId w:val="25"/>
        </w:numPr>
        <w:tabs>
          <w:tab w:val="left" w:pos="1168"/>
        </w:tabs>
        <w:spacing w:before="165" w:after="0" w:line="240" w:lineRule="auto"/>
        <w:ind w:left="1167" w:right="0" w:hanging="530"/>
        <w:jc w:val="left"/>
        <w:rPr>
          <w:color w:val="auto"/>
          <w:sz w:val="21"/>
        </w:rPr>
      </w:pPr>
      <w:r>
        <w:rPr>
          <w:color w:val="auto"/>
          <w:sz w:val="21"/>
        </w:rPr>
        <w:t>因重大变故，采购任务取消的。</w:t>
      </w:r>
    </w:p>
    <w:p>
      <w:pPr>
        <w:pStyle w:val="8"/>
        <w:spacing w:before="166" w:line="388" w:lineRule="auto"/>
        <w:ind w:left="218" w:right="268" w:firstLine="420"/>
        <w:rPr>
          <w:color w:val="auto"/>
        </w:rPr>
      </w:pPr>
      <w:r>
        <w:rPr>
          <w:color w:val="auto"/>
        </w:rPr>
        <w:t>在评标期间，出现符合资格性检查的供应商或者对招标文件作出实质性响应的供应商不足三家</w:t>
      </w:r>
      <w:r>
        <w:rPr>
          <w:color w:val="auto"/>
          <w:spacing w:val="-8"/>
        </w:rPr>
        <w:t xml:space="preserve">情形的，比照 </w:t>
      </w:r>
      <w:r>
        <w:rPr>
          <w:b/>
          <w:color w:val="auto"/>
        </w:rPr>
        <w:t>20.6</w:t>
      </w:r>
      <w:r>
        <w:rPr>
          <w:b/>
          <w:color w:val="auto"/>
          <w:spacing w:val="-54"/>
        </w:rPr>
        <w:t xml:space="preserve"> </w:t>
      </w:r>
      <w:r>
        <w:rPr>
          <w:color w:val="auto"/>
        </w:rPr>
        <w:t>款执行。</w:t>
      </w:r>
    </w:p>
    <w:p>
      <w:pPr>
        <w:pStyle w:val="7"/>
        <w:numPr>
          <w:ilvl w:val="2"/>
          <w:numId w:val="23"/>
        </w:numPr>
        <w:tabs>
          <w:tab w:val="left" w:pos="1321"/>
        </w:tabs>
        <w:spacing w:before="0" w:after="0" w:line="268" w:lineRule="exact"/>
        <w:ind w:left="1320" w:right="0" w:hanging="683"/>
        <w:jc w:val="both"/>
        <w:rPr>
          <w:b w:val="0"/>
          <w:color w:val="auto"/>
        </w:rPr>
      </w:pPr>
      <w:r>
        <w:rPr>
          <w:color w:val="auto"/>
          <w:spacing w:val="-1"/>
        </w:rPr>
        <w:t>澄清有关问题</w:t>
      </w:r>
      <w:r>
        <w:rPr>
          <w:b w:val="0"/>
          <w:color w:val="auto"/>
        </w:rPr>
        <w:t>。</w:t>
      </w:r>
    </w:p>
    <w:p>
      <w:pPr>
        <w:pStyle w:val="22"/>
        <w:numPr>
          <w:ilvl w:val="3"/>
          <w:numId w:val="23"/>
        </w:numPr>
        <w:tabs>
          <w:tab w:val="left" w:pos="1520"/>
        </w:tabs>
        <w:spacing w:before="166" w:after="0" w:line="386" w:lineRule="auto"/>
        <w:ind w:left="218" w:right="126" w:firstLine="420"/>
        <w:jc w:val="both"/>
        <w:rPr>
          <w:color w:val="auto"/>
          <w:sz w:val="21"/>
        </w:rPr>
      </w:pPr>
      <w:r>
        <w:rPr>
          <w:color w:val="auto"/>
          <w:spacing w:val="-9"/>
          <w:sz w:val="21"/>
        </w:rPr>
        <w:t>对于投标文件中含义不明确、同类问题表述不一致或者有明显文字和计算错误的内容，</w:t>
      </w:r>
      <w:r>
        <w:rPr>
          <w:color w:val="auto"/>
          <w:spacing w:val="-103"/>
          <w:sz w:val="21"/>
        </w:rPr>
        <w:t xml:space="preserve"> </w:t>
      </w:r>
      <w:r>
        <w:rPr>
          <w:color w:val="auto"/>
          <w:sz w:val="21"/>
        </w:rPr>
        <w:t>评标委员会应当以书面形式要求投标人作出必要的澄清、说明或者补正。</w:t>
      </w:r>
    </w:p>
    <w:p>
      <w:pPr>
        <w:pStyle w:val="22"/>
        <w:numPr>
          <w:ilvl w:val="3"/>
          <w:numId w:val="23"/>
        </w:numPr>
        <w:tabs>
          <w:tab w:val="left" w:pos="1532"/>
        </w:tabs>
        <w:spacing w:before="5" w:after="0" w:line="386" w:lineRule="auto"/>
        <w:ind w:left="218" w:right="230" w:firstLine="420"/>
        <w:jc w:val="both"/>
        <w:rPr>
          <w:color w:val="auto"/>
          <w:sz w:val="21"/>
        </w:rPr>
      </w:pPr>
      <w:r>
        <w:rPr>
          <w:color w:val="auto"/>
          <w:spacing w:val="-1"/>
          <w:sz w:val="21"/>
        </w:rPr>
        <w:t>投标人的澄清、说明或者补正应当采用书面形式，并加盖公章，或者由法定代表人或</w:t>
      </w:r>
      <w:r>
        <w:rPr>
          <w:color w:val="auto"/>
          <w:sz w:val="21"/>
        </w:rPr>
        <w:t>其授权代表签字。投标人的澄清、说明或者补正不得超出投标文件的范围或者改变投标文件的实质性内容。</w:t>
      </w:r>
    </w:p>
    <w:p>
      <w:pPr>
        <w:pStyle w:val="22"/>
        <w:numPr>
          <w:ilvl w:val="3"/>
          <w:numId w:val="23"/>
        </w:numPr>
        <w:tabs>
          <w:tab w:val="left" w:pos="1532"/>
        </w:tabs>
        <w:spacing w:before="4" w:after="0" w:line="240" w:lineRule="auto"/>
        <w:ind w:left="1531" w:right="0" w:hanging="894"/>
        <w:jc w:val="both"/>
        <w:rPr>
          <w:color w:val="auto"/>
          <w:sz w:val="21"/>
        </w:rPr>
      </w:pPr>
      <w:r>
        <w:rPr>
          <w:color w:val="auto"/>
          <w:sz w:val="21"/>
        </w:rPr>
        <w:t>投标文件报价出现前后不一致的，除招标文件另有规定外，按照下列规定修正：</w:t>
      </w:r>
    </w:p>
    <w:p>
      <w:pPr>
        <w:pStyle w:val="22"/>
        <w:numPr>
          <w:ilvl w:val="0"/>
          <w:numId w:val="26"/>
        </w:numPr>
        <w:tabs>
          <w:tab w:val="left" w:pos="1009"/>
        </w:tabs>
        <w:spacing w:before="167" w:after="0" w:line="386" w:lineRule="auto"/>
        <w:ind w:left="218" w:right="229" w:firstLine="420"/>
        <w:jc w:val="both"/>
        <w:rPr>
          <w:color w:val="auto"/>
          <w:sz w:val="21"/>
        </w:rPr>
      </w:pPr>
      <w:r>
        <w:rPr>
          <w:color w:val="auto"/>
          <w:spacing w:val="-6"/>
          <w:sz w:val="21"/>
        </w:rPr>
        <w:t>投标文件中开标一览表</w:t>
      </w:r>
      <w:r>
        <w:rPr>
          <w:color w:val="auto"/>
          <w:spacing w:val="-3"/>
          <w:sz w:val="21"/>
        </w:rPr>
        <w:t>（</w:t>
      </w:r>
      <w:r>
        <w:rPr>
          <w:color w:val="auto"/>
          <w:spacing w:val="-2"/>
          <w:sz w:val="21"/>
        </w:rPr>
        <w:t>报价表</w:t>
      </w:r>
      <w:r>
        <w:rPr>
          <w:color w:val="auto"/>
          <w:spacing w:val="-32"/>
          <w:sz w:val="21"/>
        </w:rPr>
        <w:t>）</w:t>
      </w:r>
      <w:r>
        <w:rPr>
          <w:color w:val="auto"/>
          <w:spacing w:val="-7"/>
          <w:sz w:val="21"/>
        </w:rPr>
        <w:t>内容与投标文件中相应内容不一致的，以开标一览表</w:t>
      </w:r>
      <w:r>
        <w:rPr>
          <w:color w:val="auto"/>
          <w:spacing w:val="-3"/>
          <w:sz w:val="21"/>
        </w:rPr>
        <w:t>（</w:t>
      </w:r>
      <w:r>
        <w:rPr>
          <w:color w:val="auto"/>
          <w:sz w:val="21"/>
        </w:rPr>
        <w:t>报价表）为准；</w:t>
      </w:r>
    </w:p>
    <w:p>
      <w:pPr>
        <w:pStyle w:val="22"/>
        <w:numPr>
          <w:ilvl w:val="0"/>
          <w:numId w:val="26"/>
        </w:numPr>
        <w:tabs>
          <w:tab w:val="left" w:pos="957"/>
        </w:tabs>
        <w:spacing w:before="3" w:after="0" w:line="240" w:lineRule="auto"/>
        <w:ind w:left="956" w:right="0" w:hanging="319"/>
        <w:jc w:val="left"/>
        <w:rPr>
          <w:color w:val="auto"/>
          <w:sz w:val="21"/>
        </w:rPr>
      </w:pPr>
      <w:r>
        <w:rPr>
          <w:color w:val="auto"/>
          <w:sz w:val="21"/>
        </w:rPr>
        <w:t>大写金额和小写金额不一致的，以大写金额为准；</w:t>
      </w:r>
    </w:p>
    <w:p>
      <w:pPr>
        <w:pStyle w:val="22"/>
        <w:numPr>
          <w:ilvl w:val="0"/>
          <w:numId w:val="26"/>
        </w:numPr>
        <w:tabs>
          <w:tab w:val="left" w:pos="957"/>
        </w:tabs>
        <w:spacing w:before="165" w:after="0" w:line="388" w:lineRule="auto"/>
        <w:ind w:left="638" w:right="793" w:firstLine="0"/>
        <w:jc w:val="left"/>
        <w:rPr>
          <w:color w:val="auto"/>
          <w:sz w:val="21"/>
        </w:rPr>
      </w:pPr>
      <w:r>
        <w:rPr>
          <w:color w:val="auto"/>
          <w:sz w:val="21"/>
        </w:rPr>
        <w:t>单价金额小数点或者百分比有明显错位的，以开标一览表的总价为准，并修改单价；</w:t>
      </w:r>
      <w:r>
        <w:rPr>
          <w:color w:val="auto"/>
          <w:spacing w:val="-102"/>
          <w:sz w:val="21"/>
        </w:rPr>
        <w:t xml:space="preserve"> </w:t>
      </w:r>
      <w:r>
        <w:rPr>
          <w:color w:val="auto"/>
          <w:sz w:val="21"/>
        </w:rPr>
        <w:t>(4)总价金额与按单价汇总金额不一致的，以单价金额计算结果为准。</w:t>
      </w:r>
    </w:p>
    <w:p>
      <w:pPr>
        <w:spacing w:before="0" w:line="386" w:lineRule="auto"/>
        <w:ind w:left="218" w:right="232" w:firstLine="420"/>
        <w:jc w:val="left"/>
        <w:rPr>
          <w:b/>
          <w:color w:val="auto"/>
          <w:sz w:val="21"/>
        </w:rPr>
      </w:pPr>
      <w:r>
        <w:rPr>
          <w:color w:val="auto"/>
          <w:sz w:val="21"/>
        </w:rPr>
        <w:t>同时出现两种以上不一致的，按照前款规定的顺序修正。</w:t>
      </w:r>
      <w:r>
        <w:rPr>
          <w:b/>
          <w:color w:val="auto"/>
          <w:sz w:val="21"/>
        </w:rPr>
        <w:t>修正后的报价按照前款规定经投标人确认后产生约束力，投标人不确认的，其投标无效。</w:t>
      </w:r>
    </w:p>
    <w:p>
      <w:pPr>
        <w:pStyle w:val="22"/>
        <w:numPr>
          <w:ilvl w:val="3"/>
          <w:numId w:val="23"/>
        </w:numPr>
        <w:tabs>
          <w:tab w:val="left" w:pos="1532"/>
        </w:tabs>
        <w:spacing w:before="3" w:after="0" w:line="388" w:lineRule="auto"/>
        <w:ind w:left="218" w:right="229" w:firstLine="420"/>
        <w:jc w:val="both"/>
        <w:rPr>
          <w:color w:val="auto"/>
          <w:sz w:val="21"/>
        </w:rPr>
      </w:pPr>
      <w:r>
        <w:rPr>
          <w:color w:val="auto"/>
          <w:spacing w:val="-1"/>
          <w:sz w:val="21"/>
        </w:rPr>
        <w:t>评标委员会认为投标人的报价明显低于其他通过符合性审查投标人的报价，有可能影</w:t>
      </w:r>
      <w:r>
        <w:rPr>
          <w:color w:val="auto"/>
          <w:sz w:val="21"/>
        </w:rPr>
        <w:t>响产品质量或者不能诚信履约的，将要求其在评标现场合理的时间内提供书面说明，必要时提交相关证明材料；</w:t>
      </w:r>
      <w:r>
        <w:rPr>
          <w:b/>
          <w:color w:val="auto"/>
          <w:sz w:val="21"/>
        </w:rPr>
        <w:t>投标人不能证明其报价合理性的，评标委员会将其作为无效投标处理。</w:t>
      </w:r>
    </w:p>
    <w:p>
      <w:pPr>
        <w:pStyle w:val="22"/>
        <w:numPr>
          <w:ilvl w:val="2"/>
          <w:numId w:val="23"/>
        </w:numPr>
        <w:tabs>
          <w:tab w:val="left" w:pos="1321"/>
        </w:tabs>
        <w:spacing w:before="0" w:after="0" w:line="386" w:lineRule="auto"/>
        <w:ind w:left="218" w:right="229" w:firstLine="420"/>
        <w:jc w:val="both"/>
        <w:rPr>
          <w:color w:val="auto"/>
          <w:sz w:val="21"/>
        </w:rPr>
      </w:pPr>
      <w:r>
        <w:rPr>
          <w:b/>
          <w:color w:val="auto"/>
          <w:spacing w:val="-1"/>
          <w:sz w:val="21"/>
        </w:rPr>
        <w:t>比较与评价。</w:t>
      </w:r>
      <w:r>
        <w:rPr>
          <w:color w:val="auto"/>
          <w:spacing w:val="-1"/>
          <w:sz w:val="21"/>
        </w:rPr>
        <w:t>评标委员会应当按照招标文件中规定的评标方法和标准，对符合性审查合</w:t>
      </w:r>
      <w:r>
        <w:rPr>
          <w:color w:val="auto"/>
          <w:sz w:val="21"/>
        </w:rPr>
        <w:t>格的投标文件进行商务和技术评估，综合比较与评价。</w:t>
      </w:r>
    </w:p>
    <w:p>
      <w:pPr>
        <w:pStyle w:val="22"/>
        <w:numPr>
          <w:ilvl w:val="2"/>
          <w:numId w:val="23"/>
        </w:numPr>
        <w:tabs>
          <w:tab w:val="left" w:pos="1323"/>
        </w:tabs>
        <w:spacing w:before="2" w:after="0" w:line="240" w:lineRule="auto"/>
        <w:ind w:left="1322" w:right="0" w:hanging="685"/>
        <w:jc w:val="both"/>
        <w:rPr>
          <w:color w:val="auto"/>
          <w:sz w:val="21"/>
        </w:rPr>
      </w:pPr>
      <w:r>
        <w:rPr>
          <w:color w:val="auto"/>
          <w:sz w:val="21"/>
        </w:rPr>
        <w:t>相同品牌产品的投标</w:t>
      </w:r>
    </w:p>
    <w:p>
      <w:pPr>
        <w:spacing w:after="0" w:line="240" w:lineRule="auto"/>
        <w:jc w:val="both"/>
        <w:rPr>
          <w:color w:val="auto"/>
          <w:sz w:val="21"/>
        </w:rPr>
        <w:sectPr>
          <w:footerReference r:id="rId17" w:type="default"/>
          <w:pgSz w:w="11910" w:h="16840"/>
          <w:pgMar w:top="1460" w:right="1180" w:bottom="1080" w:left="1200" w:header="0" w:footer="886" w:gutter="0"/>
          <w:cols w:space="720" w:num="1"/>
        </w:sectPr>
      </w:pPr>
    </w:p>
    <w:p>
      <w:pPr>
        <w:pStyle w:val="8"/>
        <w:spacing w:before="44" w:line="388" w:lineRule="auto"/>
        <w:ind w:left="218" w:right="267" w:firstLine="420"/>
        <w:jc w:val="both"/>
        <w:rPr>
          <w:color w:val="auto"/>
        </w:rPr>
      </w:pPr>
      <w:r>
        <w:rPr>
          <w:color w:val="auto"/>
        </w:rPr>
        <w:t>采用最低评标价法的采购项目，提供相同品牌产品的不同投标人参加同一合同项下投标的，以其中通过资格审查、符合性审查且报价最低的参加评标；报价相同的，由采购人委托评标委员会按照招标文件规定的方式确定一个参加评标的投标人，招标文件未规定的采取随机抽取方式确定，其他投标无效。</w:t>
      </w:r>
    </w:p>
    <w:p>
      <w:pPr>
        <w:pStyle w:val="8"/>
        <w:spacing w:line="388" w:lineRule="auto"/>
        <w:ind w:left="218" w:right="124" w:firstLine="420"/>
        <w:rPr>
          <w:color w:val="auto"/>
        </w:rPr>
      </w:pPr>
      <w:r>
        <w:rPr>
          <w:color w:val="auto"/>
        </w:rPr>
        <w:t>使用综合评分法的采购项目，提供相同品牌产品且通过资格审查、符合性审查的不同投标人参</w:t>
      </w:r>
      <w:r>
        <w:rPr>
          <w:color w:val="auto"/>
          <w:spacing w:val="-2"/>
        </w:rPr>
        <w:t>加同一合同项下投标的，按一家投标人计算，评审后得分最高的同品牌投标人获得中标人推荐资格；</w:t>
      </w:r>
      <w:r>
        <w:rPr>
          <w:color w:val="auto"/>
          <w:spacing w:val="-102"/>
        </w:rPr>
        <w:t xml:space="preserve"> </w:t>
      </w:r>
      <w:r>
        <w:rPr>
          <w:color w:val="auto"/>
        </w:rPr>
        <w:t>评审得分相同的，由采购人委托评标委员会按照招标文件规定的方式确定一个投标人获得中标人推荐资格，招标文件未规定的采取随机抽取方式确定，其他同品牌投标人不作为中标候选人。</w:t>
      </w:r>
    </w:p>
    <w:p>
      <w:pPr>
        <w:pStyle w:val="8"/>
        <w:spacing w:line="388" w:lineRule="auto"/>
        <w:ind w:left="218" w:right="267" w:firstLine="420"/>
        <w:rPr>
          <w:color w:val="auto"/>
        </w:rPr>
      </w:pPr>
      <w:r>
        <w:rPr>
          <w:color w:val="auto"/>
        </w:rPr>
        <w:t>非单一产品采购项目，确定核心产品的方法在招标文件技术需求中载明。多家投标人提供的核心产品品牌相同的，按前两款规定处理。</w:t>
      </w:r>
    </w:p>
    <w:p>
      <w:pPr>
        <w:pStyle w:val="7"/>
        <w:numPr>
          <w:ilvl w:val="1"/>
          <w:numId w:val="27"/>
        </w:numPr>
        <w:tabs>
          <w:tab w:val="left" w:pos="1165"/>
        </w:tabs>
        <w:spacing w:before="0" w:after="0" w:line="240" w:lineRule="auto"/>
        <w:ind w:left="1164" w:right="0" w:hanging="527"/>
        <w:jc w:val="left"/>
        <w:rPr>
          <w:color w:val="auto"/>
        </w:rPr>
      </w:pPr>
      <w:r>
        <w:rPr>
          <w:color w:val="auto"/>
        </w:rPr>
        <w:t>评标方法和标准</w:t>
      </w:r>
    </w:p>
    <w:p>
      <w:pPr>
        <w:pStyle w:val="22"/>
        <w:numPr>
          <w:ilvl w:val="2"/>
          <w:numId w:val="27"/>
        </w:numPr>
        <w:tabs>
          <w:tab w:val="left" w:pos="1323"/>
        </w:tabs>
        <w:spacing w:before="159" w:after="0" w:line="386" w:lineRule="auto"/>
        <w:ind w:left="218" w:right="232" w:firstLine="420"/>
        <w:jc w:val="left"/>
        <w:rPr>
          <w:color w:val="auto"/>
          <w:sz w:val="21"/>
        </w:rPr>
      </w:pPr>
      <w:r>
        <w:rPr>
          <w:color w:val="auto"/>
          <w:spacing w:val="-1"/>
          <w:sz w:val="21"/>
        </w:rPr>
        <w:t>评标方法分为最低评标价法和综合评分法。本次招标的评标方法和标准，详见本招标文</w:t>
      </w:r>
      <w:r>
        <w:rPr>
          <w:color w:val="auto"/>
          <w:sz w:val="21"/>
        </w:rPr>
        <w:t>件第三章。</w:t>
      </w:r>
    </w:p>
    <w:p>
      <w:pPr>
        <w:pStyle w:val="22"/>
        <w:numPr>
          <w:ilvl w:val="2"/>
          <w:numId w:val="27"/>
        </w:numPr>
        <w:tabs>
          <w:tab w:val="left" w:pos="1323"/>
        </w:tabs>
        <w:spacing w:before="2" w:after="0" w:line="388" w:lineRule="auto"/>
        <w:ind w:left="218" w:right="229" w:firstLine="420"/>
        <w:jc w:val="left"/>
        <w:rPr>
          <w:color w:val="auto"/>
          <w:sz w:val="21"/>
        </w:rPr>
      </w:pPr>
      <w:r>
        <w:rPr>
          <w:color w:val="auto"/>
          <w:spacing w:val="-1"/>
          <w:sz w:val="21"/>
        </w:rPr>
        <w:t>最低评标价法，是指投标文件满足招标文件全部实质性要求，且投标报价最低的投标人</w:t>
      </w:r>
      <w:r>
        <w:rPr>
          <w:color w:val="auto"/>
          <w:sz w:val="21"/>
        </w:rPr>
        <w:t>为中标候选人的评标方法。</w:t>
      </w:r>
    </w:p>
    <w:p>
      <w:pPr>
        <w:pStyle w:val="8"/>
        <w:spacing w:line="386" w:lineRule="auto"/>
        <w:ind w:left="218" w:right="268" w:firstLine="420"/>
        <w:rPr>
          <w:color w:val="auto"/>
        </w:rPr>
      </w:pPr>
      <w:r>
        <w:rPr>
          <w:color w:val="auto"/>
        </w:rPr>
        <w:t>采用最低评标价法评标时，除了算术修正和落实政府采购政策需进行的价格扣除外，不对投标人的投标价格进行任何调整。</w:t>
      </w:r>
    </w:p>
    <w:p>
      <w:pPr>
        <w:pStyle w:val="22"/>
        <w:numPr>
          <w:ilvl w:val="2"/>
          <w:numId w:val="27"/>
        </w:numPr>
        <w:tabs>
          <w:tab w:val="left" w:pos="1323"/>
        </w:tabs>
        <w:spacing w:before="3" w:after="0" w:line="388" w:lineRule="auto"/>
        <w:ind w:left="218" w:right="229" w:firstLine="420"/>
        <w:jc w:val="left"/>
        <w:rPr>
          <w:color w:val="auto"/>
          <w:sz w:val="21"/>
        </w:rPr>
      </w:pPr>
      <w:r>
        <w:rPr>
          <w:color w:val="auto"/>
          <w:spacing w:val="-1"/>
          <w:sz w:val="21"/>
        </w:rPr>
        <w:t>综合评分法，是指投标文件满足招标文件全部实质性要求，且按照评审因素的量化指标</w:t>
      </w:r>
      <w:r>
        <w:rPr>
          <w:color w:val="auto"/>
          <w:sz w:val="21"/>
        </w:rPr>
        <w:t>评审得分最高的投标人为中标候选人的评标方法。</w:t>
      </w:r>
    </w:p>
    <w:p>
      <w:pPr>
        <w:pStyle w:val="8"/>
        <w:spacing w:line="268" w:lineRule="exact"/>
        <w:ind w:left="638"/>
        <w:rPr>
          <w:color w:val="auto"/>
        </w:rPr>
      </w:pPr>
      <w:r>
        <w:rPr>
          <w:color w:val="auto"/>
          <w:spacing w:val="-1"/>
        </w:rPr>
        <w:t>评审因素，包括价格、技术、商务等。</w:t>
      </w:r>
    </w:p>
    <w:p>
      <w:pPr>
        <w:pStyle w:val="8"/>
        <w:spacing w:before="165" w:line="386" w:lineRule="auto"/>
        <w:ind w:left="218" w:right="268" w:firstLine="420"/>
        <w:rPr>
          <w:color w:val="auto"/>
        </w:rPr>
      </w:pPr>
      <w:r>
        <w:rPr>
          <w:color w:val="auto"/>
        </w:rPr>
        <w:t>评标时，评标委员会各成员应当独立对每个投标人的投标文件进行评价，并汇总每个投标人的得分。</w:t>
      </w:r>
    </w:p>
    <w:p>
      <w:pPr>
        <w:pStyle w:val="8"/>
        <w:spacing w:before="5" w:line="386" w:lineRule="auto"/>
        <w:ind w:left="218" w:right="268" w:firstLine="420"/>
        <w:rPr>
          <w:color w:val="auto"/>
        </w:rPr>
      </w:pPr>
      <w:r>
        <w:rPr>
          <w:color w:val="auto"/>
        </w:rPr>
        <w:t>价格分采用低价优先法计算，即满足招标文件要求且投标价格最低的投标报价为评标基准价，</w:t>
      </w:r>
      <w:r>
        <w:rPr>
          <w:color w:val="auto"/>
          <w:spacing w:val="-102"/>
        </w:rPr>
        <w:t xml:space="preserve"> </w:t>
      </w:r>
      <w:r>
        <w:rPr>
          <w:color w:val="auto"/>
        </w:rPr>
        <w:t>其价格分为满分。</w:t>
      </w:r>
    </w:p>
    <w:p>
      <w:pPr>
        <w:pStyle w:val="8"/>
        <w:spacing w:before="2" w:line="388" w:lineRule="auto"/>
        <w:ind w:left="638" w:right="4672"/>
        <w:rPr>
          <w:color w:val="auto"/>
        </w:rPr>
      </w:pPr>
      <w:r>
        <w:rPr>
          <w:color w:val="auto"/>
        </w:rPr>
        <w:t>评标总得分＝F1×A1＋F2×A2＋……＋Fn×An</w:t>
      </w:r>
      <w:r>
        <w:rPr>
          <w:color w:val="auto"/>
          <w:spacing w:val="-102"/>
        </w:rPr>
        <w:t xml:space="preserve"> </w:t>
      </w:r>
      <w:r>
        <w:rPr>
          <w:color w:val="auto"/>
          <w:spacing w:val="-1"/>
        </w:rPr>
        <w:t>F1、</w:t>
      </w:r>
      <w:r>
        <w:rPr>
          <w:color w:val="auto"/>
        </w:rPr>
        <w:t>F2……Fn</w:t>
      </w:r>
      <w:r>
        <w:rPr>
          <w:color w:val="auto"/>
          <w:spacing w:val="-8"/>
        </w:rPr>
        <w:t xml:space="preserve"> 分别为各项评审因素的得分；</w:t>
      </w:r>
    </w:p>
    <w:p>
      <w:pPr>
        <w:pStyle w:val="8"/>
        <w:ind w:left="638"/>
        <w:rPr>
          <w:color w:val="auto"/>
        </w:rPr>
      </w:pPr>
      <w:r>
        <w:rPr>
          <w:color w:val="auto"/>
        </w:rPr>
        <w:t>A1、A2、……An</w:t>
      </w:r>
      <w:r>
        <w:rPr>
          <w:color w:val="auto"/>
          <w:spacing w:val="-3"/>
        </w:rPr>
        <w:t xml:space="preserve"> 分别为各项评审因素所占的权重(</w:t>
      </w:r>
      <w:r>
        <w:rPr>
          <w:color w:val="auto"/>
        </w:rPr>
        <w:t>A1＋A2＋……＋An＝1)。</w:t>
      </w:r>
    </w:p>
    <w:p>
      <w:pPr>
        <w:pStyle w:val="8"/>
        <w:spacing w:before="165"/>
        <w:ind w:left="638"/>
        <w:rPr>
          <w:color w:val="auto"/>
        </w:rPr>
      </w:pPr>
      <w:r>
        <w:rPr>
          <w:color w:val="auto"/>
          <w:spacing w:val="-1"/>
        </w:rPr>
        <w:t>因落实政府采购政策进行价格调整的，以调整后的价格计算评标基准价和投标报价。</w:t>
      </w:r>
    </w:p>
    <w:p>
      <w:pPr>
        <w:pStyle w:val="7"/>
        <w:spacing w:before="166"/>
        <w:rPr>
          <w:color w:val="auto"/>
        </w:rPr>
      </w:pPr>
      <w:r>
        <w:rPr>
          <w:color w:val="auto"/>
        </w:rPr>
        <w:t>22、确定中标供应商</w:t>
      </w:r>
    </w:p>
    <w:p>
      <w:pPr>
        <w:pStyle w:val="22"/>
        <w:numPr>
          <w:ilvl w:val="1"/>
          <w:numId w:val="28"/>
        </w:numPr>
        <w:tabs>
          <w:tab w:val="left" w:pos="1112"/>
        </w:tabs>
        <w:spacing w:before="165" w:after="0" w:line="388" w:lineRule="auto"/>
        <w:ind w:left="218" w:right="232" w:firstLine="420"/>
        <w:jc w:val="left"/>
        <w:rPr>
          <w:color w:val="auto"/>
          <w:sz w:val="21"/>
        </w:rPr>
      </w:pPr>
      <w:r>
        <w:rPr>
          <w:color w:val="auto"/>
          <w:spacing w:val="-1"/>
          <w:sz w:val="21"/>
        </w:rPr>
        <w:t>采用最低评标价法的，评标结果按投标报价由低到高顺序排列。投标报价相同的并列。投</w:t>
      </w:r>
      <w:r>
        <w:rPr>
          <w:color w:val="auto"/>
          <w:sz w:val="21"/>
        </w:rPr>
        <w:t>标文件满足招标文件全部实质性要求且投标报价最低的投标人为排名第一的中标候选人。</w:t>
      </w:r>
    </w:p>
    <w:p>
      <w:pPr>
        <w:spacing w:after="0" w:line="388" w:lineRule="auto"/>
        <w:jc w:val="left"/>
        <w:rPr>
          <w:color w:val="auto"/>
          <w:sz w:val="21"/>
        </w:rPr>
        <w:sectPr>
          <w:footerReference r:id="rId18" w:type="default"/>
          <w:pgSz w:w="11910" w:h="16840"/>
          <w:pgMar w:top="1460" w:right="1180" w:bottom="1080" w:left="1200" w:header="0" w:footer="886" w:gutter="0"/>
          <w:cols w:space="720" w:num="1"/>
        </w:sectPr>
      </w:pPr>
    </w:p>
    <w:p>
      <w:pPr>
        <w:pStyle w:val="22"/>
        <w:numPr>
          <w:ilvl w:val="1"/>
          <w:numId w:val="28"/>
        </w:numPr>
        <w:tabs>
          <w:tab w:val="left" w:pos="1112"/>
        </w:tabs>
        <w:spacing w:before="44" w:after="0" w:line="388" w:lineRule="auto"/>
        <w:ind w:left="218" w:right="230" w:firstLine="420"/>
        <w:jc w:val="both"/>
        <w:rPr>
          <w:color w:val="auto"/>
          <w:sz w:val="21"/>
        </w:rPr>
      </w:pPr>
      <w:r>
        <w:rPr>
          <w:color w:val="auto"/>
          <w:spacing w:val="-1"/>
          <w:sz w:val="21"/>
        </w:rPr>
        <w:t>采用综合评分法的，评标结果按评审后得分由高到低顺序排列。得分相同的，按投标报价</w:t>
      </w:r>
      <w:r>
        <w:rPr>
          <w:color w:val="auto"/>
          <w:sz w:val="21"/>
        </w:rPr>
        <w:t>由低到高顺序排列。得分且投标报价相同的并列。投标文件满足招标文件全部实质性要求，且按照评审因素的量化指标评审得分最高的投标人为排名第一的中标候选人。</w:t>
      </w:r>
    </w:p>
    <w:p>
      <w:pPr>
        <w:pStyle w:val="22"/>
        <w:numPr>
          <w:ilvl w:val="1"/>
          <w:numId w:val="28"/>
        </w:numPr>
        <w:tabs>
          <w:tab w:val="left" w:pos="1112"/>
        </w:tabs>
        <w:spacing w:before="0" w:after="0" w:line="386" w:lineRule="auto"/>
        <w:ind w:left="218" w:right="229" w:firstLine="420"/>
        <w:jc w:val="both"/>
        <w:rPr>
          <w:color w:val="auto"/>
          <w:sz w:val="21"/>
        </w:rPr>
      </w:pPr>
      <w:r>
        <w:rPr>
          <w:color w:val="auto"/>
          <w:spacing w:val="-3"/>
          <w:sz w:val="21"/>
        </w:rPr>
        <w:t xml:space="preserve">中标人确定后，在省级以上财政部门指定的媒体上公告中标结果，中标公告期为 </w:t>
      </w:r>
      <w:r>
        <w:rPr>
          <w:color w:val="auto"/>
          <w:sz w:val="21"/>
        </w:rPr>
        <w:t>1</w:t>
      </w:r>
      <w:r>
        <w:rPr>
          <w:color w:val="auto"/>
          <w:spacing w:val="-15"/>
          <w:sz w:val="21"/>
        </w:rPr>
        <w:t xml:space="preserve"> 个工作</w:t>
      </w:r>
      <w:r>
        <w:rPr>
          <w:color w:val="auto"/>
          <w:sz w:val="21"/>
        </w:rPr>
        <w:t>日，公告的同时向中标供应商发出中标通知书。</w:t>
      </w:r>
    </w:p>
    <w:p>
      <w:pPr>
        <w:pStyle w:val="22"/>
        <w:numPr>
          <w:ilvl w:val="1"/>
          <w:numId w:val="28"/>
        </w:numPr>
        <w:tabs>
          <w:tab w:val="left" w:pos="1165"/>
        </w:tabs>
        <w:spacing w:before="1" w:after="0" w:line="240" w:lineRule="auto"/>
        <w:ind w:left="1164" w:right="0" w:hanging="527"/>
        <w:jc w:val="both"/>
        <w:rPr>
          <w:color w:val="auto"/>
          <w:sz w:val="21"/>
        </w:rPr>
      </w:pPr>
      <w:r>
        <w:rPr>
          <w:color w:val="auto"/>
          <w:sz w:val="21"/>
        </w:rPr>
        <w:t>中标通知书对采购人和中标供应商具有同等法律效力。</w:t>
      </w:r>
    </w:p>
    <w:p>
      <w:pPr>
        <w:pStyle w:val="22"/>
        <w:numPr>
          <w:ilvl w:val="1"/>
          <w:numId w:val="28"/>
        </w:numPr>
        <w:tabs>
          <w:tab w:val="left" w:pos="1112"/>
        </w:tabs>
        <w:spacing w:before="168" w:after="0" w:line="386" w:lineRule="auto"/>
        <w:ind w:left="218" w:right="229" w:firstLine="420"/>
        <w:jc w:val="both"/>
        <w:rPr>
          <w:color w:val="auto"/>
          <w:sz w:val="21"/>
        </w:rPr>
      </w:pPr>
      <w:r>
        <w:rPr>
          <w:color w:val="auto"/>
          <w:spacing w:val="-1"/>
          <w:sz w:val="21"/>
        </w:rPr>
        <w:t>中标通知书发出后，采购人或中标供应商拒绝签订合同的，拒绝签订合同的一方应至少向</w:t>
      </w:r>
      <w:r>
        <w:rPr>
          <w:color w:val="auto"/>
          <w:sz w:val="21"/>
        </w:rPr>
        <w:t>另一方支付补偿金，以及为招标、投标所发生的有关费用和双方商定的其他补偿。</w:t>
      </w:r>
    </w:p>
    <w:p>
      <w:pPr>
        <w:pStyle w:val="7"/>
        <w:numPr>
          <w:ilvl w:val="1"/>
          <w:numId w:val="28"/>
        </w:numPr>
        <w:tabs>
          <w:tab w:val="left" w:pos="1112"/>
        </w:tabs>
        <w:spacing w:before="2" w:after="0" w:line="388" w:lineRule="auto"/>
        <w:ind w:left="218" w:right="230" w:firstLine="420"/>
        <w:jc w:val="both"/>
        <w:rPr>
          <w:color w:val="auto"/>
        </w:rPr>
      </w:pPr>
      <w:r>
        <w:rPr>
          <w:color w:val="auto"/>
          <w:spacing w:val="-2"/>
        </w:rPr>
        <w:t>中标通知书发出后，中标供应商无正当理由不与采购人签订合同的，情节严重的，由财政</w:t>
      </w:r>
      <w:r>
        <w:rPr>
          <w:color w:val="auto"/>
        </w:rPr>
        <w:t>部门将其列入不良行为记录名单，在一至三年内禁止参加政府采购活动，并予以通报。</w:t>
      </w:r>
    </w:p>
    <w:p>
      <w:pPr>
        <w:pStyle w:val="22"/>
        <w:numPr>
          <w:ilvl w:val="1"/>
          <w:numId w:val="28"/>
        </w:numPr>
        <w:tabs>
          <w:tab w:val="left" w:pos="1165"/>
        </w:tabs>
        <w:spacing w:before="0" w:after="0" w:line="240" w:lineRule="auto"/>
        <w:ind w:left="1164" w:right="0" w:hanging="527"/>
        <w:jc w:val="both"/>
        <w:rPr>
          <w:color w:val="auto"/>
          <w:sz w:val="21"/>
        </w:rPr>
      </w:pPr>
      <w:r>
        <w:rPr>
          <w:color w:val="auto"/>
          <w:sz w:val="21"/>
        </w:rPr>
        <w:t>所有投标文件不论中标与否，均不退回。</w:t>
      </w:r>
    </w:p>
    <w:p>
      <w:pPr>
        <w:pStyle w:val="7"/>
        <w:spacing w:before="165"/>
        <w:ind w:left="631"/>
        <w:rPr>
          <w:color w:val="auto"/>
        </w:rPr>
      </w:pPr>
      <w:r>
        <w:rPr>
          <w:color w:val="auto"/>
        </w:rPr>
        <w:t>23、编写评标报告</w:t>
      </w:r>
    </w:p>
    <w:p>
      <w:pPr>
        <w:pStyle w:val="8"/>
        <w:spacing w:before="166"/>
        <w:ind w:left="638"/>
        <w:rPr>
          <w:color w:val="auto"/>
        </w:rPr>
      </w:pPr>
      <w:r>
        <w:rPr>
          <w:color w:val="auto"/>
          <w:spacing w:val="-1"/>
        </w:rPr>
        <w:t>23.1</w:t>
      </w:r>
      <w:r>
        <w:rPr>
          <w:color w:val="auto"/>
          <w:spacing w:val="-8"/>
        </w:rPr>
        <w:t xml:space="preserve"> 评标委员会根据全体评标成员签字的原始评标记录和评标结果编写评标报告。</w:t>
      </w:r>
    </w:p>
    <w:p>
      <w:pPr>
        <w:pStyle w:val="7"/>
        <w:spacing w:before="165"/>
        <w:rPr>
          <w:color w:val="auto"/>
        </w:rPr>
      </w:pPr>
      <w:r>
        <w:rPr>
          <w:color w:val="auto"/>
        </w:rPr>
        <w:t>24、评标过程的保密性</w:t>
      </w:r>
    </w:p>
    <w:p>
      <w:pPr>
        <w:pStyle w:val="22"/>
        <w:numPr>
          <w:ilvl w:val="1"/>
          <w:numId w:val="29"/>
        </w:numPr>
        <w:tabs>
          <w:tab w:val="left" w:pos="1165"/>
        </w:tabs>
        <w:spacing w:before="168" w:after="0" w:line="240" w:lineRule="auto"/>
        <w:ind w:left="1164" w:right="0" w:hanging="527"/>
        <w:jc w:val="left"/>
        <w:rPr>
          <w:color w:val="auto"/>
          <w:sz w:val="21"/>
        </w:rPr>
      </w:pPr>
      <w:r>
        <w:rPr>
          <w:color w:val="auto"/>
          <w:sz w:val="21"/>
        </w:rPr>
        <w:t>采购人和招标办将采取必要措施，保证评标在严格保密的情况下进行。</w:t>
      </w:r>
    </w:p>
    <w:p>
      <w:pPr>
        <w:pStyle w:val="22"/>
        <w:numPr>
          <w:ilvl w:val="1"/>
          <w:numId w:val="29"/>
        </w:numPr>
        <w:tabs>
          <w:tab w:val="left" w:pos="1165"/>
        </w:tabs>
        <w:spacing w:before="165" w:after="0" w:line="240" w:lineRule="auto"/>
        <w:ind w:left="1164" w:right="0" w:hanging="527"/>
        <w:jc w:val="left"/>
        <w:rPr>
          <w:color w:val="auto"/>
          <w:sz w:val="21"/>
        </w:rPr>
      </w:pPr>
      <w:r>
        <w:rPr>
          <w:color w:val="auto"/>
          <w:sz w:val="21"/>
        </w:rPr>
        <w:t>任何单位和个人不得非法干预、影响评标办法的确定，以及评标过程和结果。</w:t>
      </w:r>
    </w:p>
    <w:p>
      <w:pPr>
        <w:pStyle w:val="22"/>
        <w:numPr>
          <w:ilvl w:val="1"/>
          <w:numId w:val="29"/>
        </w:numPr>
        <w:tabs>
          <w:tab w:val="left" w:pos="1112"/>
        </w:tabs>
        <w:spacing w:before="165" w:after="0" w:line="388" w:lineRule="auto"/>
        <w:ind w:left="218" w:right="230" w:firstLine="420"/>
        <w:jc w:val="left"/>
        <w:rPr>
          <w:color w:val="auto"/>
          <w:sz w:val="21"/>
        </w:rPr>
      </w:pPr>
      <w:r>
        <w:rPr>
          <w:color w:val="auto"/>
          <w:spacing w:val="-1"/>
          <w:sz w:val="21"/>
        </w:rPr>
        <w:t>凡是与审查、澄清、评价和比较投标的有关资料等，均不向投标人及与评标无关的其他人</w:t>
      </w:r>
      <w:r>
        <w:rPr>
          <w:color w:val="auto"/>
          <w:sz w:val="21"/>
        </w:rPr>
        <w:t>员透露。</w:t>
      </w:r>
    </w:p>
    <w:p>
      <w:pPr>
        <w:pStyle w:val="7"/>
        <w:rPr>
          <w:color w:val="auto"/>
        </w:rPr>
      </w:pPr>
      <w:r>
        <w:rPr>
          <w:color w:val="auto"/>
          <w:spacing w:val="-1"/>
        </w:rPr>
        <w:t>六、签订合同</w:t>
      </w:r>
    </w:p>
    <w:p>
      <w:pPr>
        <w:pStyle w:val="7"/>
        <w:spacing w:before="166"/>
        <w:rPr>
          <w:color w:val="auto"/>
        </w:rPr>
      </w:pPr>
      <w:r>
        <w:rPr>
          <w:color w:val="auto"/>
          <w:spacing w:val="-1"/>
        </w:rPr>
        <w:t>25、签订合同</w:t>
      </w:r>
    </w:p>
    <w:p>
      <w:pPr>
        <w:pStyle w:val="22"/>
        <w:numPr>
          <w:ilvl w:val="1"/>
          <w:numId w:val="30"/>
        </w:numPr>
        <w:tabs>
          <w:tab w:val="left" w:pos="1143"/>
        </w:tabs>
        <w:spacing w:before="165" w:after="0" w:line="386" w:lineRule="auto"/>
        <w:ind w:left="218" w:right="124" w:firstLine="420"/>
        <w:jc w:val="left"/>
        <w:rPr>
          <w:color w:val="auto"/>
          <w:sz w:val="21"/>
        </w:rPr>
      </w:pPr>
      <w:r>
        <w:rPr>
          <w:color w:val="auto"/>
          <w:spacing w:val="-2"/>
          <w:sz w:val="21"/>
        </w:rPr>
        <w:t xml:space="preserve">采购人与中标人应当自中标通知书发出之日起 </w:t>
      </w:r>
      <w:r>
        <w:rPr>
          <w:color w:val="auto"/>
          <w:sz w:val="21"/>
        </w:rPr>
        <w:t>15</w:t>
      </w:r>
      <w:r>
        <w:rPr>
          <w:color w:val="auto"/>
          <w:spacing w:val="-5"/>
          <w:sz w:val="21"/>
        </w:rPr>
        <w:t xml:space="preserve"> 日内，按照招标文件和中标人投标文件</w:t>
      </w:r>
      <w:r>
        <w:rPr>
          <w:color w:val="auto"/>
          <w:spacing w:val="-2"/>
          <w:sz w:val="21"/>
        </w:rPr>
        <w:t>的规定，签订书面合同。所签订的合同不得对招标文件确定的事项和中标人投标文件作实质性修改。</w:t>
      </w:r>
    </w:p>
    <w:p>
      <w:pPr>
        <w:pStyle w:val="22"/>
        <w:numPr>
          <w:ilvl w:val="1"/>
          <w:numId w:val="30"/>
        </w:numPr>
        <w:tabs>
          <w:tab w:val="left" w:pos="1112"/>
        </w:tabs>
        <w:spacing w:before="5" w:after="0" w:line="240" w:lineRule="auto"/>
        <w:ind w:left="1111" w:right="0" w:hanging="474"/>
        <w:jc w:val="left"/>
        <w:rPr>
          <w:color w:val="auto"/>
          <w:sz w:val="21"/>
        </w:rPr>
      </w:pPr>
      <w:r>
        <w:rPr>
          <w:color w:val="auto"/>
          <w:sz w:val="21"/>
        </w:rPr>
        <w:t>采购人不得向中标人提出任何不合理的要求作为签订合同的条件。</w:t>
      </w:r>
    </w:p>
    <w:p>
      <w:pPr>
        <w:pStyle w:val="22"/>
        <w:numPr>
          <w:ilvl w:val="1"/>
          <w:numId w:val="30"/>
        </w:numPr>
        <w:tabs>
          <w:tab w:val="left" w:pos="1112"/>
        </w:tabs>
        <w:spacing w:before="165" w:after="0" w:line="386" w:lineRule="auto"/>
        <w:ind w:left="218" w:right="232" w:firstLine="420"/>
        <w:jc w:val="both"/>
        <w:rPr>
          <w:color w:val="auto"/>
          <w:sz w:val="21"/>
        </w:rPr>
      </w:pPr>
      <w:r>
        <w:rPr>
          <w:color w:val="auto"/>
          <w:spacing w:val="-1"/>
          <w:sz w:val="21"/>
        </w:rPr>
        <w:t>中标人拒绝与采购人签订合同的，采购人可以按照评审报告推荐的中标或者成交候选人名</w:t>
      </w:r>
      <w:r>
        <w:rPr>
          <w:color w:val="auto"/>
          <w:sz w:val="21"/>
        </w:rPr>
        <w:t>单排序，确定下一候选人为中标或者成交供应商，也可以重新开展政府采购活动。</w:t>
      </w:r>
    </w:p>
    <w:p>
      <w:pPr>
        <w:pStyle w:val="22"/>
        <w:numPr>
          <w:ilvl w:val="1"/>
          <w:numId w:val="30"/>
        </w:numPr>
        <w:tabs>
          <w:tab w:val="left" w:pos="1112"/>
        </w:tabs>
        <w:spacing w:before="3" w:after="0" w:line="388" w:lineRule="auto"/>
        <w:ind w:left="218" w:right="230" w:firstLine="420"/>
        <w:jc w:val="both"/>
        <w:rPr>
          <w:color w:val="auto"/>
          <w:sz w:val="21"/>
        </w:rPr>
      </w:pPr>
      <w:r>
        <w:rPr>
          <w:color w:val="auto"/>
          <w:spacing w:val="-1"/>
          <w:sz w:val="21"/>
        </w:rPr>
        <w:t>政府采购合同履行中，采购人需追加与合同标的相同的货物或者服务的，在不改变合同其</w:t>
      </w:r>
      <w:r>
        <w:rPr>
          <w:color w:val="auto"/>
          <w:sz w:val="21"/>
        </w:rPr>
        <w:t>他条款的前提下，可以与供应商协商签订补充合同，但所有补充合同的采购金额不得超过原合同采购金额的百分之十。</w:t>
      </w:r>
    </w:p>
    <w:p>
      <w:pPr>
        <w:pStyle w:val="22"/>
        <w:numPr>
          <w:ilvl w:val="1"/>
          <w:numId w:val="30"/>
        </w:numPr>
        <w:tabs>
          <w:tab w:val="left" w:pos="1165"/>
        </w:tabs>
        <w:spacing w:before="0" w:after="0" w:line="386" w:lineRule="auto"/>
        <w:ind w:left="638" w:right="3105" w:firstLine="0"/>
        <w:jc w:val="left"/>
        <w:rPr>
          <w:b/>
          <w:color w:val="auto"/>
          <w:sz w:val="21"/>
        </w:rPr>
      </w:pPr>
      <w:r>
        <w:rPr>
          <w:color w:val="auto"/>
          <w:sz w:val="21"/>
        </w:rPr>
        <w:t>采购人与中标人应当根据合同的约定依法履行合同义务。</w:t>
      </w:r>
      <w:r>
        <w:rPr>
          <w:b/>
          <w:color w:val="auto"/>
          <w:sz w:val="21"/>
        </w:rPr>
        <w:t>七、质疑和投诉</w:t>
      </w:r>
    </w:p>
    <w:p>
      <w:pPr>
        <w:pStyle w:val="7"/>
        <w:spacing w:before="3"/>
        <w:rPr>
          <w:color w:val="auto"/>
        </w:rPr>
      </w:pPr>
      <w:r>
        <w:rPr>
          <w:color w:val="auto"/>
          <w:spacing w:val="-1"/>
        </w:rPr>
        <w:t>26、质疑</w:t>
      </w:r>
    </w:p>
    <w:p>
      <w:pPr>
        <w:spacing w:after="0"/>
        <w:rPr>
          <w:color w:val="auto"/>
        </w:rPr>
        <w:sectPr>
          <w:footerReference r:id="rId19" w:type="default"/>
          <w:pgSz w:w="11910" w:h="16840"/>
          <w:pgMar w:top="1460" w:right="1180" w:bottom="1080" w:left="1200" w:header="0" w:footer="886" w:gutter="0"/>
          <w:cols w:space="720" w:num="1"/>
        </w:sectPr>
      </w:pPr>
    </w:p>
    <w:p>
      <w:pPr>
        <w:pStyle w:val="22"/>
        <w:numPr>
          <w:ilvl w:val="1"/>
          <w:numId w:val="31"/>
        </w:numPr>
        <w:tabs>
          <w:tab w:val="left" w:pos="1112"/>
        </w:tabs>
        <w:spacing w:before="44" w:after="0" w:line="386" w:lineRule="auto"/>
        <w:ind w:left="218" w:right="232" w:firstLine="420"/>
        <w:jc w:val="left"/>
        <w:rPr>
          <w:b/>
          <w:color w:val="auto"/>
          <w:sz w:val="21"/>
        </w:rPr>
      </w:pPr>
      <w:r>
        <w:rPr>
          <w:color w:val="auto"/>
          <w:spacing w:val="-1"/>
          <w:sz w:val="21"/>
        </w:rPr>
        <w:t>供应商对招标活动事项有疑问的，可以向招标办提出询问，招标办将依法作出答复，但答</w:t>
      </w:r>
      <w:r>
        <w:rPr>
          <w:color w:val="auto"/>
          <w:sz w:val="21"/>
        </w:rPr>
        <w:t>复的内容不涉及商业秘密</w:t>
      </w:r>
      <w:r>
        <w:rPr>
          <w:b/>
          <w:color w:val="auto"/>
          <w:sz w:val="21"/>
        </w:rPr>
        <w:t>。</w:t>
      </w:r>
    </w:p>
    <w:p>
      <w:pPr>
        <w:pStyle w:val="22"/>
        <w:numPr>
          <w:ilvl w:val="1"/>
          <w:numId w:val="31"/>
        </w:numPr>
        <w:tabs>
          <w:tab w:val="left" w:pos="1112"/>
        </w:tabs>
        <w:spacing w:before="5" w:after="0" w:line="386" w:lineRule="auto"/>
        <w:ind w:left="218" w:right="232" w:firstLine="420"/>
        <w:jc w:val="left"/>
        <w:rPr>
          <w:color w:val="auto"/>
          <w:sz w:val="21"/>
        </w:rPr>
      </w:pPr>
      <w:r>
        <w:rPr>
          <w:color w:val="auto"/>
          <w:spacing w:val="-1"/>
          <w:sz w:val="21"/>
        </w:rPr>
        <w:t>提出质疑的供应商应当是参与所质疑项目采购活动的供应商。潜在供应商已依法获取其可</w:t>
      </w:r>
      <w:r>
        <w:rPr>
          <w:color w:val="auto"/>
          <w:sz w:val="21"/>
        </w:rPr>
        <w:t>质疑的采购文件的，可以对该文件提出质疑。</w:t>
      </w:r>
    </w:p>
    <w:p>
      <w:pPr>
        <w:pStyle w:val="8"/>
        <w:spacing w:before="3"/>
        <w:ind w:left="638"/>
        <w:rPr>
          <w:color w:val="auto"/>
        </w:rPr>
      </w:pPr>
      <w:r>
        <w:rPr>
          <w:color w:val="auto"/>
          <w:spacing w:val="-1"/>
        </w:rPr>
        <w:t>以联合体形式参加政府采购活动的，其质疑应当由组成联合体的所有供应商共同提出。</w:t>
      </w:r>
    </w:p>
    <w:p>
      <w:pPr>
        <w:pStyle w:val="22"/>
        <w:numPr>
          <w:ilvl w:val="1"/>
          <w:numId w:val="31"/>
        </w:numPr>
        <w:tabs>
          <w:tab w:val="left" w:pos="1112"/>
        </w:tabs>
        <w:spacing w:before="165" w:after="0" w:line="388" w:lineRule="auto"/>
        <w:ind w:left="218" w:right="232" w:firstLine="420"/>
        <w:jc w:val="left"/>
        <w:rPr>
          <w:color w:val="auto"/>
          <w:sz w:val="21"/>
        </w:rPr>
      </w:pPr>
      <w:r>
        <w:rPr>
          <w:color w:val="auto"/>
          <w:spacing w:val="-1"/>
          <w:sz w:val="21"/>
        </w:rPr>
        <w:t>供应商认为采购文件、采购过程和中标结果使自己的合法权益受到损害的，可以在知道或</w:t>
      </w:r>
      <w:r>
        <w:rPr>
          <w:color w:val="auto"/>
          <w:sz w:val="21"/>
        </w:rPr>
        <w:t>者应知其权益受到损害之日起七个工作日内，将质疑文件原件送达采购人或招标办。</w:t>
      </w:r>
    </w:p>
    <w:p>
      <w:pPr>
        <w:pStyle w:val="8"/>
        <w:spacing w:line="388" w:lineRule="auto"/>
        <w:ind w:left="218" w:right="229" w:firstLine="420"/>
        <w:jc w:val="both"/>
        <w:rPr>
          <w:color w:val="auto"/>
        </w:rPr>
      </w:pPr>
      <w:r>
        <w:rPr>
          <w:color w:val="auto"/>
        </w:rPr>
        <w:t>供应商应知其权益受到损害之日，是指：对采购文件提出质疑的，应当在获取采购文件或者采</w:t>
      </w:r>
      <w:r>
        <w:rPr>
          <w:color w:val="auto"/>
          <w:spacing w:val="-4"/>
        </w:rPr>
        <w:t xml:space="preserve">购文件公告期限届满之日起 </w:t>
      </w:r>
      <w:r>
        <w:rPr>
          <w:color w:val="auto"/>
        </w:rPr>
        <w:t>7</w:t>
      </w:r>
      <w:r>
        <w:rPr>
          <w:color w:val="auto"/>
          <w:spacing w:val="-6"/>
        </w:rPr>
        <w:t xml:space="preserve"> 个工作日内提出；对采购过程提出质疑的，为各采购程序环节结束之</w:t>
      </w:r>
      <w:r>
        <w:rPr>
          <w:color w:val="auto"/>
        </w:rPr>
        <w:t>日；对中标或者成交结果提出质疑的，为中标或者成交结果公告期限届满之日。</w:t>
      </w:r>
    </w:p>
    <w:p>
      <w:pPr>
        <w:pStyle w:val="8"/>
        <w:spacing w:line="268" w:lineRule="exact"/>
        <w:ind w:left="638"/>
        <w:rPr>
          <w:color w:val="auto"/>
        </w:rPr>
      </w:pPr>
      <w:r>
        <w:rPr>
          <w:color w:val="auto"/>
          <w:spacing w:val="-1"/>
        </w:rPr>
        <w:t>供应商必须在法定质疑期内一次性提出针对同一采购程序环节的质疑。</w:t>
      </w:r>
    </w:p>
    <w:p>
      <w:pPr>
        <w:pStyle w:val="22"/>
        <w:numPr>
          <w:ilvl w:val="1"/>
          <w:numId w:val="31"/>
        </w:numPr>
        <w:tabs>
          <w:tab w:val="left" w:pos="1165"/>
        </w:tabs>
        <w:spacing w:before="165" w:after="0" w:line="240" w:lineRule="auto"/>
        <w:ind w:left="1164" w:right="0" w:hanging="527"/>
        <w:jc w:val="left"/>
        <w:rPr>
          <w:color w:val="auto"/>
          <w:sz w:val="21"/>
        </w:rPr>
      </w:pPr>
      <w:r>
        <w:rPr>
          <w:color w:val="auto"/>
          <w:sz w:val="21"/>
        </w:rPr>
        <w:t>供应商提出质疑应当提交质疑函和必要的证明材料。质疑函应当包括下列内容：</w:t>
      </w:r>
    </w:p>
    <w:p>
      <w:pPr>
        <w:pStyle w:val="8"/>
        <w:spacing w:before="165"/>
        <w:ind w:left="1061"/>
        <w:rPr>
          <w:color w:val="auto"/>
        </w:rPr>
      </w:pPr>
      <w:r>
        <w:rPr>
          <w:color w:val="auto"/>
        </w:rPr>
        <w:t>（一）供应商的姓名或者名称、地址、邮编、联系人及联系电话；</w:t>
      </w:r>
    </w:p>
    <w:p>
      <w:pPr>
        <w:pStyle w:val="8"/>
        <w:spacing w:before="166"/>
        <w:ind w:left="1061"/>
        <w:rPr>
          <w:color w:val="auto"/>
        </w:rPr>
      </w:pPr>
      <w:r>
        <w:rPr>
          <w:color w:val="auto"/>
        </w:rPr>
        <w:t>（二）质疑项目的名称、编号；</w:t>
      </w:r>
    </w:p>
    <w:p>
      <w:pPr>
        <w:pStyle w:val="8"/>
        <w:spacing w:before="167"/>
        <w:ind w:left="1061"/>
        <w:rPr>
          <w:color w:val="auto"/>
        </w:rPr>
      </w:pPr>
      <w:r>
        <w:rPr>
          <w:color w:val="auto"/>
        </w:rPr>
        <w:t>（三）具体、明确的质疑事项和与质疑事项相关的请求（具体条款）；</w:t>
      </w:r>
    </w:p>
    <w:p>
      <w:pPr>
        <w:pStyle w:val="8"/>
        <w:spacing w:before="166"/>
        <w:ind w:left="1061"/>
        <w:rPr>
          <w:color w:val="auto"/>
        </w:rPr>
      </w:pPr>
      <w:r>
        <w:rPr>
          <w:color w:val="auto"/>
        </w:rPr>
        <w:t>（四）事实依据（具体条款）；</w:t>
      </w:r>
    </w:p>
    <w:p>
      <w:pPr>
        <w:pStyle w:val="8"/>
        <w:spacing w:before="165"/>
        <w:ind w:left="1061"/>
        <w:rPr>
          <w:color w:val="auto"/>
        </w:rPr>
      </w:pPr>
      <w:r>
        <w:rPr>
          <w:color w:val="auto"/>
        </w:rPr>
        <w:t>（五）必要的法律依据（具体条款）；</w:t>
      </w:r>
    </w:p>
    <w:p>
      <w:pPr>
        <w:pStyle w:val="8"/>
        <w:spacing w:before="166"/>
        <w:ind w:left="1061"/>
        <w:rPr>
          <w:color w:val="auto"/>
        </w:rPr>
      </w:pPr>
      <w:r>
        <w:rPr>
          <w:color w:val="auto"/>
        </w:rPr>
        <w:t>（六）提出质疑的日期。</w:t>
      </w:r>
    </w:p>
    <w:p>
      <w:pPr>
        <w:pStyle w:val="8"/>
        <w:spacing w:before="167" w:line="386" w:lineRule="auto"/>
        <w:ind w:left="218" w:right="229" w:firstLine="420"/>
        <w:jc w:val="both"/>
        <w:rPr>
          <w:color w:val="auto"/>
        </w:rPr>
      </w:pPr>
      <w:r>
        <w:rPr>
          <w:color w:val="auto"/>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pPr>
        <w:pStyle w:val="8"/>
        <w:spacing w:before="8" w:line="386" w:lineRule="auto"/>
        <w:ind w:left="218" w:right="232" w:firstLine="420"/>
        <w:rPr>
          <w:color w:val="auto"/>
        </w:rPr>
      </w:pPr>
      <w:r>
        <w:rPr>
          <w:color w:val="auto"/>
        </w:rPr>
        <w:t>质疑函应当使用中文。相关当事人提供外文书证或者外国语视听资料的，应当附有中文译本，</w:t>
      </w:r>
      <w:r>
        <w:rPr>
          <w:color w:val="auto"/>
          <w:spacing w:val="-102"/>
        </w:rPr>
        <w:t xml:space="preserve"> </w:t>
      </w:r>
      <w:r>
        <w:rPr>
          <w:color w:val="auto"/>
        </w:rPr>
        <w:t>由翻译机构盖章或者翻译人员签名。</w:t>
      </w:r>
    </w:p>
    <w:p>
      <w:pPr>
        <w:pStyle w:val="22"/>
        <w:numPr>
          <w:ilvl w:val="1"/>
          <w:numId w:val="31"/>
        </w:numPr>
        <w:tabs>
          <w:tab w:val="left" w:pos="1112"/>
        </w:tabs>
        <w:spacing w:before="2" w:after="0" w:line="388" w:lineRule="auto"/>
        <w:ind w:left="218" w:right="231" w:firstLine="420"/>
        <w:jc w:val="both"/>
        <w:rPr>
          <w:color w:val="auto"/>
          <w:sz w:val="21"/>
        </w:rPr>
      </w:pPr>
      <w:r>
        <w:rPr>
          <w:color w:val="auto"/>
          <w:spacing w:val="-1"/>
          <w:sz w:val="21"/>
        </w:rPr>
        <w:t>质疑函应当现场提交至招标办联系人处，提交时应出示有效身份证明。未按上述要求提交</w:t>
      </w:r>
      <w:r>
        <w:rPr>
          <w:color w:val="auto"/>
          <w:sz w:val="21"/>
        </w:rPr>
        <w:t>质疑函的，质疑不予受理。</w:t>
      </w:r>
    </w:p>
    <w:p>
      <w:pPr>
        <w:pStyle w:val="22"/>
        <w:numPr>
          <w:ilvl w:val="1"/>
          <w:numId w:val="31"/>
        </w:numPr>
        <w:tabs>
          <w:tab w:val="left" w:pos="1112"/>
        </w:tabs>
        <w:spacing w:before="0" w:after="0" w:line="386" w:lineRule="auto"/>
        <w:ind w:left="218" w:right="230" w:firstLine="420"/>
        <w:jc w:val="both"/>
        <w:rPr>
          <w:color w:val="auto"/>
          <w:sz w:val="21"/>
        </w:rPr>
      </w:pPr>
      <w:r>
        <w:rPr>
          <w:color w:val="auto"/>
          <w:spacing w:val="-1"/>
          <w:sz w:val="21"/>
        </w:rPr>
        <w:t>投标人不得虚假质疑和恶意质疑，并对质疑内容的真实性承担责任。投标人或者其他利害</w:t>
      </w:r>
      <w:r>
        <w:rPr>
          <w:color w:val="auto"/>
          <w:sz w:val="21"/>
        </w:rPr>
        <w:t>关系人通过捏造事实、伪造证明材料等方式提出异议或投诉，阻碍招投标活动正常进行的，属于严重不良行为，代理机构将提请财政部门将其列入不良行为记录名单，并依法予以处罚。</w:t>
      </w:r>
    </w:p>
    <w:p>
      <w:pPr>
        <w:pStyle w:val="22"/>
        <w:numPr>
          <w:ilvl w:val="1"/>
          <w:numId w:val="31"/>
        </w:numPr>
        <w:tabs>
          <w:tab w:val="left" w:pos="1112"/>
        </w:tabs>
        <w:spacing w:before="4" w:after="0" w:line="388" w:lineRule="auto"/>
        <w:ind w:left="218" w:right="231" w:firstLine="420"/>
        <w:jc w:val="both"/>
        <w:rPr>
          <w:color w:val="auto"/>
          <w:sz w:val="21"/>
        </w:rPr>
      </w:pPr>
      <w:r>
        <w:rPr>
          <w:color w:val="auto"/>
          <w:spacing w:val="-1"/>
          <w:sz w:val="21"/>
        </w:rPr>
        <w:t>招标办在收到投标人的书面质疑后将及时组织调查核实，在</w:t>
      </w:r>
      <w:r>
        <w:rPr>
          <w:b/>
          <w:color w:val="auto"/>
          <w:sz w:val="21"/>
        </w:rPr>
        <w:t>七个工作日内</w:t>
      </w:r>
      <w:r>
        <w:rPr>
          <w:color w:val="auto"/>
          <w:sz w:val="21"/>
        </w:rPr>
        <w:t>作出答复，并以书面或在网站公告形式通知质疑投标人和其他有关投标人，答复的内容不涉及商业秘密。</w:t>
      </w:r>
    </w:p>
    <w:p>
      <w:pPr>
        <w:spacing w:after="0" w:line="388" w:lineRule="auto"/>
        <w:jc w:val="both"/>
        <w:rPr>
          <w:color w:val="auto"/>
          <w:sz w:val="21"/>
        </w:rPr>
        <w:sectPr>
          <w:footerReference r:id="rId20" w:type="default"/>
          <w:pgSz w:w="11910" w:h="16840"/>
          <w:pgMar w:top="1460" w:right="1180" w:bottom="1080" w:left="1200" w:header="0" w:footer="886" w:gutter="0"/>
          <w:cols w:space="720" w:num="1"/>
        </w:sectPr>
      </w:pPr>
    </w:p>
    <w:p>
      <w:pPr>
        <w:pStyle w:val="8"/>
        <w:spacing w:before="44"/>
        <w:ind w:left="638"/>
        <w:rPr>
          <w:color w:val="auto"/>
        </w:rPr>
      </w:pPr>
      <w:r>
        <w:rPr>
          <w:color w:val="auto"/>
          <w:spacing w:val="15"/>
        </w:rPr>
        <w:t>任何单位和个人对招标办在招标采购活动中的违法行为，有权控告和检举，联系电话：</w:t>
      </w:r>
    </w:p>
    <w:p>
      <w:pPr>
        <w:pStyle w:val="8"/>
        <w:spacing w:before="166"/>
        <w:ind w:left="218"/>
        <w:rPr>
          <w:color w:val="auto"/>
        </w:rPr>
      </w:pPr>
      <w:r>
        <w:rPr>
          <w:color w:val="auto"/>
        </w:rPr>
        <w:t>025-58731002（南京信息工程大学纪委办）。</w:t>
      </w:r>
    </w:p>
    <w:p>
      <w:pPr>
        <w:pStyle w:val="8"/>
        <w:spacing w:before="6"/>
        <w:rPr>
          <w:color w:val="auto"/>
          <w:sz w:val="16"/>
        </w:rPr>
      </w:pPr>
    </w:p>
    <w:p>
      <w:pPr>
        <w:pStyle w:val="7"/>
        <w:rPr>
          <w:color w:val="auto"/>
        </w:rPr>
      </w:pPr>
      <w:r>
        <w:rPr>
          <w:color w:val="auto"/>
        </w:rPr>
        <w:t>27、投诉</w:t>
      </w:r>
    </w:p>
    <w:p>
      <w:pPr>
        <w:pStyle w:val="22"/>
        <w:numPr>
          <w:ilvl w:val="1"/>
          <w:numId w:val="32"/>
        </w:numPr>
        <w:tabs>
          <w:tab w:val="left" w:pos="1112"/>
        </w:tabs>
        <w:spacing w:before="151" w:after="0" w:line="374" w:lineRule="auto"/>
        <w:ind w:left="218" w:right="229" w:firstLine="420"/>
        <w:jc w:val="left"/>
        <w:rPr>
          <w:color w:val="auto"/>
          <w:sz w:val="21"/>
        </w:rPr>
      </w:pPr>
      <w:r>
        <w:rPr>
          <w:color w:val="auto"/>
          <w:spacing w:val="-1"/>
          <w:sz w:val="21"/>
        </w:rPr>
        <w:t>质疑供应商对招标办的答复不满意或者招标办未在规定的时间内作出答复的，可以在答复</w:t>
      </w:r>
      <w:r>
        <w:rPr>
          <w:color w:val="auto"/>
          <w:sz w:val="21"/>
        </w:rPr>
        <w:t>期满后十五个工作日内向同级政府采购监督管理部门投诉。</w:t>
      </w:r>
    </w:p>
    <w:p>
      <w:pPr>
        <w:pStyle w:val="22"/>
        <w:numPr>
          <w:ilvl w:val="1"/>
          <w:numId w:val="32"/>
        </w:numPr>
        <w:tabs>
          <w:tab w:val="left" w:pos="1112"/>
        </w:tabs>
        <w:spacing w:before="0" w:after="0" w:line="374" w:lineRule="auto"/>
        <w:ind w:left="218" w:right="231" w:firstLine="420"/>
        <w:jc w:val="left"/>
        <w:rPr>
          <w:color w:val="auto"/>
          <w:sz w:val="21"/>
        </w:rPr>
      </w:pPr>
      <w:r>
        <w:rPr>
          <w:color w:val="auto"/>
          <w:spacing w:val="-1"/>
          <w:sz w:val="21"/>
        </w:rPr>
        <w:t>供应商投诉应当有明确的请求和必要的证明材料。供应商投诉的事项不得超出已质疑事项</w:t>
      </w:r>
      <w:r>
        <w:rPr>
          <w:color w:val="auto"/>
          <w:sz w:val="21"/>
        </w:rPr>
        <w:t>的范围。</w:t>
      </w:r>
    </w:p>
    <w:p>
      <w:pPr>
        <w:pStyle w:val="22"/>
        <w:numPr>
          <w:ilvl w:val="1"/>
          <w:numId w:val="32"/>
        </w:numPr>
        <w:tabs>
          <w:tab w:val="left" w:pos="1100"/>
        </w:tabs>
        <w:spacing w:before="1" w:after="0" w:line="374" w:lineRule="auto"/>
        <w:ind w:left="218" w:right="229" w:firstLine="420"/>
        <w:jc w:val="left"/>
        <w:rPr>
          <w:color w:val="auto"/>
          <w:sz w:val="21"/>
        </w:rPr>
      </w:pPr>
      <w:r>
        <w:rPr>
          <w:color w:val="auto"/>
          <w:sz w:val="21"/>
        </w:rPr>
        <w:t>投诉人对政府采购监督管理部门的投诉处理决定不服或者政府采购监督管理部门逾期未作处理的，可以依法申请行政复议或者向人民法院提起行政诉讼。</w:t>
      </w:r>
    </w:p>
    <w:p>
      <w:pPr>
        <w:pStyle w:val="22"/>
        <w:numPr>
          <w:ilvl w:val="1"/>
          <w:numId w:val="32"/>
        </w:numPr>
        <w:tabs>
          <w:tab w:val="left" w:pos="1112"/>
        </w:tabs>
        <w:spacing w:before="1" w:after="0" w:line="374" w:lineRule="auto"/>
        <w:ind w:left="218" w:right="232" w:firstLine="420"/>
        <w:jc w:val="left"/>
        <w:rPr>
          <w:color w:val="auto"/>
          <w:sz w:val="21"/>
        </w:rPr>
      </w:pPr>
      <w:r>
        <w:rPr>
          <w:color w:val="auto"/>
          <w:spacing w:val="-1"/>
          <w:sz w:val="21"/>
        </w:rPr>
        <w:t>投诉人有下列行为之一的，属于严重失信行为，由财政部门列入不良行为记录名单，禁止</w:t>
      </w:r>
      <w:r>
        <w:rPr>
          <w:color w:val="auto"/>
          <w:sz w:val="21"/>
        </w:rPr>
        <w:t>其一至三年内参加政府采购活动。</w:t>
      </w:r>
    </w:p>
    <w:p>
      <w:pPr>
        <w:pStyle w:val="22"/>
        <w:numPr>
          <w:ilvl w:val="0"/>
          <w:numId w:val="33"/>
        </w:numPr>
        <w:tabs>
          <w:tab w:val="left" w:pos="1168"/>
        </w:tabs>
        <w:spacing w:before="0" w:after="0" w:line="240" w:lineRule="auto"/>
        <w:ind w:left="1167" w:right="0" w:hanging="530"/>
        <w:jc w:val="left"/>
        <w:rPr>
          <w:color w:val="auto"/>
          <w:sz w:val="21"/>
        </w:rPr>
      </w:pPr>
      <w:r>
        <w:rPr>
          <w:color w:val="auto"/>
          <w:spacing w:val="-7"/>
          <w:sz w:val="21"/>
        </w:rPr>
        <w:t xml:space="preserve">投诉人在全国范围 </w:t>
      </w:r>
      <w:r>
        <w:rPr>
          <w:color w:val="auto"/>
          <w:sz w:val="21"/>
        </w:rPr>
        <w:t>12</w:t>
      </w:r>
      <w:r>
        <w:rPr>
          <w:color w:val="auto"/>
          <w:spacing w:val="-8"/>
          <w:sz w:val="21"/>
        </w:rPr>
        <w:t xml:space="preserve"> 个月内三次以上投诉查无实据的；</w:t>
      </w:r>
    </w:p>
    <w:p>
      <w:pPr>
        <w:pStyle w:val="22"/>
        <w:numPr>
          <w:ilvl w:val="0"/>
          <w:numId w:val="33"/>
        </w:numPr>
        <w:tabs>
          <w:tab w:val="left" w:pos="1168"/>
        </w:tabs>
        <w:spacing w:before="151" w:after="0" w:line="374" w:lineRule="auto"/>
        <w:ind w:left="638" w:right="164" w:firstLine="0"/>
        <w:jc w:val="left"/>
        <w:rPr>
          <w:color w:val="auto"/>
          <w:sz w:val="21"/>
        </w:rPr>
      </w:pPr>
      <w:r>
        <w:rPr>
          <w:color w:val="auto"/>
          <w:sz w:val="21"/>
        </w:rPr>
        <w:t>采用捏造事实、提供虚假材料或者以非法手段取得证明材料等方式进行虚假、恶意投诉。证据来源的合法性存在明显疑问，投诉人无法证明其取得方式合法的，视为以非法手段取得证</w:t>
      </w:r>
    </w:p>
    <w:p>
      <w:pPr>
        <w:pStyle w:val="8"/>
        <w:spacing w:before="1"/>
        <w:ind w:left="218"/>
        <w:rPr>
          <w:color w:val="auto"/>
        </w:rPr>
      </w:pPr>
      <w:r>
        <w:rPr>
          <w:color w:val="auto"/>
        </w:rPr>
        <w:t>明材料。</w:t>
      </w:r>
    </w:p>
    <w:p>
      <w:pPr>
        <w:spacing w:after="0"/>
        <w:rPr>
          <w:color w:val="auto"/>
        </w:rPr>
        <w:sectPr>
          <w:footerReference r:id="rId21" w:type="default"/>
          <w:pgSz w:w="11910" w:h="16840"/>
          <w:pgMar w:top="1460" w:right="1180" w:bottom="1080" w:left="1200" w:header="0" w:footer="886" w:gutter="0"/>
          <w:cols w:space="720" w:num="1"/>
        </w:sectPr>
      </w:pPr>
    </w:p>
    <w:p>
      <w:pPr>
        <w:spacing w:before="33"/>
        <w:ind w:left="203" w:right="216" w:firstLine="0"/>
        <w:jc w:val="center"/>
        <w:rPr>
          <w:b/>
          <w:color w:val="auto"/>
          <w:sz w:val="28"/>
        </w:rPr>
      </w:pPr>
      <w:r>
        <w:rPr>
          <w:b/>
          <w:color w:val="auto"/>
          <w:spacing w:val="15"/>
          <w:sz w:val="28"/>
        </w:rPr>
        <w:t>第三章 合同文本</w:t>
      </w:r>
    </w:p>
    <w:p>
      <w:pPr>
        <w:pStyle w:val="8"/>
        <w:spacing w:before="114" w:line="364" w:lineRule="auto"/>
        <w:ind w:left="218" w:right="232" w:firstLine="420"/>
        <w:rPr>
          <w:color w:val="auto"/>
        </w:rPr>
      </w:pPr>
      <w:r>
        <w:rPr>
          <w:color w:val="auto"/>
        </w:rPr>
        <w:t>以下为中标后签定本项目合同的通用条款，中标人不得提出实质性的修改，关于专用条款将由采购人与中标人结合本项目具体情况协商后签订。</w:t>
      </w:r>
    </w:p>
    <w:p>
      <w:pPr>
        <w:spacing w:before="144"/>
        <w:ind w:left="203" w:right="221" w:firstLine="0"/>
        <w:jc w:val="center"/>
        <w:rPr>
          <w:b/>
          <w:color w:val="auto"/>
          <w:sz w:val="28"/>
        </w:rPr>
      </w:pPr>
      <w:r>
        <w:rPr>
          <w:b/>
          <w:color w:val="auto"/>
          <w:spacing w:val="-3"/>
          <w:w w:val="99"/>
          <w:sz w:val="28"/>
        </w:rPr>
        <w:t>江苏省政府采购合同</w:t>
      </w:r>
      <w:r>
        <w:rPr>
          <w:b/>
          <w:color w:val="auto"/>
          <w:w w:val="99"/>
          <w:sz w:val="28"/>
        </w:rPr>
        <w:t>（</w:t>
      </w:r>
      <w:r>
        <w:rPr>
          <w:b/>
          <w:color w:val="auto"/>
          <w:spacing w:val="-2"/>
          <w:w w:val="99"/>
          <w:sz w:val="28"/>
        </w:rPr>
        <w:t>货物</w:t>
      </w:r>
      <w:r>
        <w:rPr>
          <w:b/>
          <w:color w:val="auto"/>
          <w:spacing w:val="-140"/>
          <w:w w:val="99"/>
          <w:sz w:val="28"/>
        </w:rPr>
        <w:t>）</w:t>
      </w:r>
      <w:r>
        <w:rPr>
          <w:b/>
          <w:color w:val="auto"/>
          <w:spacing w:val="-3"/>
          <w:w w:val="99"/>
          <w:sz w:val="28"/>
        </w:rPr>
        <w:t>（</w:t>
      </w:r>
      <w:r>
        <w:rPr>
          <w:b/>
          <w:color w:val="auto"/>
          <w:spacing w:val="-1"/>
          <w:w w:val="99"/>
          <w:sz w:val="28"/>
        </w:rPr>
        <w:t>合同编号</w:t>
      </w:r>
      <w:r>
        <w:rPr>
          <w:b/>
          <w:color w:val="auto"/>
          <w:w w:val="99"/>
          <w:sz w:val="28"/>
        </w:rPr>
        <w:t>）</w:t>
      </w:r>
    </w:p>
    <w:p>
      <w:pPr>
        <w:pStyle w:val="8"/>
        <w:rPr>
          <w:b/>
          <w:color w:val="auto"/>
          <w:sz w:val="26"/>
        </w:rPr>
      </w:pPr>
    </w:p>
    <w:p>
      <w:pPr>
        <w:pStyle w:val="8"/>
        <w:tabs>
          <w:tab w:val="left" w:pos="5365"/>
        </w:tabs>
        <w:ind w:left="218"/>
        <w:rPr>
          <w:color w:val="auto"/>
        </w:rPr>
      </w:pPr>
      <w:r>
        <w:rPr>
          <w:color w:val="auto"/>
        </w:rPr>
        <w:t>项目名称：</w:t>
      </w:r>
      <w:r>
        <w:rPr>
          <w:color w:val="auto"/>
        </w:rPr>
        <w:tab/>
      </w:r>
      <w:r>
        <w:rPr>
          <w:color w:val="auto"/>
        </w:rPr>
        <w:t>项目编号：</w:t>
      </w:r>
    </w:p>
    <w:p>
      <w:pPr>
        <w:pStyle w:val="8"/>
        <w:tabs>
          <w:tab w:val="left" w:pos="2580"/>
        </w:tabs>
        <w:spacing w:before="141" w:line="364" w:lineRule="auto"/>
        <w:ind w:left="218" w:right="6944"/>
        <w:rPr>
          <w:rFonts w:ascii="Times New Roman" w:eastAsia="Times New Roman"/>
          <w:color w:val="auto"/>
        </w:rPr>
      </w:pPr>
      <w:r>
        <w:rPr>
          <w:color w:val="auto"/>
          <w:w w:val="100"/>
        </w:rPr>
        <w:t>甲方</w:t>
      </w:r>
      <w:r>
        <w:rPr>
          <w:color w:val="auto"/>
          <w:spacing w:val="-108"/>
          <w:w w:val="100"/>
        </w:rPr>
        <w:t>：</w:t>
      </w:r>
      <w:r>
        <w:rPr>
          <w:color w:val="auto"/>
          <w:w w:val="100"/>
        </w:rPr>
        <w:t>（</w:t>
      </w:r>
      <w:r>
        <w:rPr>
          <w:color w:val="auto"/>
          <w:spacing w:val="-3"/>
          <w:w w:val="100"/>
        </w:rPr>
        <w:t>买</w:t>
      </w:r>
      <w:r>
        <w:rPr>
          <w:color w:val="auto"/>
          <w:w w:val="100"/>
        </w:rPr>
        <w:t>方</w:t>
      </w:r>
      <w:r>
        <w:rPr>
          <w:color w:val="auto"/>
          <w:spacing w:val="-1"/>
          <w:w w:val="100"/>
        </w:rPr>
        <w:t>）</w:t>
      </w:r>
      <w:r>
        <w:rPr>
          <w:rFonts w:ascii="Times New Roman" w:eastAsia="Times New Roman"/>
          <w:color w:val="auto"/>
          <w:w w:val="100"/>
          <w:u w:val="single"/>
        </w:rPr>
        <w:t xml:space="preserve"> </w:t>
      </w:r>
      <w:r>
        <w:rPr>
          <w:rFonts w:ascii="Times New Roman" w:eastAsia="Times New Roman"/>
          <w:color w:val="auto"/>
          <w:u w:val="single"/>
        </w:rPr>
        <w:tab/>
      </w:r>
      <w:r>
        <w:rPr>
          <w:color w:val="auto"/>
          <w:w w:val="100"/>
        </w:rPr>
        <w:t>乙方</w:t>
      </w:r>
      <w:r>
        <w:rPr>
          <w:color w:val="auto"/>
          <w:spacing w:val="-108"/>
          <w:w w:val="100"/>
        </w:rPr>
        <w:t>：</w:t>
      </w:r>
      <w:r>
        <w:rPr>
          <w:color w:val="auto"/>
          <w:w w:val="100"/>
        </w:rPr>
        <w:t>（</w:t>
      </w:r>
      <w:r>
        <w:rPr>
          <w:color w:val="auto"/>
          <w:spacing w:val="-3"/>
          <w:w w:val="100"/>
        </w:rPr>
        <w:t>卖</w:t>
      </w:r>
      <w:r>
        <w:rPr>
          <w:color w:val="auto"/>
          <w:w w:val="100"/>
        </w:rPr>
        <w:t>方</w:t>
      </w:r>
      <w:r>
        <w:rPr>
          <w:color w:val="auto"/>
          <w:spacing w:val="-1"/>
          <w:w w:val="100"/>
        </w:rPr>
        <w:t>）</w:t>
      </w:r>
      <w:r>
        <w:rPr>
          <w:rFonts w:ascii="Times New Roman" w:eastAsia="Times New Roman"/>
          <w:color w:val="auto"/>
          <w:w w:val="100"/>
          <w:u w:val="single"/>
        </w:rPr>
        <w:t xml:space="preserve"> </w:t>
      </w:r>
      <w:r>
        <w:rPr>
          <w:rFonts w:ascii="Times New Roman" w:eastAsia="Times New Roman"/>
          <w:color w:val="auto"/>
          <w:u w:val="single"/>
        </w:rPr>
        <w:tab/>
      </w:r>
    </w:p>
    <w:p>
      <w:pPr>
        <w:pStyle w:val="8"/>
        <w:tabs>
          <w:tab w:val="left" w:pos="5259"/>
        </w:tabs>
        <w:spacing w:before="1" w:line="367" w:lineRule="auto"/>
        <w:ind w:left="218" w:right="901" w:firstLine="316"/>
        <w:rPr>
          <w:b/>
          <w:color w:val="auto"/>
        </w:rPr>
      </w:pPr>
      <w:r>
        <w:rPr>
          <w:color w:val="auto"/>
        </w:rPr>
        <w:t>甲、乙双方根据南京信息工程大学招标办</w:t>
      </w:r>
      <w:r>
        <w:rPr>
          <w:rFonts w:ascii="Times New Roman" w:eastAsia="Times New Roman"/>
          <w:color w:val="auto"/>
          <w:u w:val="single"/>
        </w:rPr>
        <w:tab/>
      </w:r>
      <w:r>
        <w:rPr>
          <w:color w:val="auto"/>
        </w:rPr>
        <w:t>项目公开招标的结果，签署本合同。</w:t>
      </w:r>
      <w:r>
        <w:rPr>
          <w:b/>
          <w:color w:val="auto"/>
        </w:rPr>
        <w:t>一、货物内容</w:t>
      </w:r>
    </w:p>
    <w:p>
      <w:pPr>
        <w:pStyle w:val="8"/>
        <w:spacing w:line="265" w:lineRule="exact"/>
        <w:ind w:left="218"/>
        <w:rPr>
          <w:color w:val="auto"/>
        </w:rPr>
      </w:pPr>
      <w:r>
        <w:rPr>
          <w:color w:val="auto"/>
          <w:spacing w:val="-1"/>
        </w:rPr>
        <w:t>1.1</w:t>
      </w:r>
      <w:r>
        <w:rPr>
          <w:color w:val="auto"/>
          <w:spacing w:val="-12"/>
        </w:rPr>
        <w:t xml:space="preserve"> 品 牌：</w:t>
      </w:r>
    </w:p>
    <w:p>
      <w:pPr>
        <w:pStyle w:val="22"/>
        <w:numPr>
          <w:ilvl w:val="1"/>
          <w:numId w:val="34"/>
        </w:numPr>
        <w:tabs>
          <w:tab w:val="left" w:pos="642"/>
        </w:tabs>
        <w:spacing w:before="141" w:after="0" w:line="240" w:lineRule="auto"/>
        <w:ind w:left="641" w:right="0" w:hanging="424"/>
        <w:jc w:val="both"/>
        <w:rPr>
          <w:color w:val="auto"/>
          <w:sz w:val="21"/>
        </w:rPr>
      </w:pPr>
      <w:r>
        <w:rPr>
          <w:color w:val="auto"/>
          <w:spacing w:val="-2"/>
          <w:sz w:val="21"/>
        </w:rPr>
        <w:t>厂 商：</w:t>
      </w:r>
    </w:p>
    <w:p>
      <w:pPr>
        <w:pStyle w:val="22"/>
        <w:numPr>
          <w:ilvl w:val="1"/>
          <w:numId w:val="34"/>
        </w:numPr>
        <w:tabs>
          <w:tab w:val="left" w:pos="642"/>
        </w:tabs>
        <w:spacing w:before="142" w:after="0" w:line="240" w:lineRule="auto"/>
        <w:ind w:left="641" w:right="0" w:hanging="424"/>
        <w:jc w:val="both"/>
        <w:rPr>
          <w:color w:val="auto"/>
          <w:sz w:val="21"/>
        </w:rPr>
      </w:pPr>
      <w:r>
        <w:rPr>
          <w:color w:val="auto"/>
          <w:spacing w:val="-2"/>
          <w:sz w:val="21"/>
        </w:rPr>
        <w:t>单 价：</w:t>
      </w:r>
    </w:p>
    <w:p>
      <w:pPr>
        <w:pStyle w:val="22"/>
        <w:numPr>
          <w:ilvl w:val="1"/>
          <w:numId w:val="34"/>
        </w:numPr>
        <w:tabs>
          <w:tab w:val="left" w:pos="642"/>
        </w:tabs>
        <w:spacing w:before="139" w:after="0" w:line="367" w:lineRule="auto"/>
        <w:ind w:left="218" w:right="7411" w:firstLine="0"/>
        <w:jc w:val="both"/>
        <w:rPr>
          <w:b/>
          <w:color w:val="auto"/>
          <w:sz w:val="21"/>
        </w:rPr>
      </w:pPr>
      <w:r>
        <w:rPr>
          <w:color w:val="auto"/>
          <w:w w:val="100"/>
          <w:sz w:val="21"/>
        </w:rPr>
        <w:t>数</w:t>
      </w:r>
      <w:r>
        <w:rPr>
          <w:color w:val="auto"/>
          <w:spacing w:val="-2"/>
          <w:sz w:val="21"/>
        </w:rPr>
        <w:t xml:space="preserve"> </w:t>
      </w:r>
      <w:r>
        <w:rPr>
          <w:color w:val="auto"/>
          <w:spacing w:val="-3"/>
          <w:w w:val="100"/>
          <w:sz w:val="21"/>
        </w:rPr>
        <w:t>量</w:t>
      </w:r>
      <w:r>
        <w:rPr>
          <w:color w:val="auto"/>
          <w:w w:val="100"/>
          <w:sz w:val="21"/>
        </w:rPr>
        <w:t>（</w:t>
      </w:r>
      <w:r>
        <w:rPr>
          <w:color w:val="auto"/>
          <w:spacing w:val="-2"/>
          <w:w w:val="100"/>
          <w:sz w:val="21"/>
        </w:rPr>
        <w:t>单位</w:t>
      </w:r>
      <w:r>
        <w:rPr>
          <w:color w:val="auto"/>
          <w:spacing w:val="-113"/>
          <w:w w:val="100"/>
          <w:sz w:val="21"/>
        </w:rPr>
        <w:t>）</w:t>
      </w:r>
      <w:r>
        <w:rPr>
          <w:color w:val="auto"/>
          <w:spacing w:val="-7"/>
          <w:w w:val="100"/>
          <w:sz w:val="21"/>
        </w:rPr>
        <w:t>：</w:t>
      </w:r>
      <w:r>
        <w:rPr>
          <w:b/>
          <w:color w:val="auto"/>
          <w:sz w:val="21"/>
        </w:rPr>
        <w:t>二、合同金额</w:t>
      </w:r>
    </w:p>
    <w:p>
      <w:pPr>
        <w:pStyle w:val="8"/>
        <w:tabs>
          <w:tab w:val="left" w:pos="6656"/>
          <w:tab w:val="left" w:pos="8658"/>
        </w:tabs>
        <w:spacing w:line="364" w:lineRule="auto"/>
        <w:ind w:left="578" w:right="229" w:hanging="360"/>
        <w:jc w:val="both"/>
        <w:rPr>
          <w:color w:val="auto"/>
        </w:rPr>
      </w:pPr>
      <w:r>
        <w:rPr>
          <w:color w:val="auto"/>
          <w:w w:val="100"/>
        </w:rPr>
        <w:t>2.1</w:t>
      </w:r>
      <w:r>
        <w:rPr>
          <w:color w:val="auto"/>
        </w:rPr>
        <w:t xml:space="preserve"> </w:t>
      </w:r>
      <w:r>
        <w:rPr>
          <w:color w:val="auto"/>
          <w:spacing w:val="2"/>
          <w:w w:val="100"/>
        </w:rPr>
        <w:t>本</w:t>
      </w:r>
      <w:r>
        <w:rPr>
          <w:color w:val="auto"/>
          <w:w w:val="100"/>
        </w:rPr>
        <w:t>合</w:t>
      </w:r>
      <w:r>
        <w:rPr>
          <w:color w:val="auto"/>
          <w:spacing w:val="2"/>
          <w:w w:val="100"/>
        </w:rPr>
        <w:t>同</w:t>
      </w:r>
      <w:r>
        <w:rPr>
          <w:color w:val="auto"/>
          <w:w w:val="100"/>
        </w:rPr>
        <w:t>金</w:t>
      </w:r>
      <w:r>
        <w:rPr>
          <w:color w:val="auto"/>
          <w:spacing w:val="2"/>
          <w:w w:val="100"/>
        </w:rPr>
        <w:t>额</w:t>
      </w:r>
      <w:r>
        <w:rPr>
          <w:color w:val="auto"/>
          <w:w w:val="100"/>
        </w:rPr>
        <w:t>为（</w:t>
      </w:r>
      <w:r>
        <w:rPr>
          <w:color w:val="auto"/>
          <w:spacing w:val="2"/>
          <w:w w:val="100"/>
        </w:rPr>
        <w:t>大写</w:t>
      </w:r>
      <w:r>
        <w:rPr>
          <w:color w:val="auto"/>
          <w:spacing w:val="-106"/>
          <w:w w:val="100"/>
        </w:rPr>
        <w:t>）</w:t>
      </w:r>
      <w:r>
        <w:rPr>
          <w:color w:val="auto"/>
          <w:spacing w:val="4"/>
          <w:w w:val="100"/>
        </w:rPr>
        <w:t>：</w:t>
      </w:r>
      <w:r>
        <w:rPr>
          <w:rFonts w:ascii="Times New Roman" w:eastAsia="Times New Roman"/>
          <w:color w:val="auto"/>
          <w:w w:val="100"/>
          <w:u w:val="single"/>
        </w:rPr>
        <w:t xml:space="preserve"> </w:t>
      </w:r>
      <w:r>
        <w:rPr>
          <w:rFonts w:ascii="Times New Roman" w:eastAsia="Times New Roman"/>
          <w:color w:val="auto"/>
          <w:u w:val="single"/>
        </w:rPr>
        <w:tab/>
      </w:r>
      <w:r>
        <w:rPr>
          <w:color w:val="auto"/>
          <w:w w:val="100"/>
        </w:rPr>
        <w:t>圆</w:t>
      </w:r>
      <w:r>
        <w:rPr>
          <w:color w:val="auto"/>
          <w:spacing w:val="2"/>
          <w:w w:val="100"/>
        </w:rPr>
        <w:t>（</w:t>
      </w:r>
      <w:r>
        <w:rPr>
          <w:rFonts w:ascii="Times New Roman" w:eastAsia="Times New Roman"/>
          <w:color w:val="auto"/>
          <w:w w:val="100"/>
          <w:u w:val="single"/>
        </w:rPr>
        <w:t xml:space="preserve"> </w:t>
      </w:r>
      <w:r>
        <w:rPr>
          <w:rFonts w:ascii="Times New Roman" w:eastAsia="Times New Roman"/>
          <w:color w:val="auto"/>
          <w:u w:val="single"/>
        </w:rPr>
        <w:tab/>
      </w:r>
      <w:r>
        <w:rPr>
          <w:color w:val="auto"/>
          <w:w w:val="100"/>
        </w:rPr>
        <w:t>元</w:t>
      </w:r>
      <w:r>
        <w:rPr>
          <w:color w:val="auto"/>
          <w:spacing w:val="2"/>
          <w:w w:val="100"/>
        </w:rPr>
        <w:t>）</w:t>
      </w:r>
      <w:r>
        <w:rPr>
          <w:color w:val="auto"/>
          <w:spacing w:val="-17"/>
          <w:w w:val="100"/>
        </w:rPr>
        <w:t>人</w:t>
      </w:r>
      <w:r>
        <w:rPr>
          <w:color w:val="auto"/>
        </w:rPr>
        <w:t>民币（注：合同总价款包括货物设计、制造、包装、存储、运输、运杂、专用工具、安装、调试、检验、验收、技术培训及相关资料、以及验收合格前几保修期间内备品备件发生的所有含有税费用，同时还包含乙方应当提供的售后服务等费用。乙方不得再提出其他费用要求。</w:t>
      </w:r>
    </w:p>
    <w:p>
      <w:pPr>
        <w:pStyle w:val="7"/>
        <w:ind w:left="218"/>
        <w:rPr>
          <w:color w:val="auto"/>
        </w:rPr>
      </w:pPr>
      <w:r>
        <w:rPr>
          <w:color w:val="auto"/>
          <w:spacing w:val="-1"/>
        </w:rPr>
        <w:t>三、技术资料</w:t>
      </w:r>
    </w:p>
    <w:p>
      <w:pPr>
        <w:pStyle w:val="22"/>
        <w:numPr>
          <w:ilvl w:val="1"/>
          <w:numId w:val="35"/>
        </w:numPr>
        <w:tabs>
          <w:tab w:val="left" w:pos="642"/>
        </w:tabs>
        <w:spacing w:before="140" w:after="0" w:line="364" w:lineRule="auto"/>
        <w:ind w:left="578" w:right="230" w:hanging="360"/>
        <w:jc w:val="both"/>
        <w:rPr>
          <w:color w:val="auto"/>
          <w:sz w:val="21"/>
        </w:rPr>
      </w:pPr>
      <w:r>
        <w:rPr>
          <w:color w:val="auto"/>
        </w:rPr>
        <w:tab/>
      </w:r>
      <w:r>
        <w:rPr>
          <w:color w:val="auto"/>
          <w:sz w:val="21"/>
        </w:rPr>
        <w:t>乙方未按要求随货提交与设备相关的技术资料的，视为未按约定提交货物，因此产生的不利后果由乙方承担。</w:t>
      </w:r>
    </w:p>
    <w:p>
      <w:pPr>
        <w:pStyle w:val="22"/>
        <w:numPr>
          <w:ilvl w:val="1"/>
          <w:numId w:val="35"/>
        </w:numPr>
        <w:tabs>
          <w:tab w:val="left" w:pos="642"/>
        </w:tabs>
        <w:spacing w:before="0" w:after="0" w:line="364" w:lineRule="auto"/>
        <w:ind w:left="578" w:right="230" w:hanging="360"/>
        <w:jc w:val="both"/>
        <w:rPr>
          <w:color w:val="auto"/>
          <w:sz w:val="21"/>
        </w:rPr>
      </w:pPr>
      <w:r>
        <w:rPr>
          <w:color w:val="auto"/>
        </w:rPr>
        <w:tab/>
      </w:r>
      <w:r>
        <w:rPr>
          <w:color w:val="auto"/>
          <w:sz w:val="21"/>
        </w:rPr>
        <w:t>没有甲方事先书面同意，乙方不得将由甲方提供的有关合同或任何合同条文、规格、计划、图纸、样品或资料提供给与履行本合同无关的任何其他人。即使向履行本合同有关的人员提供，</w:t>
      </w:r>
      <w:r>
        <w:rPr>
          <w:color w:val="auto"/>
          <w:spacing w:val="1"/>
          <w:sz w:val="21"/>
        </w:rPr>
        <w:t xml:space="preserve"> </w:t>
      </w:r>
      <w:r>
        <w:rPr>
          <w:color w:val="auto"/>
          <w:sz w:val="21"/>
        </w:rPr>
        <w:t>也应注意保密并限于履行合同的必需范围。</w:t>
      </w:r>
    </w:p>
    <w:p>
      <w:pPr>
        <w:pStyle w:val="7"/>
        <w:spacing w:before="2"/>
        <w:ind w:left="218"/>
        <w:rPr>
          <w:color w:val="auto"/>
        </w:rPr>
      </w:pPr>
      <w:r>
        <w:rPr>
          <w:color w:val="auto"/>
          <w:spacing w:val="-1"/>
        </w:rPr>
        <w:t>四、知识产权</w:t>
      </w:r>
    </w:p>
    <w:p>
      <w:pPr>
        <w:pStyle w:val="8"/>
        <w:spacing w:before="139" w:line="367" w:lineRule="auto"/>
        <w:ind w:left="218" w:right="233" w:firstLine="420"/>
        <w:rPr>
          <w:color w:val="auto"/>
        </w:rPr>
      </w:pPr>
      <w:r>
        <w:rPr>
          <w:color w:val="auto"/>
        </w:rPr>
        <w:t>4.1 乙方应保证甲方在使用、接受本合同货物和服务或其任何一部分时不受第三方提出侵犯其专利权、版权、商标权和工业设计权等知识产权的起诉。一旦出现侵权，由乙方负全部责任。</w:t>
      </w:r>
    </w:p>
    <w:p>
      <w:pPr>
        <w:pStyle w:val="7"/>
        <w:spacing w:line="267" w:lineRule="exact"/>
        <w:ind w:left="218"/>
        <w:rPr>
          <w:color w:val="auto"/>
        </w:rPr>
      </w:pPr>
      <w:r>
        <w:rPr>
          <w:color w:val="auto"/>
          <w:spacing w:val="-1"/>
        </w:rPr>
        <w:t>五、产权担保</w:t>
      </w:r>
    </w:p>
    <w:p>
      <w:pPr>
        <w:pStyle w:val="8"/>
        <w:spacing w:before="139" w:line="367" w:lineRule="auto"/>
        <w:ind w:left="218" w:right="1528"/>
        <w:rPr>
          <w:b/>
          <w:color w:val="auto"/>
        </w:rPr>
      </w:pPr>
      <w:r>
        <w:rPr>
          <w:color w:val="auto"/>
        </w:rPr>
        <w:t>5.1</w:t>
      </w:r>
      <w:r>
        <w:rPr>
          <w:color w:val="auto"/>
          <w:spacing w:val="-2"/>
        </w:rPr>
        <w:t xml:space="preserve"> 乙方保证所交付的货物的所有权完全属于乙方且无任何抵押、查封等产权瑕疵。</w:t>
      </w:r>
      <w:r>
        <w:rPr>
          <w:b/>
          <w:color w:val="auto"/>
        </w:rPr>
        <w:t>六、履约保证金</w:t>
      </w:r>
    </w:p>
    <w:p>
      <w:pPr>
        <w:pStyle w:val="22"/>
        <w:numPr>
          <w:ilvl w:val="1"/>
          <w:numId w:val="36"/>
        </w:numPr>
        <w:tabs>
          <w:tab w:val="left" w:pos="642"/>
          <w:tab w:val="left" w:pos="3056"/>
        </w:tabs>
        <w:spacing w:before="0" w:after="0" w:line="264" w:lineRule="exact"/>
        <w:ind w:left="641" w:right="0" w:hanging="424"/>
        <w:jc w:val="left"/>
        <w:rPr>
          <w:color w:val="auto"/>
          <w:sz w:val="21"/>
        </w:rPr>
      </w:pPr>
      <w:r>
        <w:rPr>
          <w:color w:val="auto"/>
          <w:sz w:val="21"/>
        </w:rPr>
        <w:t>乙方交纳人民币</w:t>
      </w:r>
      <w:r>
        <w:rPr>
          <w:rFonts w:ascii="Times New Roman" w:eastAsia="Times New Roman"/>
          <w:color w:val="auto"/>
          <w:sz w:val="21"/>
          <w:u w:val="single"/>
        </w:rPr>
        <w:tab/>
      </w:r>
      <w:r>
        <w:rPr>
          <w:color w:val="auto"/>
          <w:spacing w:val="-1"/>
          <w:sz w:val="21"/>
        </w:rPr>
        <w:t>元作为本合同的</w:t>
      </w:r>
      <w:r>
        <w:rPr>
          <w:color w:val="auto"/>
          <w:sz w:val="21"/>
        </w:rPr>
        <w:t>履约保证金</w:t>
      </w:r>
      <w:r>
        <w:rPr>
          <w:color w:val="auto"/>
          <w:spacing w:val="-106"/>
          <w:sz w:val="21"/>
        </w:rPr>
        <w:t>。</w:t>
      </w:r>
      <w:r>
        <w:rPr>
          <w:color w:val="auto"/>
          <w:sz w:val="21"/>
        </w:rPr>
        <w:t>（不得超过合同金额的</w:t>
      </w:r>
      <w:r>
        <w:rPr>
          <w:color w:val="auto"/>
          <w:spacing w:val="-52"/>
          <w:sz w:val="21"/>
        </w:rPr>
        <w:t xml:space="preserve"> </w:t>
      </w:r>
      <w:r>
        <w:rPr>
          <w:color w:val="auto"/>
          <w:sz w:val="21"/>
        </w:rPr>
        <w:t>10%）</w:t>
      </w:r>
    </w:p>
    <w:p>
      <w:pPr>
        <w:pStyle w:val="22"/>
        <w:numPr>
          <w:ilvl w:val="1"/>
          <w:numId w:val="36"/>
        </w:numPr>
        <w:tabs>
          <w:tab w:val="left" w:pos="589"/>
        </w:tabs>
        <w:spacing w:before="142" w:after="0" w:line="240" w:lineRule="auto"/>
        <w:ind w:left="588" w:right="0" w:hanging="371"/>
        <w:jc w:val="left"/>
        <w:rPr>
          <w:color w:val="auto"/>
          <w:sz w:val="21"/>
        </w:rPr>
      </w:pPr>
      <w:r>
        <w:rPr>
          <w:color w:val="auto"/>
          <w:spacing w:val="-3"/>
          <w:sz w:val="21"/>
        </w:rPr>
        <w:t xml:space="preserve">合同履行结束后，甲方应及时无息退还已缴纳履约保证金的 </w:t>
      </w:r>
      <w:r>
        <w:rPr>
          <w:color w:val="auto"/>
          <w:sz w:val="21"/>
        </w:rPr>
        <w:t>50</w:t>
      </w:r>
      <w:r>
        <w:rPr>
          <w:color w:val="auto"/>
          <w:spacing w:val="-11"/>
          <w:sz w:val="21"/>
        </w:rPr>
        <w:t xml:space="preserve">%,剩余 </w:t>
      </w:r>
      <w:r>
        <w:rPr>
          <w:color w:val="auto"/>
          <w:sz w:val="21"/>
        </w:rPr>
        <w:t>50%自动转为质量保证金。</w:t>
      </w:r>
    </w:p>
    <w:p>
      <w:pPr>
        <w:spacing w:after="0" w:line="240" w:lineRule="auto"/>
        <w:jc w:val="left"/>
        <w:rPr>
          <w:color w:val="auto"/>
          <w:sz w:val="21"/>
        </w:rPr>
        <w:sectPr>
          <w:footerReference r:id="rId22" w:type="default"/>
          <w:pgSz w:w="11910" w:h="16840"/>
          <w:pgMar w:top="1500" w:right="1180" w:bottom="1080" w:left="1200" w:header="0" w:footer="886" w:gutter="0"/>
          <w:cols w:space="720" w:num="1"/>
        </w:sectPr>
      </w:pPr>
    </w:p>
    <w:p>
      <w:pPr>
        <w:pStyle w:val="22"/>
        <w:numPr>
          <w:ilvl w:val="2"/>
          <w:numId w:val="36"/>
        </w:numPr>
        <w:tabs>
          <w:tab w:val="left" w:pos="853"/>
        </w:tabs>
        <w:spacing w:before="44" w:after="0" w:line="379" w:lineRule="auto"/>
        <w:ind w:left="218" w:right="229" w:firstLine="0"/>
        <w:jc w:val="left"/>
        <w:rPr>
          <w:color w:val="auto"/>
          <w:sz w:val="21"/>
        </w:rPr>
      </w:pPr>
      <w:r>
        <w:rPr>
          <w:color w:val="auto"/>
          <w:sz w:val="21"/>
        </w:rPr>
        <w:t>履约保证金退还方式：项目按照合同约定完成并无质量问题后，由中标单位向项目归口管理</w:t>
      </w:r>
      <w:r>
        <w:rPr>
          <w:color w:val="auto"/>
          <w:w w:val="95"/>
          <w:sz w:val="21"/>
        </w:rPr>
        <w:t>部门或采购人提交退还履约保证金的申请（</w:t>
      </w:r>
      <w:r>
        <w:rPr>
          <w:i/>
          <w:color w:val="auto"/>
          <w:w w:val="95"/>
          <w:sz w:val="22"/>
          <w:u w:val="single"/>
        </w:rPr>
        <w:t>财务处招标网站资料下载中有模板</w:t>
      </w:r>
      <w:r>
        <w:rPr>
          <w:color w:val="auto"/>
          <w:spacing w:val="-70"/>
          <w:w w:val="95"/>
          <w:sz w:val="21"/>
        </w:rPr>
        <w:t>）</w:t>
      </w:r>
      <w:r>
        <w:rPr>
          <w:color w:val="auto"/>
          <w:spacing w:val="-10"/>
          <w:w w:val="95"/>
          <w:sz w:val="21"/>
        </w:rPr>
        <w:t>，由项目归口管理部</w:t>
      </w:r>
    </w:p>
    <w:p>
      <w:pPr>
        <w:pStyle w:val="8"/>
        <w:spacing w:before="1"/>
        <w:ind w:left="218"/>
        <w:rPr>
          <w:color w:val="auto"/>
        </w:rPr>
      </w:pPr>
      <w:r>
        <w:rPr>
          <w:color w:val="auto"/>
          <w:spacing w:val="-1"/>
        </w:rPr>
        <w:t>门（或使用部门</w:t>
      </w:r>
      <w:r>
        <w:rPr>
          <w:color w:val="auto"/>
        </w:rPr>
        <w:t>）负责人签字确定同意退还后，再到财务处财务结算中心（</w:t>
      </w:r>
      <w:r>
        <w:rPr>
          <w:color w:val="auto"/>
          <w:spacing w:val="-7"/>
        </w:rPr>
        <w:t xml:space="preserve">财务处二楼 </w:t>
      </w:r>
      <w:r>
        <w:rPr>
          <w:color w:val="auto"/>
        </w:rPr>
        <w:t>201</w:t>
      </w:r>
      <w:r>
        <w:rPr>
          <w:color w:val="auto"/>
          <w:spacing w:val="-17"/>
        </w:rPr>
        <w:t xml:space="preserve"> 室</w:t>
      </w:r>
      <w:r>
        <w:rPr>
          <w:color w:val="auto"/>
        </w:rPr>
        <w:t>）办</w:t>
      </w:r>
    </w:p>
    <w:p>
      <w:pPr>
        <w:pStyle w:val="8"/>
        <w:spacing w:before="166"/>
        <w:ind w:left="218"/>
        <w:rPr>
          <w:color w:val="auto"/>
        </w:rPr>
      </w:pPr>
      <w:r>
        <w:rPr>
          <w:color w:val="auto"/>
        </w:rPr>
        <w:t>理退还手续。</w:t>
      </w:r>
    </w:p>
    <w:p>
      <w:pPr>
        <w:pStyle w:val="22"/>
        <w:numPr>
          <w:ilvl w:val="2"/>
          <w:numId w:val="36"/>
        </w:numPr>
        <w:tabs>
          <w:tab w:val="left" w:pos="798"/>
        </w:tabs>
        <w:spacing w:before="86" w:after="0" w:line="240" w:lineRule="auto"/>
        <w:ind w:left="797" w:right="0" w:hanging="580"/>
        <w:jc w:val="left"/>
        <w:rPr>
          <w:color w:val="auto"/>
          <w:sz w:val="21"/>
        </w:rPr>
      </w:pPr>
      <w:r>
        <w:rPr>
          <w:color w:val="auto"/>
          <w:spacing w:val="-3"/>
          <w:sz w:val="21"/>
        </w:rPr>
        <w:t xml:space="preserve">履约保证金退还时间：履约保证金的有效期为设备通过最终验收合格后 </w:t>
      </w:r>
      <w:r>
        <w:rPr>
          <w:color w:val="auto"/>
          <w:sz w:val="21"/>
        </w:rPr>
        <w:t>28</w:t>
      </w:r>
      <w:r>
        <w:rPr>
          <w:color w:val="auto"/>
          <w:spacing w:val="-18"/>
          <w:sz w:val="21"/>
        </w:rPr>
        <w:t xml:space="preserve"> 天。</w:t>
      </w:r>
    </w:p>
    <w:p>
      <w:pPr>
        <w:pStyle w:val="22"/>
        <w:numPr>
          <w:ilvl w:val="2"/>
          <w:numId w:val="36"/>
        </w:numPr>
        <w:tabs>
          <w:tab w:val="left" w:pos="798"/>
        </w:tabs>
        <w:spacing w:before="141" w:after="0" w:line="240" w:lineRule="auto"/>
        <w:ind w:left="797" w:right="0" w:hanging="580"/>
        <w:jc w:val="left"/>
        <w:rPr>
          <w:color w:val="auto"/>
          <w:sz w:val="21"/>
        </w:rPr>
      </w:pPr>
      <w:r>
        <w:rPr>
          <w:color w:val="auto"/>
          <w:sz w:val="21"/>
        </w:rPr>
        <w:t>履约保证金退还条件：按招标文件要求提供产品、服务及验收合格。</w:t>
      </w:r>
    </w:p>
    <w:p>
      <w:pPr>
        <w:pStyle w:val="22"/>
        <w:numPr>
          <w:ilvl w:val="2"/>
          <w:numId w:val="36"/>
        </w:numPr>
        <w:tabs>
          <w:tab w:val="left" w:pos="853"/>
        </w:tabs>
        <w:spacing w:before="110" w:after="0" w:line="420" w:lineRule="atLeast"/>
        <w:ind w:left="218" w:right="233" w:firstLine="0"/>
        <w:jc w:val="left"/>
        <w:rPr>
          <w:color w:val="auto"/>
          <w:sz w:val="21"/>
        </w:rPr>
      </w:pPr>
      <w:r>
        <w:rPr>
          <w:color w:val="auto"/>
          <w:sz w:val="21"/>
        </w:rPr>
        <w:t>履约保证金不予退还的情形：未能按招标文件要求提供产品、服务及验收不合格的将扣除履约保证金。</w:t>
      </w:r>
    </w:p>
    <w:p>
      <w:pPr>
        <w:pStyle w:val="7"/>
        <w:spacing w:before="29"/>
        <w:ind w:left="218"/>
        <w:rPr>
          <w:color w:val="auto"/>
        </w:rPr>
      </w:pPr>
      <w:r>
        <w:rPr>
          <w:color w:val="auto"/>
          <w:spacing w:val="-1"/>
        </w:rPr>
        <w:t>七、转包或分包</w:t>
      </w:r>
    </w:p>
    <w:p>
      <w:pPr>
        <w:pStyle w:val="22"/>
        <w:numPr>
          <w:ilvl w:val="1"/>
          <w:numId w:val="37"/>
        </w:numPr>
        <w:tabs>
          <w:tab w:val="left" w:pos="589"/>
        </w:tabs>
        <w:spacing w:before="142" w:after="0" w:line="240" w:lineRule="auto"/>
        <w:ind w:left="588" w:right="0" w:hanging="371"/>
        <w:jc w:val="left"/>
        <w:rPr>
          <w:color w:val="auto"/>
          <w:sz w:val="21"/>
        </w:rPr>
      </w:pPr>
      <w:r>
        <w:rPr>
          <w:color w:val="auto"/>
          <w:sz w:val="21"/>
        </w:rPr>
        <w:t>本合同范围的货物，应由乙方直接供应，不得转让他人供应；</w:t>
      </w:r>
    </w:p>
    <w:p>
      <w:pPr>
        <w:pStyle w:val="22"/>
        <w:numPr>
          <w:ilvl w:val="1"/>
          <w:numId w:val="37"/>
        </w:numPr>
        <w:tabs>
          <w:tab w:val="left" w:pos="642"/>
        </w:tabs>
        <w:spacing w:before="139" w:after="0" w:line="240" w:lineRule="auto"/>
        <w:ind w:left="641" w:right="0" w:hanging="424"/>
        <w:jc w:val="left"/>
        <w:rPr>
          <w:color w:val="auto"/>
          <w:sz w:val="21"/>
        </w:rPr>
      </w:pPr>
      <w:r>
        <w:rPr>
          <w:color w:val="auto"/>
          <w:sz w:val="21"/>
        </w:rPr>
        <w:t>除非得到甲方的书面同意，乙方不得部分分包给他人供应。</w:t>
      </w:r>
    </w:p>
    <w:p>
      <w:pPr>
        <w:pStyle w:val="22"/>
        <w:numPr>
          <w:ilvl w:val="1"/>
          <w:numId w:val="37"/>
        </w:numPr>
        <w:tabs>
          <w:tab w:val="left" w:pos="589"/>
        </w:tabs>
        <w:spacing w:before="141" w:after="0" w:line="367" w:lineRule="auto"/>
        <w:ind w:left="218" w:right="3052" w:firstLine="0"/>
        <w:jc w:val="left"/>
        <w:rPr>
          <w:b/>
          <w:color w:val="auto"/>
          <w:sz w:val="21"/>
        </w:rPr>
      </w:pPr>
      <w:r>
        <w:rPr>
          <w:color w:val="auto"/>
          <w:sz w:val="21"/>
        </w:rPr>
        <w:t>如有转让和未经甲方同意的分包行为，甲方有权给予终止合同。</w:t>
      </w:r>
      <w:r>
        <w:rPr>
          <w:b/>
          <w:color w:val="auto"/>
          <w:sz w:val="21"/>
        </w:rPr>
        <w:t>八、质保期</w:t>
      </w:r>
    </w:p>
    <w:p>
      <w:pPr>
        <w:pStyle w:val="8"/>
        <w:tabs>
          <w:tab w:val="left" w:pos="1697"/>
        </w:tabs>
        <w:spacing w:line="367" w:lineRule="auto"/>
        <w:ind w:left="578" w:right="230" w:hanging="360"/>
        <w:rPr>
          <w:color w:val="auto"/>
        </w:rPr>
      </w:pPr>
      <w:r>
        <w:rPr>
          <w:color w:val="auto"/>
          <w:w w:val="100"/>
        </w:rPr>
        <w:t>8.1</w:t>
      </w:r>
      <w:r>
        <w:rPr>
          <w:color w:val="auto"/>
        </w:rPr>
        <w:t xml:space="preserve"> </w:t>
      </w:r>
      <w:r>
        <w:rPr>
          <w:color w:val="auto"/>
          <w:w w:val="100"/>
        </w:rPr>
        <w:t>质保</w:t>
      </w:r>
      <w:r>
        <w:rPr>
          <w:color w:val="auto"/>
          <w:spacing w:val="-1"/>
          <w:w w:val="100"/>
        </w:rPr>
        <w:t>期</w:t>
      </w:r>
      <w:r>
        <w:rPr>
          <w:rFonts w:ascii="Times New Roman" w:eastAsia="Times New Roman"/>
          <w:color w:val="auto"/>
          <w:w w:val="100"/>
          <w:u w:val="single"/>
        </w:rPr>
        <w:t xml:space="preserve"> </w:t>
      </w:r>
      <w:r>
        <w:rPr>
          <w:rFonts w:ascii="Times New Roman" w:eastAsia="Times New Roman"/>
          <w:color w:val="auto"/>
          <w:u w:val="single"/>
        </w:rPr>
        <w:tab/>
      </w:r>
      <w:r>
        <w:rPr>
          <w:color w:val="auto"/>
          <w:w w:val="100"/>
        </w:rPr>
        <w:t>年</w:t>
      </w:r>
      <w:r>
        <w:rPr>
          <w:color w:val="auto"/>
          <w:spacing w:val="-106"/>
          <w:w w:val="100"/>
        </w:rPr>
        <w:t>。</w:t>
      </w:r>
      <w:r>
        <w:rPr>
          <w:color w:val="auto"/>
          <w:w w:val="100"/>
        </w:rPr>
        <w:t>（自</w:t>
      </w:r>
      <w:r>
        <w:rPr>
          <w:color w:val="auto"/>
          <w:spacing w:val="-3"/>
          <w:w w:val="100"/>
        </w:rPr>
        <w:t>最</w:t>
      </w:r>
      <w:r>
        <w:rPr>
          <w:color w:val="auto"/>
          <w:w w:val="100"/>
        </w:rPr>
        <w:t>终验收合格之日起</w:t>
      </w:r>
      <w:r>
        <w:rPr>
          <w:color w:val="auto"/>
          <w:spacing w:val="-3"/>
          <w:w w:val="100"/>
        </w:rPr>
        <w:t>计</w:t>
      </w:r>
      <w:r>
        <w:rPr>
          <w:color w:val="auto"/>
          <w:spacing w:val="-104"/>
          <w:w w:val="100"/>
        </w:rPr>
        <w:t>）</w:t>
      </w:r>
      <w:r>
        <w:rPr>
          <w:color w:val="auto"/>
          <w:w w:val="100"/>
        </w:rPr>
        <w:t>（</w:t>
      </w:r>
      <w:r>
        <w:rPr>
          <w:color w:val="auto"/>
          <w:spacing w:val="-3"/>
          <w:w w:val="100"/>
        </w:rPr>
        <w:t>货</w:t>
      </w:r>
      <w:r>
        <w:rPr>
          <w:color w:val="auto"/>
          <w:w w:val="100"/>
        </w:rPr>
        <w:t>物生产商承诺的质保期</w:t>
      </w:r>
      <w:r>
        <w:rPr>
          <w:color w:val="auto"/>
          <w:spacing w:val="-3"/>
          <w:w w:val="100"/>
        </w:rPr>
        <w:t>长</w:t>
      </w:r>
      <w:r>
        <w:rPr>
          <w:color w:val="auto"/>
          <w:w w:val="100"/>
        </w:rPr>
        <w:t>于本约定的，以生</w:t>
      </w:r>
      <w:r>
        <w:rPr>
          <w:color w:val="auto"/>
          <w:spacing w:val="-13"/>
          <w:w w:val="100"/>
        </w:rPr>
        <w:t>产</w:t>
      </w:r>
      <w:r>
        <w:rPr>
          <w:color w:val="auto"/>
        </w:rPr>
        <w:t>商承诺的期限为准）</w:t>
      </w:r>
    </w:p>
    <w:p>
      <w:pPr>
        <w:pStyle w:val="7"/>
        <w:spacing w:line="267" w:lineRule="exact"/>
        <w:ind w:left="218"/>
        <w:rPr>
          <w:color w:val="auto"/>
        </w:rPr>
      </w:pPr>
      <w:r>
        <w:rPr>
          <w:color w:val="auto"/>
          <w:spacing w:val="-1"/>
        </w:rPr>
        <w:t>九、交货期、交货方式及交货地点</w:t>
      </w:r>
    </w:p>
    <w:p>
      <w:pPr>
        <w:pStyle w:val="22"/>
        <w:numPr>
          <w:ilvl w:val="1"/>
          <w:numId w:val="38"/>
        </w:numPr>
        <w:tabs>
          <w:tab w:val="left" w:pos="642"/>
          <w:tab w:val="left" w:pos="3418"/>
        </w:tabs>
        <w:spacing w:before="134" w:after="0" w:line="240" w:lineRule="auto"/>
        <w:ind w:left="641" w:right="0" w:hanging="424"/>
        <w:jc w:val="left"/>
        <w:rPr>
          <w:rFonts w:ascii="Times New Roman" w:eastAsia="Times New Roman"/>
          <w:color w:val="auto"/>
          <w:sz w:val="21"/>
        </w:rPr>
      </w:pPr>
      <w:r>
        <w:rPr>
          <w:color w:val="auto"/>
          <w:sz w:val="21"/>
        </w:rPr>
        <w:t>交货期：</w:t>
      </w:r>
      <w:r>
        <w:rPr>
          <w:rFonts w:ascii="Times New Roman" w:eastAsia="Times New Roman"/>
          <w:color w:val="auto"/>
          <w:sz w:val="21"/>
          <w:u w:val="single"/>
        </w:rPr>
        <w:t xml:space="preserve"> </w:t>
      </w:r>
      <w:r>
        <w:rPr>
          <w:rFonts w:ascii="Times New Roman" w:eastAsia="Times New Roman"/>
          <w:color w:val="auto"/>
          <w:sz w:val="21"/>
          <w:u w:val="single"/>
        </w:rPr>
        <w:tab/>
      </w:r>
    </w:p>
    <w:p>
      <w:pPr>
        <w:pStyle w:val="22"/>
        <w:numPr>
          <w:ilvl w:val="1"/>
          <w:numId w:val="38"/>
        </w:numPr>
        <w:tabs>
          <w:tab w:val="left" w:pos="642"/>
          <w:tab w:val="left" w:pos="3629"/>
        </w:tabs>
        <w:spacing w:before="142" w:after="0" w:line="240" w:lineRule="auto"/>
        <w:ind w:left="641" w:right="0" w:hanging="424"/>
        <w:jc w:val="left"/>
        <w:rPr>
          <w:rFonts w:ascii="Times New Roman" w:eastAsia="Times New Roman"/>
          <w:color w:val="auto"/>
          <w:sz w:val="21"/>
        </w:rPr>
      </w:pPr>
      <w:r>
        <w:rPr>
          <w:color w:val="auto"/>
          <w:sz w:val="21"/>
        </w:rPr>
        <w:t>交货方式：</w:t>
      </w:r>
      <w:r>
        <w:rPr>
          <w:rFonts w:ascii="Times New Roman" w:eastAsia="Times New Roman"/>
          <w:color w:val="auto"/>
          <w:sz w:val="21"/>
          <w:u w:val="single"/>
        </w:rPr>
        <w:t xml:space="preserve"> </w:t>
      </w:r>
      <w:r>
        <w:rPr>
          <w:rFonts w:ascii="Times New Roman" w:eastAsia="Times New Roman"/>
          <w:color w:val="auto"/>
          <w:sz w:val="21"/>
          <w:u w:val="single"/>
        </w:rPr>
        <w:tab/>
      </w:r>
    </w:p>
    <w:p>
      <w:pPr>
        <w:pStyle w:val="22"/>
        <w:numPr>
          <w:ilvl w:val="1"/>
          <w:numId w:val="38"/>
        </w:numPr>
        <w:tabs>
          <w:tab w:val="left" w:pos="642"/>
          <w:tab w:val="left" w:pos="3629"/>
        </w:tabs>
        <w:spacing w:before="139" w:after="0" w:line="367" w:lineRule="auto"/>
        <w:ind w:left="218" w:right="5894" w:firstLine="0"/>
        <w:jc w:val="left"/>
        <w:rPr>
          <w:b/>
          <w:color w:val="auto"/>
          <w:sz w:val="21"/>
        </w:rPr>
      </w:pPr>
      <w:r>
        <w:rPr>
          <w:color w:val="auto"/>
          <w:spacing w:val="-1"/>
          <w:sz w:val="21"/>
        </w:rPr>
        <w:t>交货地</w:t>
      </w:r>
      <w:r>
        <w:rPr>
          <w:color w:val="auto"/>
          <w:sz w:val="21"/>
        </w:rPr>
        <w:t>点：</w:t>
      </w:r>
      <w:r>
        <w:rPr>
          <w:rFonts w:ascii="Times New Roman" w:eastAsia="Times New Roman"/>
          <w:color w:val="auto"/>
          <w:w w:val="100"/>
          <w:sz w:val="21"/>
          <w:u w:val="single"/>
        </w:rPr>
        <w:t xml:space="preserve"> </w:t>
      </w:r>
      <w:r>
        <w:rPr>
          <w:rFonts w:ascii="Times New Roman" w:eastAsia="Times New Roman"/>
          <w:color w:val="auto"/>
          <w:sz w:val="21"/>
          <w:u w:val="single"/>
        </w:rPr>
        <w:tab/>
      </w:r>
      <w:r>
        <w:rPr>
          <w:color w:val="auto"/>
          <w:sz w:val="21"/>
        </w:rPr>
        <w:t xml:space="preserve">                 </w:t>
      </w:r>
      <w:r>
        <w:rPr>
          <w:b/>
          <w:color w:val="auto"/>
          <w:sz w:val="21"/>
        </w:rPr>
        <w:t>十、</w:t>
      </w:r>
      <w:r>
        <w:rPr>
          <w:b/>
          <w:color w:val="auto"/>
          <w:spacing w:val="-105"/>
          <w:sz w:val="21"/>
        </w:rPr>
        <w:t xml:space="preserve"> </w:t>
      </w:r>
      <w:r>
        <w:rPr>
          <w:b/>
          <w:color w:val="auto"/>
          <w:sz w:val="21"/>
        </w:rPr>
        <w:t>货款支付</w:t>
      </w:r>
    </w:p>
    <w:p>
      <w:pPr>
        <w:pStyle w:val="22"/>
        <w:numPr>
          <w:ilvl w:val="1"/>
          <w:numId w:val="39"/>
        </w:numPr>
        <w:tabs>
          <w:tab w:val="left" w:pos="745"/>
        </w:tabs>
        <w:spacing w:before="0" w:after="0" w:line="267" w:lineRule="exact"/>
        <w:ind w:left="744" w:right="0" w:hanging="527"/>
        <w:jc w:val="left"/>
        <w:rPr>
          <w:color w:val="auto"/>
          <w:sz w:val="21"/>
        </w:rPr>
      </w:pPr>
      <w:r>
        <w:rPr>
          <w:color w:val="auto"/>
          <w:sz w:val="21"/>
        </w:rPr>
        <w:t>采购资金的支付方式、时间及条件：</w:t>
      </w:r>
    </w:p>
    <w:p>
      <w:pPr>
        <w:pStyle w:val="8"/>
        <w:spacing w:before="139" w:line="367" w:lineRule="auto"/>
        <w:ind w:left="218" w:right="229" w:firstLine="420"/>
        <w:jc w:val="both"/>
        <w:rPr>
          <w:color w:val="auto"/>
        </w:rPr>
      </w:pPr>
      <w:r>
        <w:rPr>
          <w:color w:val="auto"/>
          <w:spacing w:val="-1"/>
        </w:rPr>
        <w:t>针对国内供应货物，签订合同后，</w:t>
      </w:r>
      <w:r>
        <w:rPr>
          <w:color w:val="auto"/>
        </w:rPr>
        <w:t>20</w:t>
      </w:r>
      <w:r>
        <w:rPr>
          <w:color w:val="auto"/>
          <w:spacing w:val="-9"/>
        </w:rPr>
        <w:t xml:space="preserve"> 日内预付合同金额的 </w:t>
      </w:r>
      <w:r>
        <w:rPr>
          <w:color w:val="auto"/>
        </w:rPr>
        <w:t>30%，全部货物交货并最终验收合格</w:t>
      </w:r>
      <w:r>
        <w:rPr>
          <w:color w:val="auto"/>
          <w:spacing w:val="-2"/>
        </w:rPr>
        <w:t xml:space="preserve">后，凭验收凭证和货物验收合格等文件 </w:t>
      </w:r>
      <w:r>
        <w:rPr>
          <w:color w:val="auto"/>
        </w:rPr>
        <w:t>20</w:t>
      </w:r>
      <w:r>
        <w:rPr>
          <w:color w:val="auto"/>
          <w:spacing w:val="-7"/>
        </w:rPr>
        <w:t xml:space="preserve"> 日内支付至合同金额的 </w:t>
      </w:r>
      <w:r>
        <w:rPr>
          <w:color w:val="auto"/>
        </w:rPr>
        <w:t>100%，质量保证金质保期满后，</w:t>
      </w:r>
      <w:r>
        <w:rPr>
          <w:color w:val="auto"/>
          <w:spacing w:val="-102"/>
        </w:rPr>
        <w:t xml:space="preserve"> </w:t>
      </w:r>
      <w:r>
        <w:rPr>
          <w:color w:val="auto"/>
        </w:rPr>
        <w:t>经有关单位确认无质量问题后，一次性无息付清。具体内容以最终签署的合同约定为准。</w:t>
      </w:r>
    </w:p>
    <w:p>
      <w:pPr>
        <w:pStyle w:val="8"/>
        <w:spacing w:line="263" w:lineRule="exact"/>
        <w:ind w:left="638"/>
        <w:jc w:val="both"/>
        <w:rPr>
          <w:color w:val="auto"/>
        </w:rPr>
      </w:pPr>
      <w:r>
        <w:rPr>
          <w:color w:val="auto"/>
          <w:spacing w:val="-4"/>
          <w:w w:val="100"/>
        </w:rPr>
        <w:t>针对国外供应货物</w:t>
      </w:r>
      <w:r>
        <w:rPr>
          <w:color w:val="auto"/>
          <w:w w:val="100"/>
        </w:rPr>
        <w:t>（</w:t>
      </w:r>
      <w:r>
        <w:rPr>
          <w:color w:val="auto"/>
          <w:spacing w:val="-2"/>
          <w:w w:val="100"/>
        </w:rPr>
        <w:t>进口货物</w:t>
      </w:r>
      <w:r>
        <w:rPr>
          <w:color w:val="auto"/>
          <w:spacing w:val="-108"/>
          <w:w w:val="100"/>
        </w:rPr>
        <w:t>）</w:t>
      </w:r>
      <w:r>
        <w:rPr>
          <w:color w:val="auto"/>
          <w:spacing w:val="-4"/>
          <w:w w:val="100"/>
        </w:rPr>
        <w:t>，由外贸公司开具全额发票，外贸合同中采用</w:t>
      </w:r>
      <w:r>
        <w:rPr>
          <w:color w:val="auto"/>
          <w:spacing w:val="-54"/>
        </w:rPr>
        <w:t xml:space="preserve"> </w:t>
      </w:r>
      <w:r>
        <w:rPr>
          <w:color w:val="auto"/>
          <w:w w:val="100"/>
        </w:rPr>
        <w:t>100%</w:t>
      </w:r>
      <w:r>
        <w:rPr>
          <w:color w:val="auto"/>
          <w:spacing w:val="-4"/>
          <w:w w:val="100"/>
        </w:rPr>
        <w:t>信用证，</w:t>
      </w:r>
      <w:r>
        <w:rPr>
          <w:color w:val="auto"/>
          <w:w w:val="100"/>
        </w:rPr>
        <w:t>90%</w:t>
      </w:r>
    </w:p>
    <w:p>
      <w:pPr>
        <w:pStyle w:val="8"/>
        <w:spacing w:before="141"/>
        <w:ind w:left="218"/>
        <w:rPr>
          <w:color w:val="auto"/>
        </w:rPr>
      </w:pPr>
      <w:r>
        <w:rPr>
          <w:color w:val="auto"/>
          <w:spacing w:val="-1"/>
        </w:rPr>
        <w:t>见单即付，</w:t>
      </w:r>
      <w:r>
        <w:rPr>
          <w:color w:val="auto"/>
        </w:rPr>
        <w:t>10%凭最终用户方签字和盖章的验收报告支付。</w:t>
      </w:r>
    </w:p>
    <w:p>
      <w:pPr>
        <w:pStyle w:val="22"/>
        <w:numPr>
          <w:ilvl w:val="1"/>
          <w:numId w:val="39"/>
        </w:numPr>
        <w:tabs>
          <w:tab w:val="left" w:pos="692"/>
        </w:tabs>
        <w:spacing w:before="140" w:after="0" w:line="240" w:lineRule="auto"/>
        <w:ind w:left="691" w:right="0" w:hanging="474"/>
        <w:jc w:val="both"/>
        <w:rPr>
          <w:color w:val="auto"/>
          <w:sz w:val="21"/>
        </w:rPr>
      </w:pPr>
      <w:r>
        <w:rPr>
          <w:color w:val="auto"/>
          <w:sz w:val="21"/>
        </w:rPr>
        <w:t>乙方（卖方）账户信息：</w:t>
      </w:r>
    </w:p>
    <w:p>
      <w:pPr>
        <w:pStyle w:val="8"/>
        <w:tabs>
          <w:tab w:val="left" w:pos="5095"/>
        </w:tabs>
        <w:spacing w:before="141" w:line="364" w:lineRule="auto"/>
        <w:ind w:left="638" w:right="4428"/>
        <w:jc w:val="both"/>
        <w:rPr>
          <w:rFonts w:ascii="Times New Roman" w:eastAsia="Times New Roman"/>
          <w:color w:val="auto"/>
        </w:rPr>
      </w:pPr>
      <w:r>
        <w:rPr>
          <w:color w:val="auto"/>
          <w:spacing w:val="-1"/>
        </w:rPr>
        <w:t>乙方</w:t>
      </w:r>
      <w:r>
        <w:rPr>
          <w:color w:val="auto"/>
        </w:rPr>
        <w:t>（卖方）户名：</w:t>
      </w:r>
      <w:r>
        <w:rPr>
          <w:rFonts w:ascii="Times New Roman" w:eastAsia="Times New Roman"/>
          <w:color w:val="auto"/>
          <w:w w:val="100"/>
          <w:u w:val="single"/>
        </w:rPr>
        <w:t xml:space="preserve"> </w:t>
      </w:r>
      <w:r>
        <w:rPr>
          <w:rFonts w:ascii="Times New Roman" w:eastAsia="Times New Roman"/>
          <w:color w:val="auto"/>
          <w:u w:val="single"/>
        </w:rPr>
        <w:tab/>
      </w:r>
      <w:r>
        <w:rPr>
          <w:color w:val="auto"/>
          <w:spacing w:val="-1"/>
          <w:u w:val="single"/>
        </w:rPr>
        <w:t xml:space="preserve">                      </w:t>
      </w:r>
      <w:r>
        <w:rPr>
          <w:color w:val="auto"/>
          <w:spacing w:val="22"/>
          <w:u w:val="single"/>
        </w:rPr>
        <w:t xml:space="preserve"> </w:t>
      </w:r>
      <w:r>
        <w:rPr>
          <w:color w:val="auto"/>
          <w:spacing w:val="-1"/>
        </w:rPr>
        <w:t>乙方</w:t>
      </w:r>
      <w:r>
        <w:rPr>
          <w:color w:val="auto"/>
        </w:rPr>
        <w:t>（卖方）账号：</w:t>
      </w:r>
      <w:r>
        <w:rPr>
          <w:rFonts w:ascii="Times New Roman" w:eastAsia="Times New Roman"/>
          <w:color w:val="auto"/>
          <w:w w:val="100"/>
          <w:u w:val="single"/>
        </w:rPr>
        <w:t xml:space="preserve"> </w:t>
      </w:r>
      <w:r>
        <w:rPr>
          <w:rFonts w:ascii="Times New Roman" w:eastAsia="Times New Roman"/>
          <w:color w:val="auto"/>
          <w:u w:val="single"/>
        </w:rPr>
        <w:tab/>
      </w:r>
      <w:r>
        <w:rPr>
          <w:color w:val="auto"/>
          <w:u w:val="single"/>
        </w:rPr>
        <w:t xml:space="preserve">                       </w:t>
      </w:r>
      <w:r>
        <w:rPr>
          <w:color w:val="auto"/>
        </w:rPr>
        <w:t>乙方（卖方）开户行：</w:t>
      </w:r>
      <w:r>
        <w:rPr>
          <w:rFonts w:ascii="Times New Roman" w:eastAsia="Times New Roman"/>
          <w:color w:val="auto"/>
          <w:u w:val="single"/>
        </w:rPr>
        <w:t xml:space="preserve"> </w:t>
      </w:r>
      <w:r>
        <w:rPr>
          <w:rFonts w:ascii="Times New Roman" w:eastAsia="Times New Roman"/>
          <w:color w:val="auto"/>
          <w:u w:val="single"/>
        </w:rPr>
        <w:tab/>
      </w:r>
    </w:p>
    <w:p>
      <w:pPr>
        <w:pStyle w:val="7"/>
        <w:spacing w:before="2"/>
        <w:ind w:left="218"/>
        <w:rPr>
          <w:color w:val="auto"/>
        </w:rPr>
      </w:pPr>
      <w:r>
        <w:rPr>
          <w:color w:val="auto"/>
          <w:spacing w:val="-1"/>
        </w:rPr>
        <w:t>十一.税费</w:t>
      </w:r>
    </w:p>
    <w:p>
      <w:pPr>
        <w:spacing w:before="141" w:line="364" w:lineRule="auto"/>
        <w:ind w:left="218" w:right="4629" w:firstLine="0"/>
        <w:jc w:val="left"/>
        <w:rPr>
          <w:b/>
          <w:color w:val="auto"/>
          <w:sz w:val="21"/>
        </w:rPr>
      </w:pPr>
      <w:r>
        <w:rPr>
          <w:color w:val="auto"/>
          <w:spacing w:val="-1"/>
          <w:sz w:val="21"/>
        </w:rPr>
        <w:t>11.1</w:t>
      </w:r>
      <w:r>
        <w:rPr>
          <w:color w:val="auto"/>
          <w:spacing w:val="-8"/>
          <w:sz w:val="21"/>
        </w:rPr>
        <w:t xml:space="preserve"> 本合同执行中相关的一切税费均由乙方负担。</w:t>
      </w:r>
      <w:r>
        <w:rPr>
          <w:b/>
          <w:color w:val="auto"/>
          <w:sz w:val="21"/>
        </w:rPr>
        <w:t>十二、质量保证及售后服务</w:t>
      </w:r>
    </w:p>
    <w:p>
      <w:pPr>
        <w:pStyle w:val="22"/>
        <w:numPr>
          <w:ilvl w:val="1"/>
          <w:numId w:val="40"/>
        </w:numPr>
        <w:tabs>
          <w:tab w:val="left" w:pos="745"/>
        </w:tabs>
        <w:spacing w:before="1" w:after="0" w:line="240" w:lineRule="auto"/>
        <w:ind w:left="744" w:right="0" w:hanging="527"/>
        <w:jc w:val="left"/>
        <w:rPr>
          <w:color w:val="auto"/>
          <w:sz w:val="21"/>
        </w:rPr>
      </w:pPr>
      <w:r>
        <w:rPr>
          <w:color w:val="auto"/>
          <w:sz w:val="21"/>
        </w:rPr>
        <w:t>乙方应按招标文件规定的货物性能、技术要求、质量标准向甲方提供未经使用的全新产品。</w:t>
      </w:r>
    </w:p>
    <w:p>
      <w:pPr>
        <w:spacing w:after="0" w:line="240" w:lineRule="auto"/>
        <w:jc w:val="left"/>
        <w:rPr>
          <w:color w:val="auto"/>
          <w:sz w:val="21"/>
        </w:rPr>
        <w:sectPr>
          <w:footerReference r:id="rId23" w:type="default"/>
          <w:pgSz w:w="11910" w:h="16840"/>
          <w:pgMar w:top="1460" w:right="1180" w:bottom="1080" w:left="1200" w:header="0" w:footer="886" w:gutter="0"/>
          <w:cols w:space="720" w:num="1"/>
        </w:sectPr>
      </w:pPr>
    </w:p>
    <w:p>
      <w:pPr>
        <w:pStyle w:val="22"/>
        <w:numPr>
          <w:ilvl w:val="1"/>
          <w:numId w:val="40"/>
        </w:numPr>
        <w:tabs>
          <w:tab w:val="left" w:pos="692"/>
        </w:tabs>
        <w:spacing w:before="45" w:after="0" w:line="367" w:lineRule="auto"/>
        <w:ind w:left="638" w:right="231" w:hanging="420"/>
        <w:jc w:val="left"/>
        <w:rPr>
          <w:color w:val="auto"/>
          <w:sz w:val="21"/>
        </w:rPr>
      </w:pPr>
      <w:r>
        <w:rPr>
          <w:color w:val="auto"/>
          <w:spacing w:val="-1"/>
          <w:sz w:val="21"/>
        </w:rPr>
        <w:t>乙方提供的货物在质量期内因货物本身的质量问题发生故障，乙方应负责免费更换。对达不到</w:t>
      </w:r>
      <w:r>
        <w:rPr>
          <w:color w:val="auto"/>
          <w:sz w:val="21"/>
        </w:rPr>
        <w:t>技术要求者，根据实际情况，经双方协商，可按以下办法处理：</w:t>
      </w:r>
    </w:p>
    <w:p>
      <w:pPr>
        <w:pStyle w:val="8"/>
        <w:spacing w:line="265" w:lineRule="exact"/>
        <w:ind w:left="638"/>
        <w:rPr>
          <w:color w:val="auto"/>
        </w:rPr>
      </w:pPr>
      <w:r>
        <w:rPr>
          <w:color w:val="auto"/>
        </w:rPr>
        <w:t>⑴更换：由乙方承担所发生的全部费用。</w:t>
      </w:r>
    </w:p>
    <w:p>
      <w:pPr>
        <w:pStyle w:val="8"/>
        <w:spacing w:before="141"/>
        <w:ind w:left="638"/>
        <w:rPr>
          <w:color w:val="auto"/>
        </w:rPr>
      </w:pPr>
      <w:r>
        <w:rPr>
          <w:color w:val="auto"/>
        </w:rPr>
        <w:t>⑵贬值处理：由甲乙双方合议定价。</w:t>
      </w:r>
    </w:p>
    <w:p>
      <w:pPr>
        <w:pStyle w:val="8"/>
        <w:spacing w:before="139" w:line="367" w:lineRule="auto"/>
        <w:ind w:left="638" w:right="233"/>
        <w:rPr>
          <w:color w:val="auto"/>
        </w:rPr>
      </w:pPr>
      <w:r>
        <w:rPr>
          <w:color w:val="auto"/>
        </w:rPr>
        <w:t>⑶退货处理：乙方应退还甲方支付的合同款，同时应承担该货物的直接费用（运输、保险、检验、货款利息及银行手续费等</w:t>
      </w:r>
      <w:r>
        <w:rPr>
          <w:color w:val="auto"/>
          <w:spacing w:val="-108"/>
        </w:rPr>
        <w:t>）</w:t>
      </w:r>
      <w:r>
        <w:rPr>
          <w:color w:val="auto"/>
        </w:rPr>
        <w:t>。</w:t>
      </w:r>
    </w:p>
    <w:p>
      <w:pPr>
        <w:pStyle w:val="22"/>
        <w:numPr>
          <w:ilvl w:val="1"/>
          <w:numId w:val="40"/>
        </w:numPr>
        <w:tabs>
          <w:tab w:val="left" w:pos="745"/>
          <w:tab w:val="left" w:pos="6942"/>
        </w:tabs>
        <w:spacing w:before="0" w:after="0" w:line="267" w:lineRule="exact"/>
        <w:ind w:left="744" w:right="0" w:hanging="527"/>
        <w:jc w:val="left"/>
        <w:rPr>
          <w:color w:val="auto"/>
          <w:sz w:val="21"/>
        </w:rPr>
      </w:pPr>
      <w:r>
        <w:rPr>
          <w:color w:val="auto"/>
          <w:sz w:val="21"/>
        </w:rPr>
        <w:t>如在使用过程中发生质量问题，乙方在接到甲方通知后在</w:t>
      </w:r>
      <w:r>
        <w:rPr>
          <w:rFonts w:ascii="Times New Roman" w:eastAsia="Times New Roman"/>
          <w:color w:val="auto"/>
          <w:sz w:val="21"/>
          <w:u w:val="single"/>
        </w:rPr>
        <w:tab/>
      </w:r>
      <w:r>
        <w:rPr>
          <w:color w:val="auto"/>
          <w:spacing w:val="-1"/>
          <w:sz w:val="21"/>
        </w:rPr>
        <w:t>小时内</w:t>
      </w:r>
      <w:r>
        <w:rPr>
          <w:color w:val="auto"/>
          <w:sz w:val="21"/>
        </w:rPr>
        <w:t>到达甲方现场。</w:t>
      </w:r>
    </w:p>
    <w:p>
      <w:pPr>
        <w:pStyle w:val="22"/>
        <w:numPr>
          <w:ilvl w:val="1"/>
          <w:numId w:val="40"/>
        </w:numPr>
        <w:tabs>
          <w:tab w:val="left" w:pos="745"/>
        </w:tabs>
        <w:spacing w:before="139" w:after="0" w:line="240" w:lineRule="auto"/>
        <w:ind w:left="744" w:right="0" w:hanging="527"/>
        <w:jc w:val="left"/>
        <w:rPr>
          <w:color w:val="auto"/>
          <w:sz w:val="21"/>
        </w:rPr>
      </w:pPr>
      <w:r>
        <w:rPr>
          <w:color w:val="auto"/>
          <w:spacing w:val="-1"/>
          <w:sz w:val="21"/>
        </w:rPr>
        <w:t>在质保期内，乙方应对货物出现的质量及安全问题负责处理解决并承担一切费用。</w:t>
      </w:r>
    </w:p>
    <w:p>
      <w:pPr>
        <w:pStyle w:val="22"/>
        <w:numPr>
          <w:ilvl w:val="1"/>
          <w:numId w:val="40"/>
        </w:numPr>
        <w:tabs>
          <w:tab w:val="left" w:pos="747"/>
          <w:tab w:val="left" w:pos="3593"/>
        </w:tabs>
        <w:spacing w:before="141" w:after="0" w:line="367" w:lineRule="auto"/>
        <w:ind w:left="638" w:right="230" w:hanging="420"/>
        <w:jc w:val="left"/>
        <w:rPr>
          <w:color w:val="auto"/>
          <w:sz w:val="21"/>
        </w:rPr>
      </w:pPr>
      <w:r>
        <w:rPr>
          <w:color w:val="auto"/>
          <w:sz w:val="21"/>
        </w:rPr>
        <w:t>上述的货物免费保修期为</w:t>
      </w:r>
      <w:r>
        <w:rPr>
          <w:rFonts w:ascii="Times New Roman" w:eastAsia="Times New Roman"/>
          <w:color w:val="auto"/>
          <w:sz w:val="21"/>
          <w:u w:val="single"/>
        </w:rPr>
        <w:tab/>
      </w:r>
      <w:r>
        <w:rPr>
          <w:color w:val="auto"/>
          <w:sz w:val="21"/>
        </w:rPr>
        <w:t>年，因非按货物正常使用方式使用货物出现的故障不在免费保修范围内。超过保修期的机器设备，终生维修，维修时只收部件成本费。</w:t>
      </w:r>
    </w:p>
    <w:p>
      <w:pPr>
        <w:pStyle w:val="7"/>
        <w:spacing w:line="265" w:lineRule="exact"/>
        <w:ind w:left="218"/>
        <w:rPr>
          <w:color w:val="auto"/>
        </w:rPr>
      </w:pPr>
      <w:r>
        <w:rPr>
          <w:color w:val="auto"/>
          <w:spacing w:val="-1"/>
        </w:rPr>
        <w:t>十三、调试和验收</w:t>
      </w:r>
    </w:p>
    <w:p>
      <w:pPr>
        <w:pStyle w:val="22"/>
        <w:numPr>
          <w:ilvl w:val="1"/>
          <w:numId w:val="41"/>
        </w:numPr>
        <w:tabs>
          <w:tab w:val="left" w:pos="747"/>
        </w:tabs>
        <w:spacing w:before="142" w:after="0" w:line="364" w:lineRule="auto"/>
        <w:ind w:left="638" w:right="233" w:hanging="420"/>
        <w:jc w:val="both"/>
        <w:rPr>
          <w:color w:val="auto"/>
          <w:sz w:val="21"/>
        </w:rPr>
      </w:pPr>
      <w:r>
        <w:rPr>
          <w:color w:val="auto"/>
          <w:sz w:val="21"/>
        </w:rPr>
        <w:t>甲方对乙方提交的货物依据招标文件上的技术规格要求和国家有关质量标准进行现场初步验收，数量、外观、说明书及其他附随资料符合招标文件技术要求的，给予签收，初步验收不合格的不予签收。货到后，甲方需在五个工作日内验收。</w:t>
      </w:r>
    </w:p>
    <w:p>
      <w:pPr>
        <w:pStyle w:val="22"/>
        <w:numPr>
          <w:ilvl w:val="1"/>
          <w:numId w:val="41"/>
        </w:numPr>
        <w:tabs>
          <w:tab w:val="left" w:pos="692"/>
        </w:tabs>
        <w:spacing w:before="2" w:after="0" w:line="364" w:lineRule="auto"/>
        <w:ind w:left="638" w:right="232" w:hanging="420"/>
        <w:jc w:val="both"/>
        <w:rPr>
          <w:color w:val="auto"/>
          <w:sz w:val="21"/>
        </w:rPr>
      </w:pPr>
      <w:r>
        <w:rPr>
          <w:color w:val="auto"/>
          <w:spacing w:val="-1"/>
          <w:sz w:val="21"/>
        </w:rPr>
        <w:t>乙方交货前应对产品作出全面检查和对验收文件进行整理，并列出清单，作为甲方收货验收和</w:t>
      </w:r>
      <w:r>
        <w:rPr>
          <w:color w:val="auto"/>
          <w:sz w:val="21"/>
        </w:rPr>
        <w:t>使用的技术条件依据，检验的结果应随货物交甲方。</w:t>
      </w:r>
    </w:p>
    <w:p>
      <w:pPr>
        <w:pStyle w:val="22"/>
        <w:numPr>
          <w:ilvl w:val="1"/>
          <w:numId w:val="41"/>
        </w:numPr>
        <w:tabs>
          <w:tab w:val="left" w:pos="692"/>
        </w:tabs>
        <w:spacing w:before="0" w:after="0" w:line="367" w:lineRule="auto"/>
        <w:ind w:left="638" w:right="232" w:hanging="420"/>
        <w:jc w:val="both"/>
        <w:rPr>
          <w:color w:val="auto"/>
          <w:sz w:val="21"/>
        </w:rPr>
      </w:pPr>
      <w:r>
        <w:rPr>
          <w:color w:val="auto"/>
          <w:spacing w:val="-1"/>
          <w:sz w:val="21"/>
        </w:rPr>
        <w:t>甲方对乙方提供的货物在使用前进行调试时，乙方需负责安装并培训甲方的使用操作人员，并</w:t>
      </w:r>
      <w:r>
        <w:rPr>
          <w:color w:val="auto"/>
          <w:sz w:val="21"/>
        </w:rPr>
        <w:t>协助甲方一起调试，直到符合技术要求，甲方才做最终验收。</w:t>
      </w:r>
    </w:p>
    <w:p>
      <w:pPr>
        <w:pStyle w:val="22"/>
        <w:numPr>
          <w:ilvl w:val="1"/>
          <w:numId w:val="41"/>
        </w:numPr>
        <w:tabs>
          <w:tab w:val="left" w:pos="692"/>
        </w:tabs>
        <w:spacing w:before="0" w:after="0" w:line="367" w:lineRule="auto"/>
        <w:ind w:left="638" w:right="124" w:hanging="420"/>
        <w:jc w:val="both"/>
        <w:rPr>
          <w:color w:val="auto"/>
          <w:sz w:val="21"/>
        </w:rPr>
      </w:pPr>
      <w:r>
        <w:rPr>
          <w:color w:val="auto"/>
          <w:sz w:val="21"/>
        </w:rPr>
        <w:t>对技术复杂的货物，甲方可请国家认可的专业检测机构参与初步验收及最终验收，并由其出具</w:t>
      </w:r>
      <w:r>
        <w:rPr>
          <w:color w:val="auto"/>
          <w:spacing w:val="-2"/>
          <w:sz w:val="21"/>
        </w:rPr>
        <w:t>质量检测报告。检测结果符合国家标准和甲方要求的，检测费用由甲方承担；否则由乙方承担。</w:t>
      </w:r>
    </w:p>
    <w:p>
      <w:pPr>
        <w:pStyle w:val="22"/>
        <w:numPr>
          <w:ilvl w:val="1"/>
          <w:numId w:val="41"/>
        </w:numPr>
        <w:tabs>
          <w:tab w:val="left" w:pos="745"/>
        </w:tabs>
        <w:spacing w:before="0" w:after="0" w:line="367" w:lineRule="auto"/>
        <w:ind w:left="218" w:right="1425" w:firstLine="0"/>
        <w:jc w:val="both"/>
        <w:rPr>
          <w:b/>
          <w:color w:val="auto"/>
          <w:sz w:val="21"/>
        </w:rPr>
      </w:pPr>
      <w:r>
        <w:rPr>
          <w:color w:val="auto"/>
          <w:sz w:val="21"/>
        </w:rPr>
        <w:t>验收时乙方必须在现场，验收完毕后作出验收结果报告；验收费用由乙方承担。</w:t>
      </w:r>
      <w:r>
        <w:rPr>
          <w:b/>
          <w:color w:val="auto"/>
          <w:sz w:val="21"/>
        </w:rPr>
        <w:t>十四、货物包装、发运及运输</w:t>
      </w:r>
    </w:p>
    <w:p>
      <w:pPr>
        <w:pStyle w:val="22"/>
        <w:numPr>
          <w:ilvl w:val="1"/>
          <w:numId w:val="42"/>
        </w:numPr>
        <w:tabs>
          <w:tab w:val="left" w:pos="692"/>
        </w:tabs>
        <w:spacing w:before="0" w:after="0" w:line="364" w:lineRule="auto"/>
        <w:ind w:left="638" w:right="232" w:hanging="420"/>
        <w:jc w:val="both"/>
        <w:rPr>
          <w:color w:val="auto"/>
          <w:sz w:val="21"/>
        </w:rPr>
      </w:pPr>
      <w:r>
        <w:rPr>
          <w:color w:val="auto"/>
          <w:spacing w:val="-1"/>
          <w:sz w:val="21"/>
        </w:rPr>
        <w:t>乙方应在货物发运前对其进行满足运输距离、防潮、防震、防锈和防破损装卸等要求包装，以</w:t>
      </w:r>
      <w:r>
        <w:rPr>
          <w:color w:val="auto"/>
          <w:sz w:val="21"/>
        </w:rPr>
        <w:t>保证货物安全运达甲方指定地点。</w:t>
      </w:r>
    </w:p>
    <w:p>
      <w:pPr>
        <w:pStyle w:val="22"/>
        <w:numPr>
          <w:ilvl w:val="1"/>
          <w:numId w:val="42"/>
        </w:numPr>
        <w:tabs>
          <w:tab w:val="left" w:pos="745"/>
        </w:tabs>
        <w:spacing w:before="0" w:after="0" w:line="240" w:lineRule="auto"/>
        <w:ind w:left="744" w:right="0" w:hanging="527"/>
        <w:jc w:val="both"/>
        <w:rPr>
          <w:color w:val="auto"/>
          <w:sz w:val="21"/>
        </w:rPr>
      </w:pPr>
      <w:r>
        <w:rPr>
          <w:color w:val="auto"/>
          <w:sz w:val="21"/>
        </w:rPr>
        <w:t>使用说明书、质量检验证明书、随配附件和工具以及清单一并附于货物内。</w:t>
      </w:r>
    </w:p>
    <w:p>
      <w:pPr>
        <w:pStyle w:val="22"/>
        <w:numPr>
          <w:ilvl w:val="1"/>
          <w:numId w:val="42"/>
        </w:numPr>
        <w:tabs>
          <w:tab w:val="left" w:pos="745"/>
        </w:tabs>
        <w:spacing w:before="130" w:after="0" w:line="240" w:lineRule="auto"/>
        <w:ind w:left="744" w:right="0" w:hanging="527"/>
        <w:jc w:val="both"/>
        <w:rPr>
          <w:color w:val="auto"/>
          <w:sz w:val="21"/>
        </w:rPr>
      </w:pPr>
      <w:r>
        <w:rPr>
          <w:color w:val="auto"/>
          <w:spacing w:val="-5"/>
          <w:sz w:val="21"/>
        </w:rPr>
        <w:t xml:space="preserve">乙方在货物发运手续办理完毕后 </w:t>
      </w:r>
      <w:r>
        <w:rPr>
          <w:color w:val="auto"/>
          <w:sz w:val="21"/>
        </w:rPr>
        <w:t>24</w:t>
      </w:r>
      <w:r>
        <w:rPr>
          <w:color w:val="auto"/>
          <w:spacing w:val="-13"/>
          <w:sz w:val="21"/>
        </w:rPr>
        <w:t xml:space="preserve"> 小时内或货到甲方 </w:t>
      </w:r>
      <w:r>
        <w:rPr>
          <w:color w:val="auto"/>
          <w:sz w:val="21"/>
        </w:rPr>
        <w:t>48</w:t>
      </w:r>
      <w:r>
        <w:rPr>
          <w:color w:val="auto"/>
          <w:spacing w:val="-8"/>
          <w:sz w:val="21"/>
        </w:rPr>
        <w:t xml:space="preserve"> 小时前通知甲方，以准备接货。</w:t>
      </w:r>
    </w:p>
    <w:p>
      <w:pPr>
        <w:pStyle w:val="22"/>
        <w:numPr>
          <w:ilvl w:val="1"/>
          <w:numId w:val="42"/>
        </w:numPr>
        <w:tabs>
          <w:tab w:val="left" w:pos="745"/>
        </w:tabs>
        <w:spacing w:before="139" w:after="0" w:line="240" w:lineRule="auto"/>
        <w:ind w:left="744" w:right="0" w:hanging="527"/>
        <w:jc w:val="left"/>
        <w:rPr>
          <w:color w:val="auto"/>
          <w:sz w:val="21"/>
        </w:rPr>
      </w:pPr>
      <w:r>
        <w:rPr>
          <w:color w:val="auto"/>
          <w:sz w:val="21"/>
        </w:rPr>
        <w:t>货物在交付甲方前发生的风险均由乙方负责。</w:t>
      </w:r>
    </w:p>
    <w:p>
      <w:pPr>
        <w:pStyle w:val="22"/>
        <w:numPr>
          <w:ilvl w:val="1"/>
          <w:numId w:val="42"/>
        </w:numPr>
        <w:tabs>
          <w:tab w:val="left" w:pos="692"/>
        </w:tabs>
        <w:spacing w:before="142" w:after="0" w:line="364" w:lineRule="auto"/>
        <w:ind w:left="638" w:right="256" w:hanging="420"/>
        <w:jc w:val="left"/>
        <w:rPr>
          <w:color w:val="auto"/>
          <w:sz w:val="21"/>
        </w:rPr>
      </w:pPr>
      <w:r>
        <w:rPr>
          <w:color w:val="auto"/>
          <w:spacing w:val="-1"/>
          <w:sz w:val="21"/>
        </w:rPr>
        <w:t>货物在规定的交付期限内由乙方送达甲方指定的地点并调试安装最终验收合格视为交付，乙方</w:t>
      </w:r>
      <w:r>
        <w:rPr>
          <w:color w:val="auto"/>
          <w:sz w:val="21"/>
        </w:rPr>
        <w:t>同时需通知甲方货物已送达。</w:t>
      </w:r>
    </w:p>
    <w:p>
      <w:pPr>
        <w:pStyle w:val="7"/>
        <w:ind w:left="218"/>
        <w:rPr>
          <w:color w:val="auto"/>
        </w:rPr>
      </w:pPr>
      <w:r>
        <w:rPr>
          <w:color w:val="auto"/>
          <w:spacing w:val="-1"/>
        </w:rPr>
        <w:t>十五、违约责任</w:t>
      </w:r>
    </w:p>
    <w:p>
      <w:pPr>
        <w:pStyle w:val="22"/>
        <w:numPr>
          <w:ilvl w:val="1"/>
          <w:numId w:val="43"/>
        </w:numPr>
        <w:tabs>
          <w:tab w:val="left" w:pos="1352"/>
        </w:tabs>
        <w:spacing w:before="142" w:after="0" w:line="364" w:lineRule="auto"/>
        <w:ind w:left="218" w:right="229" w:firstLine="659"/>
        <w:jc w:val="both"/>
        <w:rPr>
          <w:color w:val="auto"/>
          <w:sz w:val="21"/>
        </w:rPr>
      </w:pPr>
      <w:r>
        <w:rPr>
          <w:color w:val="auto"/>
          <w:spacing w:val="-1"/>
          <w:sz w:val="21"/>
        </w:rPr>
        <w:t>乙方逾期交付货物的，乙方应按逾期交货总额每日千分之六向甲方支付违约金，由甲方</w:t>
      </w:r>
      <w:r>
        <w:rPr>
          <w:color w:val="auto"/>
          <w:spacing w:val="-5"/>
          <w:sz w:val="21"/>
        </w:rPr>
        <w:t xml:space="preserve">从待付货款中扣除。逾期超过约定日期 </w:t>
      </w:r>
      <w:r>
        <w:rPr>
          <w:color w:val="auto"/>
          <w:spacing w:val="-2"/>
          <w:sz w:val="21"/>
        </w:rPr>
        <w:t>10</w:t>
      </w:r>
      <w:r>
        <w:rPr>
          <w:color w:val="auto"/>
          <w:spacing w:val="-10"/>
          <w:sz w:val="21"/>
        </w:rPr>
        <w:t xml:space="preserve"> 个工作日不能交货的，甲方可解除本合同。乙方因逾期交</w:t>
      </w:r>
      <w:r>
        <w:rPr>
          <w:color w:val="auto"/>
          <w:sz w:val="21"/>
        </w:rPr>
        <w:t>货或因其他违约行为导致甲方解除合同的，乙方应向甲方支付合同总值 20%的违约金，如造成甲方损失超过违约金的，超出部分由乙方继续承担赔偿责任。</w:t>
      </w:r>
    </w:p>
    <w:p>
      <w:pPr>
        <w:spacing w:after="0" w:line="364" w:lineRule="auto"/>
        <w:jc w:val="both"/>
        <w:rPr>
          <w:color w:val="auto"/>
          <w:sz w:val="21"/>
        </w:rPr>
        <w:sectPr>
          <w:footerReference r:id="rId24" w:type="default"/>
          <w:pgSz w:w="11910" w:h="16840"/>
          <w:pgMar w:top="1380" w:right="1180" w:bottom="1080" w:left="1200" w:header="0" w:footer="886" w:gutter="0"/>
          <w:cols w:space="720" w:num="1"/>
        </w:sectPr>
      </w:pPr>
    </w:p>
    <w:p>
      <w:pPr>
        <w:pStyle w:val="22"/>
        <w:numPr>
          <w:ilvl w:val="1"/>
          <w:numId w:val="43"/>
        </w:numPr>
        <w:tabs>
          <w:tab w:val="left" w:pos="1350"/>
        </w:tabs>
        <w:spacing w:before="45" w:after="0" w:line="364" w:lineRule="auto"/>
        <w:ind w:left="218" w:right="230" w:firstLine="657"/>
        <w:jc w:val="both"/>
        <w:rPr>
          <w:color w:val="auto"/>
          <w:sz w:val="21"/>
        </w:rPr>
      </w:pPr>
      <w:r>
        <w:rPr>
          <w:color w:val="auto"/>
          <w:spacing w:val="-1"/>
          <w:sz w:val="21"/>
        </w:rPr>
        <w:t>乙方所交的货物品种、型号、规格、技术参数、质量不符合合同规定及采购文件规定标</w:t>
      </w:r>
      <w:r>
        <w:rPr>
          <w:color w:val="auto"/>
          <w:sz w:val="21"/>
        </w:rPr>
        <w:t>准的，甲方有权拒收该货物，乙方愿意更换货物但逾期交货的，按乙方逾期交货处理。乙方拒绝更换货物的，甲方可单方面解除合同。</w:t>
      </w:r>
    </w:p>
    <w:p>
      <w:pPr>
        <w:pStyle w:val="7"/>
        <w:spacing w:before="2"/>
        <w:ind w:left="878"/>
        <w:rPr>
          <w:color w:val="auto"/>
        </w:rPr>
      </w:pPr>
      <w:r>
        <w:rPr>
          <w:color w:val="auto"/>
          <w:spacing w:val="-1"/>
        </w:rPr>
        <w:t>十六、廉政条款</w:t>
      </w:r>
    </w:p>
    <w:p>
      <w:pPr>
        <w:pStyle w:val="8"/>
        <w:spacing w:before="139" w:line="367" w:lineRule="auto"/>
        <w:ind w:left="218" w:right="229" w:firstLine="659"/>
        <w:rPr>
          <w:color w:val="auto"/>
        </w:rPr>
      </w:pPr>
      <w:r>
        <w:rPr>
          <w:color w:val="auto"/>
          <w:spacing w:val="-2"/>
        </w:rPr>
        <w:t>16.1</w:t>
      </w:r>
      <w:r>
        <w:rPr>
          <w:color w:val="auto"/>
          <w:spacing w:val="-9"/>
        </w:rPr>
        <w:t xml:space="preserve"> 乙方必须支持甲方的廉政建设，不得向甲方相关人员提供金钱和物质上的好处，一经发</w:t>
      </w:r>
      <w:r>
        <w:rPr>
          <w:color w:val="auto"/>
          <w:spacing w:val="-7"/>
        </w:rPr>
        <w:t xml:space="preserve">现处以合同金额 </w:t>
      </w:r>
      <w:r>
        <w:rPr>
          <w:color w:val="auto"/>
        </w:rPr>
        <w:t>20%的罚款。</w:t>
      </w:r>
    </w:p>
    <w:p>
      <w:pPr>
        <w:pStyle w:val="7"/>
        <w:spacing w:line="267" w:lineRule="exact"/>
        <w:ind w:left="878"/>
        <w:rPr>
          <w:color w:val="auto"/>
        </w:rPr>
      </w:pPr>
      <w:r>
        <w:rPr>
          <w:color w:val="auto"/>
          <w:spacing w:val="-1"/>
        </w:rPr>
        <w:t>十七、不可抗力事件处理</w:t>
      </w:r>
    </w:p>
    <w:p>
      <w:pPr>
        <w:pStyle w:val="22"/>
        <w:numPr>
          <w:ilvl w:val="1"/>
          <w:numId w:val="44"/>
        </w:numPr>
        <w:tabs>
          <w:tab w:val="left" w:pos="1405"/>
        </w:tabs>
        <w:spacing w:before="139" w:after="0" w:line="367" w:lineRule="auto"/>
        <w:ind w:left="218" w:right="136" w:firstLine="659"/>
        <w:jc w:val="left"/>
        <w:rPr>
          <w:color w:val="auto"/>
          <w:sz w:val="21"/>
        </w:rPr>
      </w:pPr>
      <w:r>
        <w:rPr>
          <w:color w:val="auto"/>
          <w:sz w:val="21"/>
        </w:rPr>
        <w:t>在合同有效期内，任何一方因不可抗力事件导致不能履行合同，则合同履行期可延长，</w:t>
      </w:r>
      <w:r>
        <w:rPr>
          <w:color w:val="auto"/>
          <w:spacing w:val="-102"/>
          <w:sz w:val="21"/>
        </w:rPr>
        <w:t xml:space="preserve"> </w:t>
      </w:r>
      <w:r>
        <w:rPr>
          <w:color w:val="auto"/>
          <w:sz w:val="21"/>
        </w:rPr>
        <w:t>其延长期与不可抗力影响期相同。</w:t>
      </w:r>
    </w:p>
    <w:p>
      <w:pPr>
        <w:pStyle w:val="22"/>
        <w:numPr>
          <w:ilvl w:val="1"/>
          <w:numId w:val="44"/>
        </w:numPr>
        <w:tabs>
          <w:tab w:val="left" w:pos="1402"/>
        </w:tabs>
        <w:spacing w:before="0" w:after="0" w:line="267" w:lineRule="exact"/>
        <w:ind w:left="1402" w:right="0" w:hanging="526"/>
        <w:jc w:val="left"/>
        <w:rPr>
          <w:color w:val="auto"/>
          <w:sz w:val="21"/>
        </w:rPr>
      </w:pPr>
      <w:r>
        <w:rPr>
          <w:color w:val="auto"/>
          <w:sz w:val="21"/>
        </w:rPr>
        <w:t>不可抗力事件发生后，应立即通知对方，并寄送有关权威机构出具的证明。</w:t>
      </w:r>
    </w:p>
    <w:p>
      <w:pPr>
        <w:pStyle w:val="22"/>
        <w:numPr>
          <w:ilvl w:val="1"/>
          <w:numId w:val="44"/>
        </w:numPr>
        <w:tabs>
          <w:tab w:val="left" w:pos="1402"/>
        </w:tabs>
        <w:spacing w:before="139" w:after="0" w:line="367" w:lineRule="auto"/>
        <w:ind w:left="878" w:right="872" w:hanging="3"/>
        <w:jc w:val="left"/>
        <w:rPr>
          <w:b/>
          <w:color w:val="auto"/>
          <w:sz w:val="21"/>
        </w:rPr>
      </w:pPr>
      <w:r>
        <w:rPr>
          <w:color w:val="auto"/>
          <w:spacing w:val="-7"/>
          <w:sz w:val="21"/>
        </w:rPr>
        <w:t xml:space="preserve">不可抗力事件延续 </w:t>
      </w:r>
      <w:r>
        <w:rPr>
          <w:color w:val="auto"/>
          <w:sz w:val="21"/>
        </w:rPr>
        <w:t>30</w:t>
      </w:r>
      <w:r>
        <w:rPr>
          <w:color w:val="auto"/>
          <w:spacing w:val="-8"/>
          <w:sz w:val="21"/>
        </w:rPr>
        <w:t xml:space="preserve"> 天以上，双方应通过友好协商，确定是否继续履行合同。</w:t>
      </w:r>
      <w:r>
        <w:rPr>
          <w:b/>
          <w:color w:val="auto"/>
          <w:sz w:val="21"/>
        </w:rPr>
        <w:t>十八、诉讼</w:t>
      </w:r>
    </w:p>
    <w:p>
      <w:pPr>
        <w:pStyle w:val="8"/>
        <w:spacing w:line="367" w:lineRule="auto"/>
        <w:ind w:left="218" w:right="230" w:firstLine="659"/>
        <w:rPr>
          <w:color w:val="auto"/>
        </w:rPr>
      </w:pPr>
      <w:r>
        <w:rPr>
          <w:color w:val="auto"/>
          <w:spacing w:val="-2"/>
        </w:rPr>
        <w:t>18.1</w:t>
      </w:r>
      <w:r>
        <w:rPr>
          <w:color w:val="auto"/>
          <w:spacing w:val="-9"/>
        </w:rPr>
        <w:t xml:space="preserve"> 双方在执行合同中所发生的一切争议，应通过协商解决。如协商不成，可向合同签订地</w:t>
      </w:r>
      <w:r>
        <w:rPr>
          <w:color w:val="auto"/>
        </w:rPr>
        <w:t>法院起诉，合同签订地在此约定为南京市。如因合同履行发生纠纷，适用中国法律。</w:t>
      </w:r>
    </w:p>
    <w:p>
      <w:pPr>
        <w:pStyle w:val="7"/>
        <w:spacing w:line="267" w:lineRule="exact"/>
        <w:ind w:left="878"/>
        <w:rPr>
          <w:color w:val="auto"/>
        </w:rPr>
      </w:pPr>
      <w:r>
        <w:rPr>
          <w:color w:val="auto"/>
          <w:spacing w:val="-1"/>
        </w:rPr>
        <w:t>十九、合同文件的优先顺序</w:t>
      </w:r>
    </w:p>
    <w:p>
      <w:pPr>
        <w:pStyle w:val="8"/>
        <w:spacing w:before="134" w:line="367" w:lineRule="auto"/>
        <w:ind w:left="218" w:right="230" w:firstLine="659"/>
        <w:rPr>
          <w:color w:val="auto"/>
        </w:rPr>
      </w:pPr>
      <w:r>
        <w:rPr>
          <w:color w:val="auto"/>
        </w:rPr>
        <w:t>组成合同的各项文件应互相解释，互为说明。除专用合同条款另有约定外，解释合同文件的优先顺序如下：</w:t>
      </w:r>
    </w:p>
    <w:p>
      <w:pPr>
        <w:pStyle w:val="22"/>
        <w:numPr>
          <w:ilvl w:val="0"/>
          <w:numId w:val="45"/>
        </w:numPr>
        <w:tabs>
          <w:tab w:val="left" w:pos="1408"/>
        </w:tabs>
        <w:spacing w:before="0" w:after="0" w:line="267" w:lineRule="exact"/>
        <w:ind w:left="1407" w:right="0" w:hanging="530"/>
        <w:jc w:val="left"/>
        <w:rPr>
          <w:color w:val="auto"/>
          <w:sz w:val="21"/>
        </w:rPr>
      </w:pPr>
      <w:r>
        <w:rPr>
          <w:color w:val="auto"/>
          <w:sz w:val="21"/>
        </w:rPr>
        <w:t>合同协议书；</w:t>
      </w:r>
    </w:p>
    <w:p>
      <w:pPr>
        <w:pStyle w:val="22"/>
        <w:numPr>
          <w:ilvl w:val="0"/>
          <w:numId w:val="45"/>
        </w:numPr>
        <w:tabs>
          <w:tab w:val="left" w:pos="1408"/>
        </w:tabs>
        <w:spacing w:before="139" w:after="0" w:line="240" w:lineRule="auto"/>
        <w:ind w:left="1407" w:right="0" w:hanging="530"/>
        <w:jc w:val="left"/>
        <w:rPr>
          <w:color w:val="auto"/>
          <w:sz w:val="21"/>
        </w:rPr>
      </w:pPr>
      <w:r>
        <w:rPr>
          <w:color w:val="auto"/>
          <w:sz w:val="21"/>
        </w:rPr>
        <w:t>中标通知书；</w:t>
      </w:r>
    </w:p>
    <w:p>
      <w:pPr>
        <w:pStyle w:val="22"/>
        <w:numPr>
          <w:ilvl w:val="0"/>
          <w:numId w:val="45"/>
        </w:numPr>
        <w:tabs>
          <w:tab w:val="left" w:pos="1408"/>
        </w:tabs>
        <w:spacing w:before="142" w:after="0" w:line="240" w:lineRule="auto"/>
        <w:ind w:left="1407" w:right="0" w:hanging="530"/>
        <w:jc w:val="left"/>
        <w:rPr>
          <w:color w:val="auto"/>
          <w:sz w:val="21"/>
        </w:rPr>
      </w:pPr>
      <w:r>
        <w:rPr>
          <w:color w:val="auto"/>
          <w:sz w:val="21"/>
        </w:rPr>
        <w:t>招标文件；</w:t>
      </w:r>
    </w:p>
    <w:p>
      <w:pPr>
        <w:pStyle w:val="22"/>
        <w:numPr>
          <w:ilvl w:val="0"/>
          <w:numId w:val="45"/>
        </w:numPr>
        <w:tabs>
          <w:tab w:val="left" w:pos="1408"/>
        </w:tabs>
        <w:spacing w:before="139" w:after="0" w:line="240" w:lineRule="auto"/>
        <w:ind w:left="1407" w:right="0" w:hanging="530"/>
        <w:jc w:val="left"/>
        <w:rPr>
          <w:color w:val="auto"/>
          <w:sz w:val="21"/>
        </w:rPr>
      </w:pPr>
      <w:r>
        <w:rPr>
          <w:color w:val="auto"/>
          <w:spacing w:val="-3"/>
          <w:w w:val="100"/>
          <w:sz w:val="21"/>
        </w:rPr>
        <w:t>投标函及其附录（</w:t>
      </w:r>
      <w:r>
        <w:rPr>
          <w:color w:val="auto"/>
          <w:spacing w:val="-2"/>
          <w:w w:val="100"/>
          <w:sz w:val="21"/>
        </w:rPr>
        <w:t>如果有</w:t>
      </w:r>
      <w:r>
        <w:rPr>
          <w:color w:val="auto"/>
          <w:spacing w:val="-108"/>
          <w:w w:val="100"/>
          <w:sz w:val="21"/>
        </w:rPr>
        <w:t>）</w:t>
      </w:r>
      <w:r>
        <w:rPr>
          <w:color w:val="auto"/>
          <w:w w:val="100"/>
          <w:sz w:val="21"/>
        </w:rPr>
        <w:t>；</w:t>
      </w:r>
    </w:p>
    <w:p>
      <w:pPr>
        <w:pStyle w:val="22"/>
        <w:numPr>
          <w:ilvl w:val="0"/>
          <w:numId w:val="45"/>
        </w:numPr>
        <w:tabs>
          <w:tab w:val="left" w:pos="1408"/>
        </w:tabs>
        <w:spacing w:before="141" w:after="0" w:line="240" w:lineRule="auto"/>
        <w:ind w:left="1407" w:right="0" w:hanging="530"/>
        <w:jc w:val="left"/>
        <w:rPr>
          <w:color w:val="auto"/>
          <w:sz w:val="21"/>
        </w:rPr>
      </w:pPr>
      <w:r>
        <w:rPr>
          <w:color w:val="auto"/>
          <w:sz w:val="21"/>
        </w:rPr>
        <w:t>专用合同条款及其附件；</w:t>
      </w:r>
    </w:p>
    <w:p>
      <w:pPr>
        <w:pStyle w:val="22"/>
        <w:numPr>
          <w:ilvl w:val="0"/>
          <w:numId w:val="45"/>
        </w:numPr>
        <w:tabs>
          <w:tab w:val="left" w:pos="1408"/>
        </w:tabs>
        <w:spacing w:before="141" w:after="0" w:line="240" w:lineRule="auto"/>
        <w:ind w:left="1407" w:right="0" w:hanging="530"/>
        <w:jc w:val="left"/>
        <w:rPr>
          <w:color w:val="auto"/>
          <w:sz w:val="21"/>
        </w:rPr>
      </w:pPr>
      <w:r>
        <w:rPr>
          <w:color w:val="auto"/>
          <w:sz w:val="21"/>
        </w:rPr>
        <w:t>通用合同条款；</w:t>
      </w:r>
    </w:p>
    <w:p>
      <w:pPr>
        <w:pStyle w:val="22"/>
        <w:numPr>
          <w:ilvl w:val="0"/>
          <w:numId w:val="45"/>
        </w:numPr>
        <w:tabs>
          <w:tab w:val="left" w:pos="1408"/>
        </w:tabs>
        <w:spacing w:before="139" w:after="0" w:line="240" w:lineRule="auto"/>
        <w:ind w:left="1407" w:right="0" w:hanging="530"/>
        <w:jc w:val="left"/>
        <w:rPr>
          <w:color w:val="auto"/>
          <w:sz w:val="21"/>
        </w:rPr>
      </w:pPr>
      <w:r>
        <w:rPr>
          <w:color w:val="auto"/>
          <w:sz w:val="21"/>
        </w:rPr>
        <w:t>技术标准和要求；</w:t>
      </w:r>
    </w:p>
    <w:p>
      <w:pPr>
        <w:pStyle w:val="22"/>
        <w:numPr>
          <w:ilvl w:val="0"/>
          <w:numId w:val="45"/>
        </w:numPr>
        <w:tabs>
          <w:tab w:val="left" w:pos="1408"/>
        </w:tabs>
        <w:spacing w:before="142" w:after="0" w:line="367" w:lineRule="auto"/>
        <w:ind w:left="878" w:right="6542" w:firstLine="0"/>
        <w:jc w:val="left"/>
        <w:rPr>
          <w:b/>
          <w:color w:val="auto"/>
          <w:sz w:val="21"/>
        </w:rPr>
      </w:pPr>
      <w:r>
        <w:rPr>
          <w:color w:val="auto"/>
          <w:sz w:val="21"/>
        </w:rPr>
        <w:t>其他合同文件。</w:t>
      </w:r>
      <w:r>
        <w:rPr>
          <w:b/>
          <w:color w:val="auto"/>
          <w:spacing w:val="-1"/>
          <w:sz w:val="21"/>
        </w:rPr>
        <w:t>二十、合同生效及其它</w:t>
      </w:r>
    </w:p>
    <w:p>
      <w:pPr>
        <w:pStyle w:val="22"/>
        <w:numPr>
          <w:ilvl w:val="1"/>
          <w:numId w:val="46"/>
        </w:numPr>
        <w:tabs>
          <w:tab w:val="left" w:pos="1402"/>
        </w:tabs>
        <w:spacing w:before="0" w:after="0" w:line="264" w:lineRule="exact"/>
        <w:ind w:left="1402" w:right="0" w:hanging="526"/>
        <w:jc w:val="left"/>
        <w:rPr>
          <w:color w:val="auto"/>
          <w:sz w:val="21"/>
        </w:rPr>
      </w:pPr>
      <w:r>
        <w:rPr>
          <w:color w:val="auto"/>
          <w:sz w:val="21"/>
        </w:rPr>
        <w:t>合同经双方法定代表人或授权委托代表人签字并加盖单位公章后生效。</w:t>
      </w:r>
    </w:p>
    <w:p>
      <w:pPr>
        <w:pStyle w:val="22"/>
        <w:numPr>
          <w:ilvl w:val="1"/>
          <w:numId w:val="46"/>
        </w:numPr>
        <w:tabs>
          <w:tab w:val="left" w:pos="1350"/>
        </w:tabs>
        <w:spacing w:before="141" w:after="0" w:line="240" w:lineRule="auto"/>
        <w:ind w:left="1349" w:right="0" w:hanging="474"/>
        <w:jc w:val="left"/>
        <w:rPr>
          <w:color w:val="auto"/>
          <w:sz w:val="21"/>
        </w:rPr>
      </w:pPr>
      <w:r>
        <w:rPr>
          <w:color w:val="auto"/>
          <w:sz w:val="21"/>
        </w:rPr>
        <w:t>本合同未尽事宜，遵照《合同法》有关条文执行。</w:t>
      </w:r>
    </w:p>
    <w:p>
      <w:pPr>
        <w:pStyle w:val="22"/>
        <w:numPr>
          <w:ilvl w:val="1"/>
          <w:numId w:val="46"/>
        </w:numPr>
        <w:tabs>
          <w:tab w:val="left" w:pos="1405"/>
        </w:tabs>
        <w:spacing w:before="139" w:after="0" w:line="240" w:lineRule="auto"/>
        <w:ind w:left="1404" w:right="0" w:hanging="527"/>
        <w:jc w:val="left"/>
        <w:rPr>
          <w:color w:val="auto"/>
          <w:sz w:val="21"/>
        </w:rPr>
      </w:pPr>
      <w:r>
        <w:rPr>
          <w:color w:val="auto"/>
          <w:sz w:val="21"/>
        </w:rPr>
        <w:t>本合同正本一式四份，具有同等法律效力，甲方、乙方各执两份。</w:t>
      </w:r>
    </w:p>
    <w:p>
      <w:pPr>
        <w:pStyle w:val="8"/>
        <w:rPr>
          <w:color w:val="auto"/>
          <w:sz w:val="20"/>
        </w:rPr>
      </w:pPr>
    </w:p>
    <w:p>
      <w:pPr>
        <w:pStyle w:val="8"/>
        <w:spacing w:before="1"/>
        <w:rPr>
          <w:color w:val="auto"/>
          <w:sz w:val="23"/>
        </w:rPr>
      </w:pPr>
    </w:p>
    <w:p>
      <w:pPr>
        <w:pStyle w:val="8"/>
        <w:tabs>
          <w:tab w:val="left" w:pos="5156"/>
        </w:tabs>
        <w:ind w:left="850"/>
        <w:rPr>
          <w:color w:val="auto"/>
        </w:rPr>
      </w:pPr>
      <w:r>
        <w:rPr>
          <w:color w:val="auto"/>
        </w:rPr>
        <w:t>甲方：</w:t>
      </w:r>
      <w:r>
        <w:rPr>
          <w:color w:val="auto"/>
        </w:rPr>
        <w:tab/>
      </w:r>
      <w:r>
        <w:rPr>
          <w:color w:val="auto"/>
        </w:rPr>
        <w:t>乙方：</w:t>
      </w:r>
    </w:p>
    <w:p>
      <w:pPr>
        <w:pStyle w:val="8"/>
        <w:tabs>
          <w:tab w:val="left" w:pos="5182"/>
        </w:tabs>
        <w:spacing w:before="139"/>
        <w:ind w:left="876"/>
        <w:rPr>
          <w:color w:val="auto"/>
        </w:rPr>
      </w:pPr>
      <w:r>
        <w:rPr>
          <w:color w:val="auto"/>
        </w:rPr>
        <w:t>地址：</w:t>
      </w:r>
      <w:r>
        <w:rPr>
          <w:color w:val="auto"/>
        </w:rPr>
        <w:tab/>
      </w:r>
      <w:r>
        <w:rPr>
          <w:color w:val="auto"/>
        </w:rPr>
        <w:t>地址：</w:t>
      </w:r>
    </w:p>
    <w:p>
      <w:pPr>
        <w:pStyle w:val="8"/>
        <w:spacing w:before="142"/>
        <w:ind w:left="876"/>
        <w:rPr>
          <w:color w:val="auto"/>
        </w:rPr>
      </w:pPr>
      <w:r>
        <w:rPr>
          <w:color w:val="auto"/>
        </w:rPr>
        <w:t>法定代表人或授权代表：</w:t>
      </w:r>
    </w:p>
    <w:p>
      <w:pPr>
        <w:pStyle w:val="8"/>
        <w:tabs>
          <w:tab w:val="left" w:pos="5182"/>
        </w:tabs>
        <w:spacing w:before="141"/>
        <w:ind w:left="876"/>
        <w:rPr>
          <w:color w:val="auto"/>
        </w:rPr>
      </w:pPr>
      <w:r>
        <w:rPr>
          <w:color w:val="auto"/>
        </w:rPr>
        <w:t>项目负责人:</w:t>
      </w:r>
      <w:r>
        <w:rPr>
          <w:color w:val="auto"/>
        </w:rPr>
        <w:tab/>
      </w:r>
      <w:r>
        <w:rPr>
          <w:color w:val="auto"/>
        </w:rPr>
        <w:t>法定代表人或授权代表：</w:t>
      </w:r>
    </w:p>
    <w:p>
      <w:pPr>
        <w:spacing w:after="0"/>
        <w:rPr>
          <w:color w:val="auto"/>
        </w:rPr>
        <w:sectPr>
          <w:footerReference r:id="rId25" w:type="default"/>
          <w:pgSz w:w="11910" w:h="16840"/>
          <w:pgMar w:top="1380" w:right="1180" w:bottom="1080" w:left="1200" w:header="0" w:footer="886" w:gutter="0"/>
          <w:cols w:space="720" w:num="1"/>
        </w:sectPr>
      </w:pPr>
    </w:p>
    <w:p>
      <w:pPr>
        <w:pStyle w:val="8"/>
        <w:spacing w:before="45"/>
        <w:ind w:left="876"/>
        <w:rPr>
          <w:color w:val="auto"/>
        </w:rPr>
      </w:pPr>
      <w:r>
        <w:rPr>
          <w:color w:val="auto"/>
        </w:rPr>
        <w:t>项目联系人:</w:t>
      </w:r>
    </w:p>
    <w:p>
      <w:pPr>
        <w:pStyle w:val="8"/>
        <w:tabs>
          <w:tab w:val="left" w:pos="5288"/>
        </w:tabs>
        <w:spacing w:before="142"/>
        <w:ind w:left="876"/>
        <w:rPr>
          <w:color w:val="auto"/>
        </w:rPr>
      </w:pPr>
      <w:r>
        <w:rPr>
          <w:color w:val="auto"/>
        </w:rPr>
        <w:t>联系电话：</w:t>
      </w:r>
      <w:r>
        <w:rPr>
          <w:color w:val="auto"/>
        </w:rPr>
        <w:tab/>
      </w:r>
      <w:r>
        <w:rPr>
          <w:color w:val="auto"/>
        </w:rPr>
        <w:t>联系电话：</w:t>
      </w:r>
    </w:p>
    <w:p>
      <w:pPr>
        <w:pStyle w:val="8"/>
        <w:tabs>
          <w:tab w:val="left" w:pos="2669"/>
          <w:tab w:val="left" w:pos="3192"/>
          <w:tab w:val="left" w:pos="3718"/>
        </w:tabs>
        <w:spacing w:before="139"/>
        <w:ind w:left="986"/>
        <w:rPr>
          <w:color w:val="auto"/>
        </w:rPr>
      </w:pPr>
      <w:r>
        <w:rPr>
          <w:color w:val="auto"/>
        </w:rPr>
        <w:t>签订日期：</w:t>
      </w:r>
      <w:r>
        <w:rPr>
          <w:color w:val="auto"/>
        </w:rPr>
        <w:tab/>
      </w:r>
      <w:r>
        <w:rPr>
          <w:color w:val="auto"/>
        </w:rPr>
        <w:t>年</w:t>
      </w:r>
      <w:r>
        <w:rPr>
          <w:color w:val="auto"/>
        </w:rPr>
        <w:tab/>
      </w:r>
      <w:r>
        <w:rPr>
          <w:color w:val="auto"/>
        </w:rPr>
        <w:t>月</w:t>
      </w:r>
      <w:r>
        <w:rPr>
          <w:color w:val="auto"/>
        </w:rPr>
        <w:tab/>
      </w:r>
      <w:r>
        <w:rPr>
          <w:color w:val="auto"/>
        </w:rPr>
        <w:t>日</w:t>
      </w:r>
    </w:p>
    <w:p>
      <w:pPr>
        <w:spacing w:after="0"/>
        <w:rPr>
          <w:color w:val="auto"/>
        </w:rPr>
        <w:sectPr>
          <w:footerReference r:id="rId26" w:type="default"/>
          <w:pgSz w:w="11910" w:h="16840"/>
          <w:pgMar w:top="1380" w:right="1180" w:bottom="1080" w:left="1200" w:header="0" w:footer="886" w:gutter="0"/>
          <w:cols w:space="720" w:num="1"/>
        </w:sectPr>
      </w:pPr>
    </w:p>
    <w:p>
      <w:pPr>
        <w:pStyle w:val="3"/>
        <w:ind w:right="216"/>
        <w:rPr>
          <w:color w:val="auto"/>
        </w:rPr>
      </w:pPr>
      <w:bookmarkStart w:id="2" w:name="_TOC_250002"/>
      <w:bookmarkEnd w:id="2"/>
      <w:r>
        <w:rPr>
          <w:color w:val="auto"/>
          <w:spacing w:val="-2"/>
        </w:rPr>
        <w:t>第四章 项目需求</w:t>
      </w:r>
    </w:p>
    <w:p>
      <w:pPr>
        <w:pStyle w:val="8"/>
        <w:spacing w:before="5"/>
        <w:rPr>
          <w:b/>
          <w:color w:val="auto"/>
          <w:sz w:val="24"/>
        </w:rPr>
      </w:pPr>
    </w:p>
    <w:p>
      <w:pPr>
        <w:pStyle w:val="6"/>
        <w:spacing w:line="436" w:lineRule="auto"/>
        <w:ind w:left="698" w:right="1384"/>
        <w:rPr>
          <w:color w:val="auto"/>
        </w:rPr>
      </w:pPr>
      <w:r>
        <w:rPr>
          <w:color w:val="auto"/>
        </w:rPr>
        <w:t>项目名称：南京信息工程大学投影式光固化软物质三维打印机采购项目项目编号：JZCG-2021-00170</w:t>
      </w:r>
    </w:p>
    <w:p>
      <w:pPr>
        <w:pStyle w:val="5"/>
        <w:spacing w:line="242" w:lineRule="exact"/>
        <w:ind w:right="42"/>
        <w:jc w:val="center"/>
        <w:rPr>
          <w:color w:val="auto"/>
        </w:rPr>
      </w:pPr>
      <w:r>
        <w:rPr>
          <w:color w:val="auto"/>
          <w:w w:val="95"/>
        </w:rPr>
        <w:t>技术及商务要求：</w:t>
      </w:r>
    </w:p>
    <w:p>
      <w:pPr>
        <w:pStyle w:val="8"/>
        <w:spacing w:before="4"/>
        <w:rPr>
          <w:b/>
          <w:color w:val="auto"/>
        </w:rPr>
      </w:pPr>
    </w:p>
    <w:p>
      <w:pPr>
        <w:pStyle w:val="6"/>
        <w:numPr>
          <w:ilvl w:val="0"/>
          <w:numId w:val="47"/>
        </w:numPr>
        <w:tabs>
          <w:tab w:val="left" w:pos="580"/>
        </w:tabs>
        <w:spacing w:before="0" w:after="0" w:line="240" w:lineRule="auto"/>
        <w:ind w:left="579" w:right="0" w:hanging="362"/>
        <w:jc w:val="both"/>
        <w:rPr>
          <w:color w:val="auto"/>
          <w:sz w:val="22"/>
        </w:rPr>
      </w:pPr>
      <w:r>
        <w:rPr>
          <w:b/>
          <w:color w:val="auto"/>
          <w:w w:val="95"/>
        </w:rPr>
        <w:t>货物名称</w:t>
      </w:r>
      <w:r>
        <w:rPr>
          <w:color w:val="auto"/>
          <w:w w:val="95"/>
        </w:rPr>
        <w:t>：</w:t>
      </w:r>
      <w:r>
        <w:rPr>
          <w:color w:val="auto"/>
          <w:spacing w:val="165"/>
        </w:rPr>
        <w:t xml:space="preserve"> </w:t>
      </w:r>
      <w:r>
        <w:rPr>
          <w:color w:val="auto"/>
          <w:w w:val="95"/>
        </w:rPr>
        <w:t>三维打印机</w:t>
      </w:r>
      <w:r>
        <w:rPr>
          <w:color w:val="auto"/>
          <w:spacing w:val="165"/>
        </w:rPr>
        <w:t xml:space="preserve">   </w:t>
      </w:r>
      <w:r>
        <w:rPr>
          <w:color w:val="auto"/>
          <w:w w:val="95"/>
        </w:rPr>
        <w:t>数量（单位）：</w:t>
      </w:r>
      <w:r>
        <w:rPr>
          <w:color w:val="auto"/>
          <w:spacing w:val="29"/>
          <w:w w:val="95"/>
        </w:rPr>
        <w:t xml:space="preserve"> </w:t>
      </w:r>
      <w:r>
        <w:rPr>
          <w:color w:val="auto"/>
          <w:w w:val="95"/>
        </w:rPr>
        <w:t>1</w:t>
      </w:r>
      <w:r>
        <w:rPr>
          <w:color w:val="auto"/>
          <w:spacing w:val="-22"/>
          <w:w w:val="95"/>
        </w:rPr>
        <w:t xml:space="preserve"> 台</w:t>
      </w:r>
    </w:p>
    <w:p>
      <w:pPr>
        <w:pStyle w:val="8"/>
        <w:spacing w:before="4"/>
        <w:rPr>
          <w:color w:val="auto"/>
        </w:rPr>
      </w:pPr>
    </w:p>
    <w:p>
      <w:pPr>
        <w:pStyle w:val="6"/>
        <w:numPr>
          <w:ilvl w:val="0"/>
          <w:numId w:val="47"/>
        </w:numPr>
        <w:tabs>
          <w:tab w:val="left" w:pos="580"/>
        </w:tabs>
        <w:spacing w:before="0" w:after="0" w:line="453" w:lineRule="auto"/>
        <w:ind w:left="218" w:right="232" w:firstLine="0"/>
        <w:jc w:val="both"/>
        <w:rPr>
          <w:b/>
          <w:color w:val="auto"/>
          <w:sz w:val="22"/>
        </w:rPr>
      </w:pPr>
      <w:r>
        <w:rPr>
          <w:b/>
          <w:color w:val="auto"/>
          <w:w w:val="95"/>
        </w:rPr>
        <w:t>采购标的需实现的功能或者目标：</w:t>
      </w:r>
      <w:r>
        <w:rPr>
          <w:color w:val="auto"/>
          <w:spacing w:val="1"/>
          <w:w w:val="95"/>
        </w:rPr>
        <w:t xml:space="preserve">采用面成型的 </w:t>
      </w:r>
      <w:r>
        <w:rPr>
          <w:color w:val="auto"/>
          <w:w w:val="95"/>
        </w:rPr>
        <w:t>3D</w:t>
      </w:r>
      <w:r>
        <w:rPr>
          <w:color w:val="auto"/>
          <w:spacing w:val="117"/>
        </w:rPr>
        <w:t xml:space="preserve"> </w:t>
      </w:r>
      <w:r>
        <w:rPr>
          <w:color w:val="auto"/>
          <w:w w:val="95"/>
        </w:rPr>
        <w:t>打印方法，通过计算机进行切片</w:t>
      </w:r>
      <w:r>
        <w:rPr>
          <w:color w:val="auto"/>
        </w:rPr>
        <w:t>和输出控制，使用比较少量的光敏脂及光敏水凝胶等软物质材料打印出较高精度的 3D</w:t>
      </w:r>
      <w:r>
        <w:rPr>
          <w:color w:val="auto"/>
          <w:spacing w:val="-117"/>
        </w:rPr>
        <w:t xml:space="preserve"> </w:t>
      </w:r>
      <w:r>
        <w:rPr>
          <w:color w:val="auto"/>
        </w:rPr>
        <w:t>模型，效率高且成型快。</w:t>
      </w:r>
    </w:p>
    <w:p>
      <w:pPr>
        <w:pStyle w:val="5"/>
        <w:numPr>
          <w:ilvl w:val="0"/>
          <w:numId w:val="47"/>
        </w:numPr>
        <w:tabs>
          <w:tab w:val="left" w:pos="580"/>
        </w:tabs>
        <w:spacing w:before="0" w:after="0" w:line="305" w:lineRule="exact"/>
        <w:ind w:left="579" w:right="0" w:hanging="362"/>
        <w:jc w:val="left"/>
        <w:rPr>
          <w:color w:val="auto"/>
          <w:sz w:val="22"/>
        </w:rPr>
      </w:pPr>
      <w:r>
        <w:rPr>
          <w:color w:val="auto"/>
          <w:w w:val="95"/>
        </w:rPr>
        <w:t>采购标的需满足的质量、安全、技术规格、物理特性等要求（技术指标要求）：</w:t>
      </w:r>
    </w:p>
    <w:p>
      <w:pPr>
        <w:pStyle w:val="8"/>
        <w:spacing w:before="2"/>
        <w:rPr>
          <w:b/>
          <w:color w:val="auto"/>
        </w:rPr>
      </w:pPr>
    </w:p>
    <w:p>
      <w:pPr>
        <w:pStyle w:val="6"/>
        <w:numPr>
          <w:ilvl w:val="0"/>
          <w:numId w:val="48"/>
        </w:numPr>
        <w:tabs>
          <w:tab w:val="left" w:pos="639"/>
        </w:tabs>
        <w:spacing w:before="0" w:after="0" w:line="240" w:lineRule="auto"/>
        <w:ind w:left="638" w:right="0" w:hanging="421"/>
        <w:jc w:val="left"/>
        <w:rPr>
          <w:color w:val="auto"/>
        </w:rPr>
      </w:pPr>
      <w:r>
        <w:rPr>
          <w:color w:val="auto"/>
          <w:w w:val="95"/>
        </w:rPr>
        <w:t>预置常见</w:t>
      </w:r>
      <w:r>
        <w:rPr>
          <w:color w:val="auto"/>
          <w:spacing w:val="135"/>
        </w:rPr>
        <w:t xml:space="preserve"> </w:t>
      </w:r>
      <w:r>
        <w:rPr>
          <w:color w:val="auto"/>
          <w:w w:val="95"/>
        </w:rPr>
        <w:t>3D</w:t>
      </w:r>
      <w:r>
        <w:rPr>
          <w:color w:val="auto"/>
          <w:spacing w:val="140"/>
        </w:rPr>
        <w:t xml:space="preserve"> </w:t>
      </w:r>
      <w:r>
        <w:rPr>
          <w:color w:val="auto"/>
          <w:w w:val="95"/>
        </w:rPr>
        <w:t>打印模型库，内置组织模型库与成熟打印参数，提升实验效率。</w:t>
      </w:r>
    </w:p>
    <w:p>
      <w:pPr>
        <w:pStyle w:val="8"/>
        <w:spacing w:before="4"/>
        <w:rPr>
          <w:color w:val="auto"/>
        </w:rPr>
      </w:pPr>
    </w:p>
    <w:p>
      <w:pPr>
        <w:pStyle w:val="22"/>
        <w:numPr>
          <w:ilvl w:val="0"/>
          <w:numId w:val="48"/>
        </w:numPr>
        <w:tabs>
          <w:tab w:val="left" w:pos="639"/>
        </w:tabs>
        <w:spacing w:before="0" w:after="0" w:line="453" w:lineRule="auto"/>
        <w:ind w:left="638" w:right="237" w:hanging="420"/>
        <w:jc w:val="left"/>
        <w:rPr>
          <w:color w:val="auto"/>
          <w:sz w:val="24"/>
        </w:rPr>
      </w:pPr>
      <w:r>
        <w:rPr>
          <w:color w:val="auto"/>
          <w:sz w:val="24"/>
        </w:rPr>
        <w:t>★内置载细胞打印模块，打印各类干细胞、原代细胞及肿瘤细胞等，打印后细胞存</w:t>
      </w:r>
      <w:r>
        <w:rPr>
          <w:color w:val="auto"/>
          <w:spacing w:val="-10"/>
          <w:w w:val="95"/>
          <w:sz w:val="24"/>
        </w:rPr>
        <w:t xml:space="preserve">活率可达 </w:t>
      </w:r>
      <w:r>
        <w:rPr>
          <w:color w:val="auto"/>
          <w:w w:val="95"/>
          <w:sz w:val="24"/>
        </w:rPr>
        <w:t>95%</w:t>
      </w:r>
      <w:r>
        <w:rPr>
          <w:b/>
          <w:color w:val="auto"/>
          <w:w w:val="95"/>
          <w:sz w:val="24"/>
        </w:rPr>
        <w:t>（需提供符合要求的显微图片作为证明材料）</w:t>
      </w:r>
      <w:r>
        <w:rPr>
          <w:color w:val="auto"/>
          <w:w w:val="95"/>
          <w:sz w:val="24"/>
        </w:rPr>
        <w:t>。</w:t>
      </w:r>
    </w:p>
    <w:p>
      <w:pPr>
        <w:pStyle w:val="6"/>
        <w:numPr>
          <w:ilvl w:val="0"/>
          <w:numId w:val="48"/>
        </w:numPr>
        <w:tabs>
          <w:tab w:val="left" w:pos="639"/>
        </w:tabs>
        <w:spacing w:before="0" w:after="0" w:line="304" w:lineRule="exact"/>
        <w:ind w:left="638" w:right="0" w:hanging="421"/>
        <w:jc w:val="left"/>
        <w:rPr>
          <w:color w:val="auto"/>
        </w:rPr>
      </w:pPr>
      <w:r>
        <w:rPr>
          <w:color w:val="auto"/>
        </w:rPr>
        <w:t>★支持多元化生物墨水解决方案，提供专业的技术支持。</w:t>
      </w:r>
    </w:p>
    <w:p>
      <w:pPr>
        <w:pStyle w:val="8"/>
        <w:spacing w:before="5"/>
        <w:rPr>
          <w:color w:val="auto"/>
        </w:rPr>
      </w:pPr>
    </w:p>
    <w:p>
      <w:pPr>
        <w:pStyle w:val="6"/>
        <w:numPr>
          <w:ilvl w:val="0"/>
          <w:numId w:val="48"/>
        </w:numPr>
        <w:tabs>
          <w:tab w:val="left" w:pos="639"/>
        </w:tabs>
        <w:spacing w:before="0" w:after="0" w:line="240" w:lineRule="auto"/>
        <w:ind w:left="638" w:right="0" w:hanging="421"/>
        <w:jc w:val="left"/>
        <w:rPr>
          <w:color w:val="auto"/>
        </w:rPr>
      </w:pPr>
      <w:r>
        <w:rPr>
          <w:color w:val="auto"/>
          <w:spacing w:val="-1"/>
        </w:rPr>
        <w:t>★内置柔性运动模块，提高水凝胶类软物质的可打印性。</w:t>
      </w:r>
    </w:p>
    <w:p>
      <w:pPr>
        <w:pStyle w:val="8"/>
        <w:spacing w:before="4"/>
        <w:rPr>
          <w:color w:val="auto"/>
        </w:rPr>
      </w:pPr>
    </w:p>
    <w:p>
      <w:pPr>
        <w:pStyle w:val="6"/>
        <w:numPr>
          <w:ilvl w:val="0"/>
          <w:numId w:val="48"/>
        </w:numPr>
        <w:tabs>
          <w:tab w:val="left" w:pos="639"/>
        </w:tabs>
        <w:spacing w:before="0" w:after="0" w:line="240" w:lineRule="auto"/>
        <w:ind w:left="638" w:right="0" w:hanging="421"/>
        <w:jc w:val="left"/>
        <w:rPr>
          <w:color w:val="auto"/>
        </w:rPr>
      </w:pPr>
      <w:r>
        <w:rPr>
          <w:color w:val="auto"/>
          <w:spacing w:val="-4"/>
        </w:rPr>
        <w:t xml:space="preserve">★支持单液滴打印，有效节约材料用量，单次最少墨水用量 </w:t>
      </w:r>
      <w:r>
        <w:rPr>
          <w:color w:val="auto"/>
        </w:rPr>
        <w:t>50 μL。</w:t>
      </w:r>
    </w:p>
    <w:p>
      <w:pPr>
        <w:pStyle w:val="8"/>
        <w:spacing w:before="2"/>
        <w:rPr>
          <w:color w:val="auto"/>
        </w:rPr>
      </w:pPr>
    </w:p>
    <w:p>
      <w:pPr>
        <w:pStyle w:val="6"/>
        <w:numPr>
          <w:ilvl w:val="0"/>
          <w:numId w:val="48"/>
        </w:numPr>
        <w:tabs>
          <w:tab w:val="left" w:pos="639"/>
        </w:tabs>
        <w:spacing w:before="0" w:after="0" w:line="240" w:lineRule="auto"/>
        <w:ind w:left="638" w:right="0" w:hanging="421"/>
        <w:jc w:val="left"/>
        <w:rPr>
          <w:color w:val="auto"/>
        </w:rPr>
      </w:pPr>
      <w:r>
        <w:rPr>
          <w:color w:val="auto"/>
        </w:rPr>
        <w:t>光源：405</w:t>
      </w:r>
      <w:r>
        <w:rPr>
          <w:color w:val="auto"/>
          <w:spacing w:val="-1"/>
        </w:rPr>
        <w:t xml:space="preserve"> </w:t>
      </w:r>
      <w:r>
        <w:rPr>
          <w:color w:val="auto"/>
        </w:rPr>
        <w:t>nm</w:t>
      </w:r>
    </w:p>
    <w:p>
      <w:pPr>
        <w:pStyle w:val="8"/>
        <w:spacing w:before="4"/>
        <w:rPr>
          <w:color w:val="auto"/>
        </w:rPr>
      </w:pPr>
    </w:p>
    <w:p>
      <w:pPr>
        <w:pStyle w:val="6"/>
        <w:rPr>
          <w:color w:val="auto"/>
        </w:rPr>
      </w:pPr>
      <w:r>
        <w:rPr>
          <w:color w:val="auto"/>
        </w:rPr>
        <w:t>7)</w:t>
      </w:r>
      <w:r>
        <w:rPr>
          <w:color w:val="auto"/>
          <w:spacing w:val="9"/>
        </w:rPr>
        <w:t xml:space="preserve"> 整机尺寸：</w:t>
      </w:r>
      <w:r>
        <w:rPr>
          <w:color w:val="auto"/>
        </w:rPr>
        <w:t>≤400 mm*300 mm*300 mm</w:t>
      </w:r>
    </w:p>
    <w:p>
      <w:pPr>
        <w:pStyle w:val="8"/>
        <w:spacing w:before="4"/>
        <w:rPr>
          <w:color w:val="auto"/>
        </w:rPr>
      </w:pPr>
    </w:p>
    <w:p>
      <w:pPr>
        <w:pStyle w:val="6"/>
        <w:numPr>
          <w:ilvl w:val="0"/>
          <w:numId w:val="49"/>
        </w:numPr>
        <w:tabs>
          <w:tab w:val="left" w:pos="639"/>
        </w:tabs>
        <w:spacing w:before="0" w:after="0" w:line="240" w:lineRule="auto"/>
        <w:ind w:left="638" w:right="0" w:hanging="421"/>
        <w:jc w:val="left"/>
        <w:rPr>
          <w:color w:val="auto"/>
        </w:rPr>
      </w:pPr>
      <w:r>
        <w:rPr>
          <w:color w:val="auto"/>
        </w:rPr>
        <w:t>打印尺寸：≥30</w:t>
      </w:r>
      <w:r>
        <w:rPr>
          <w:color w:val="auto"/>
          <w:spacing w:val="-1"/>
        </w:rPr>
        <w:t xml:space="preserve"> </w:t>
      </w:r>
      <w:r>
        <w:rPr>
          <w:color w:val="auto"/>
        </w:rPr>
        <w:t>mm*20 mm</w:t>
      </w:r>
    </w:p>
    <w:p>
      <w:pPr>
        <w:pStyle w:val="8"/>
        <w:spacing w:before="2"/>
        <w:rPr>
          <w:color w:val="auto"/>
        </w:rPr>
      </w:pPr>
    </w:p>
    <w:p>
      <w:pPr>
        <w:pStyle w:val="6"/>
        <w:numPr>
          <w:ilvl w:val="0"/>
          <w:numId w:val="49"/>
        </w:numPr>
        <w:tabs>
          <w:tab w:val="left" w:pos="639"/>
        </w:tabs>
        <w:spacing w:before="0" w:after="0" w:line="240" w:lineRule="auto"/>
        <w:ind w:left="638" w:right="0" w:hanging="421"/>
        <w:jc w:val="left"/>
        <w:rPr>
          <w:color w:val="auto"/>
        </w:rPr>
      </w:pPr>
      <w:r>
        <w:rPr>
          <w:color w:val="auto"/>
        </w:rPr>
        <w:t>最小打印层高：≤10</w:t>
      </w:r>
      <w:r>
        <w:rPr>
          <w:color w:val="auto"/>
          <w:spacing w:val="-1"/>
        </w:rPr>
        <w:t xml:space="preserve"> </w:t>
      </w:r>
      <w:r>
        <w:rPr>
          <w:color w:val="auto"/>
        </w:rPr>
        <w:t>μm</w:t>
      </w:r>
    </w:p>
    <w:p>
      <w:pPr>
        <w:pStyle w:val="8"/>
        <w:spacing w:before="5"/>
        <w:rPr>
          <w:color w:val="auto"/>
        </w:rPr>
      </w:pPr>
    </w:p>
    <w:p>
      <w:pPr>
        <w:pStyle w:val="6"/>
        <w:numPr>
          <w:ilvl w:val="0"/>
          <w:numId w:val="49"/>
        </w:numPr>
        <w:tabs>
          <w:tab w:val="left" w:pos="639"/>
        </w:tabs>
        <w:spacing w:before="0" w:after="0" w:line="240" w:lineRule="auto"/>
        <w:ind w:left="638" w:right="0" w:hanging="421"/>
        <w:jc w:val="left"/>
        <w:rPr>
          <w:color w:val="auto"/>
        </w:rPr>
      </w:pPr>
      <w:r>
        <w:rPr>
          <w:color w:val="auto"/>
        </w:rPr>
        <w:t>★投影分辨率：≤25</w:t>
      </w:r>
      <w:r>
        <w:rPr>
          <w:color w:val="auto"/>
          <w:spacing w:val="-1"/>
        </w:rPr>
        <w:t xml:space="preserve"> </w:t>
      </w:r>
      <w:r>
        <w:rPr>
          <w:color w:val="auto"/>
        </w:rPr>
        <w:t>μm</w:t>
      </w:r>
    </w:p>
    <w:p>
      <w:pPr>
        <w:pStyle w:val="8"/>
        <w:spacing w:before="4"/>
        <w:rPr>
          <w:color w:val="auto"/>
        </w:rPr>
      </w:pPr>
    </w:p>
    <w:p>
      <w:pPr>
        <w:pStyle w:val="6"/>
        <w:numPr>
          <w:ilvl w:val="0"/>
          <w:numId w:val="49"/>
        </w:numPr>
        <w:tabs>
          <w:tab w:val="left" w:pos="639"/>
        </w:tabs>
        <w:spacing w:before="0" w:after="0" w:line="240" w:lineRule="auto"/>
        <w:ind w:left="638" w:right="0" w:hanging="421"/>
        <w:jc w:val="left"/>
        <w:rPr>
          <w:color w:val="auto"/>
        </w:rPr>
      </w:pPr>
      <w:r>
        <w:rPr>
          <w:color w:val="auto"/>
        </w:rPr>
        <w:t>温控料槽最高温度≥50 ℃</w:t>
      </w:r>
    </w:p>
    <w:p>
      <w:pPr>
        <w:pStyle w:val="8"/>
        <w:spacing w:before="2"/>
        <w:rPr>
          <w:color w:val="auto"/>
        </w:rPr>
      </w:pPr>
    </w:p>
    <w:p>
      <w:pPr>
        <w:pStyle w:val="6"/>
        <w:numPr>
          <w:ilvl w:val="0"/>
          <w:numId w:val="49"/>
        </w:numPr>
        <w:tabs>
          <w:tab w:val="left" w:pos="639"/>
        </w:tabs>
        <w:spacing w:before="0" w:after="0" w:line="240" w:lineRule="auto"/>
        <w:ind w:left="638" w:right="0" w:hanging="421"/>
        <w:jc w:val="left"/>
        <w:rPr>
          <w:color w:val="auto"/>
        </w:rPr>
      </w:pPr>
      <w:r>
        <w:rPr>
          <w:color w:val="auto"/>
        </w:rPr>
        <w:t>温控粘附性平台最高温度≥50 ℃</w:t>
      </w:r>
    </w:p>
    <w:p>
      <w:pPr>
        <w:pStyle w:val="8"/>
        <w:spacing w:before="4"/>
        <w:rPr>
          <w:color w:val="auto"/>
        </w:rPr>
      </w:pPr>
    </w:p>
    <w:p>
      <w:pPr>
        <w:pStyle w:val="6"/>
        <w:numPr>
          <w:ilvl w:val="0"/>
          <w:numId w:val="49"/>
        </w:numPr>
        <w:tabs>
          <w:tab w:val="left" w:pos="639"/>
        </w:tabs>
        <w:spacing w:before="0" w:after="0" w:line="240" w:lineRule="auto"/>
        <w:ind w:left="638" w:right="0" w:hanging="421"/>
        <w:jc w:val="left"/>
        <w:rPr>
          <w:color w:val="auto"/>
        </w:rPr>
      </w:pPr>
      <w:r>
        <w:rPr>
          <w:color w:val="auto"/>
        </w:rPr>
        <w:t>打印高度：≥50</w:t>
      </w:r>
      <w:r>
        <w:rPr>
          <w:color w:val="auto"/>
          <w:spacing w:val="-1"/>
        </w:rPr>
        <w:t xml:space="preserve"> </w:t>
      </w:r>
      <w:r>
        <w:rPr>
          <w:color w:val="auto"/>
        </w:rPr>
        <w:t>mm</w:t>
      </w:r>
    </w:p>
    <w:p>
      <w:pPr>
        <w:pStyle w:val="8"/>
        <w:spacing w:before="4"/>
        <w:rPr>
          <w:color w:val="auto"/>
        </w:rPr>
      </w:pPr>
    </w:p>
    <w:p>
      <w:pPr>
        <w:pStyle w:val="6"/>
        <w:numPr>
          <w:ilvl w:val="0"/>
          <w:numId w:val="49"/>
        </w:numPr>
        <w:tabs>
          <w:tab w:val="left" w:pos="639"/>
        </w:tabs>
        <w:spacing w:before="1" w:after="0" w:line="240" w:lineRule="auto"/>
        <w:ind w:left="638" w:right="0" w:hanging="421"/>
        <w:jc w:val="left"/>
        <w:rPr>
          <w:color w:val="auto"/>
        </w:rPr>
      </w:pPr>
      <w:r>
        <w:rPr>
          <w:color w:val="auto"/>
          <w:spacing w:val="-1"/>
        </w:rPr>
        <w:t>人机交互触摸屏</w:t>
      </w:r>
      <w:r>
        <w:rPr>
          <w:color w:val="auto"/>
        </w:rPr>
        <w:t>：≥7</w:t>
      </w:r>
      <w:r>
        <w:rPr>
          <w:color w:val="auto"/>
          <w:spacing w:val="-20"/>
        </w:rPr>
        <w:t xml:space="preserve"> 英寸</w:t>
      </w:r>
    </w:p>
    <w:p>
      <w:pPr>
        <w:spacing w:after="0" w:line="240" w:lineRule="auto"/>
        <w:jc w:val="left"/>
        <w:rPr>
          <w:color w:val="auto"/>
        </w:rPr>
        <w:sectPr>
          <w:footerReference r:id="rId27" w:type="default"/>
          <w:pgSz w:w="11910" w:h="16840"/>
          <w:pgMar w:top="1500" w:right="1180" w:bottom="1080" w:left="1200" w:header="0" w:footer="886" w:gutter="0"/>
          <w:cols w:space="720" w:num="1"/>
        </w:sectPr>
      </w:pPr>
    </w:p>
    <w:p>
      <w:pPr>
        <w:pStyle w:val="6"/>
        <w:numPr>
          <w:ilvl w:val="0"/>
          <w:numId w:val="49"/>
        </w:numPr>
        <w:tabs>
          <w:tab w:val="left" w:pos="639"/>
        </w:tabs>
        <w:spacing w:before="39" w:after="0" w:line="240" w:lineRule="auto"/>
        <w:ind w:left="638" w:right="0" w:hanging="421"/>
        <w:jc w:val="left"/>
        <w:rPr>
          <w:color w:val="auto"/>
        </w:rPr>
      </w:pPr>
      <w:r>
        <w:rPr>
          <w:color w:val="auto"/>
          <w:spacing w:val="-1"/>
        </w:rPr>
        <w:t>支持操作系统：</w:t>
      </w:r>
      <w:r>
        <w:rPr>
          <w:color w:val="auto"/>
        </w:rPr>
        <w:t>Windows10</w:t>
      </w:r>
    </w:p>
    <w:p>
      <w:pPr>
        <w:pStyle w:val="8"/>
        <w:spacing w:before="4"/>
        <w:rPr>
          <w:color w:val="auto"/>
        </w:rPr>
      </w:pPr>
    </w:p>
    <w:p>
      <w:pPr>
        <w:pStyle w:val="6"/>
        <w:numPr>
          <w:ilvl w:val="0"/>
          <w:numId w:val="49"/>
        </w:numPr>
        <w:tabs>
          <w:tab w:val="left" w:pos="639"/>
        </w:tabs>
        <w:spacing w:before="0" w:after="0" w:line="240" w:lineRule="auto"/>
        <w:ind w:left="638" w:right="0" w:hanging="421"/>
        <w:jc w:val="left"/>
        <w:rPr>
          <w:color w:val="auto"/>
        </w:rPr>
      </w:pPr>
      <w:r>
        <w:rPr>
          <w:color w:val="auto"/>
          <w:spacing w:val="-1"/>
        </w:rPr>
        <w:t>模型文件格式：</w:t>
      </w:r>
      <w:r>
        <w:rPr>
          <w:color w:val="auto"/>
        </w:rPr>
        <w:t>STL</w:t>
      </w:r>
    </w:p>
    <w:p>
      <w:pPr>
        <w:pStyle w:val="8"/>
        <w:spacing w:before="1"/>
        <w:rPr>
          <w:color w:val="auto"/>
        </w:rPr>
      </w:pPr>
    </w:p>
    <w:p>
      <w:pPr>
        <w:pStyle w:val="6"/>
        <w:numPr>
          <w:ilvl w:val="0"/>
          <w:numId w:val="49"/>
        </w:numPr>
        <w:tabs>
          <w:tab w:val="left" w:pos="639"/>
        </w:tabs>
        <w:spacing w:before="1" w:after="0" w:line="240" w:lineRule="auto"/>
        <w:ind w:left="638" w:right="0" w:hanging="421"/>
        <w:jc w:val="left"/>
        <w:rPr>
          <w:color w:val="auto"/>
        </w:rPr>
      </w:pPr>
      <w:r>
        <w:rPr>
          <w:color w:val="auto"/>
        </w:rPr>
        <w:t>配备紫外消毒灯、正压打印腔室</w:t>
      </w:r>
    </w:p>
    <w:p>
      <w:pPr>
        <w:pStyle w:val="8"/>
        <w:spacing w:before="4"/>
        <w:rPr>
          <w:color w:val="auto"/>
        </w:rPr>
      </w:pPr>
    </w:p>
    <w:p>
      <w:pPr>
        <w:pStyle w:val="6"/>
        <w:rPr>
          <w:color w:val="auto"/>
        </w:rPr>
      </w:pPr>
      <w:r>
        <w:rPr>
          <w:color w:val="auto"/>
          <w:spacing w:val="-1"/>
        </w:rPr>
        <w:t>18)</w:t>
      </w:r>
      <w:r>
        <w:rPr>
          <w:color w:val="auto"/>
          <w:spacing w:val="-9"/>
        </w:rPr>
        <w:t xml:space="preserve"> 电源及功率：</w:t>
      </w:r>
      <w:r>
        <w:rPr>
          <w:color w:val="auto"/>
        </w:rPr>
        <w:t>100-240 V~，50-60</w:t>
      </w:r>
      <w:r>
        <w:rPr>
          <w:color w:val="auto"/>
          <w:spacing w:val="1"/>
        </w:rPr>
        <w:t xml:space="preserve"> </w:t>
      </w:r>
      <w:r>
        <w:rPr>
          <w:color w:val="auto"/>
        </w:rPr>
        <w:t>HZ，≤500 W</w:t>
      </w:r>
    </w:p>
    <w:p>
      <w:pPr>
        <w:pStyle w:val="8"/>
        <w:spacing w:before="4"/>
        <w:rPr>
          <w:color w:val="auto"/>
        </w:rPr>
      </w:pPr>
    </w:p>
    <w:p>
      <w:pPr>
        <w:pStyle w:val="6"/>
        <w:numPr>
          <w:ilvl w:val="0"/>
          <w:numId w:val="50"/>
        </w:numPr>
        <w:tabs>
          <w:tab w:val="left" w:pos="639"/>
        </w:tabs>
        <w:spacing w:before="0" w:after="0" w:line="240" w:lineRule="auto"/>
        <w:ind w:left="638" w:right="0" w:hanging="421"/>
        <w:jc w:val="left"/>
        <w:rPr>
          <w:color w:val="auto"/>
        </w:rPr>
      </w:pPr>
      <w:r>
        <w:rPr>
          <w:color w:val="auto"/>
        </w:rPr>
        <w:t>支持无线脱机打印</w:t>
      </w:r>
    </w:p>
    <w:p>
      <w:pPr>
        <w:pStyle w:val="8"/>
        <w:rPr>
          <w:color w:val="auto"/>
          <w:sz w:val="24"/>
        </w:rPr>
      </w:pPr>
    </w:p>
    <w:p>
      <w:pPr>
        <w:pStyle w:val="8"/>
        <w:spacing w:before="10"/>
        <w:rPr>
          <w:color w:val="auto"/>
          <w:sz w:val="17"/>
        </w:rPr>
      </w:pPr>
    </w:p>
    <w:p>
      <w:pPr>
        <w:spacing w:before="0"/>
        <w:ind w:left="218" w:right="0" w:firstLine="0"/>
        <w:jc w:val="left"/>
        <w:rPr>
          <w:b/>
          <w:color w:val="auto"/>
          <w:sz w:val="28"/>
        </w:rPr>
      </w:pPr>
      <w:r>
        <w:rPr>
          <w:b/>
          <w:color w:val="auto"/>
          <w:w w:val="95"/>
          <w:sz w:val="28"/>
        </w:rPr>
        <w:t>其他要求：</w:t>
      </w:r>
    </w:p>
    <w:p>
      <w:pPr>
        <w:pStyle w:val="6"/>
        <w:numPr>
          <w:ilvl w:val="1"/>
          <w:numId w:val="50"/>
        </w:numPr>
        <w:tabs>
          <w:tab w:val="left" w:pos="940"/>
        </w:tabs>
        <w:spacing w:before="249" w:after="0" w:line="240" w:lineRule="auto"/>
        <w:ind w:left="939" w:right="0" w:hanging="242"/>
        <w:jc w:val="left"/>
        <w:rPr>
          <w:color w:val="auto"/>
          <w:sz w:val="22"/>
        </w:rPr>
      </w:pPr>
      <w:r>
        <w:rPr>
          <w:color w:val="auto"/>
        </w:rPr>
        <w:t>执行标准：</w:t>
      </w:r>
    </w:p>
    <w:p>
      <w:pPr>
        <w:pStyle w:val="8"/>
        <w:spacing w:before="4"/>
        <w:rPr>
          <w:color w:val="auto"/>
        </w:rPr>
      </w:pPr>
    </w:p>
    <w:p>
      <w:pPr>
        <w:pStyle w:val="6"/>
        <w:ind w:left="698"/>
        <w:rPr>
          <w:color w:val="auto"/>
        </w:rPr>
      </w:pPr>
      <w:r>
        <w:rPr>
          <w:color w:val="auto"/>
        </w:rPr>
        <w:t>执行相关国家标准、行业标准及规范。</w:t>
      </w:r>
    </w:p>
    <w:p>
      <w:pPr>
        <w:pStyle w:val="8"/>
        <w:spacing w:before="2"/>
        <w:rPr>
          <w:color w:val="auto"/>
        </w:rPr>
      </w:pPr>
    </w:p>
    <w:p>
      <w:pPr>
        <w:pStyle w:val="6"/>
        <w:numPr>
          <w:ilvl w:val="1"/>
          <w:numId w:val="50"/>
        </w:numPr>
        <w:tabs>
          <w:tab w:val="left" w:pos="940"/>
        </w:tabs>
        <w:spacing w:before="0" w:after="0" w:line="240" w:lineRule="auto"/>
        <w:ind w:left="939" w:right="0" w:hanging="242"/>
        <w:jc w:val="left"/>
        <w:rPr>
          <w:color w:val="auto"/>
          <w:sz w:val="22"/>
        </w:rPr>
      </w:pPr>
      <w:r>
        <w:rPr>
          <w:color w:val="auto"/>
        </w:rPr>
        <w:t>交货时间:</w:t>
      </w:r>
    </w:p>
    <w:p>
      <w:pPr>
        <w:pStyle w:val="8"/>
        <w:spacing w:before="4"/>
        <w:rPr>
          <w:color w:val="auto"/>
        </w:rPr>
      </w:pPr>
    </w:p>
    <w:p>
      <w:pPr>
        <w:pStyle w:val="6"/>
        <w:ind w:left="698"/>
        <w:rPr>
          <w:color w:val="auto"/>
        </w:rPr>
      </w:pPr>
      <w:r>
        <w:rPr>
          <w:color w:val="auto"/>
          <w:w w:val="95"/>
        </w:rPr>
        <w:t>自合同签订之日起</w:t>
      </w:r>
      <w:r>
        <w:rPr>
          <w:color w:val="auto"/>
          <w:spacing w:val="149"/>
        </w:rPr>
        <w:t xml:space="preserve"> </w:t>
      </w:r>
      <w:r>
        <w:rPr>
          <w:color w:val="auto"/>
          <w:w w:val="95"/>
        </w:rPr>
        <w:t>20</w:t>
      </w:r>
      <w:r>
        <w:rPr>
          <w:color w:val="auto"/>
          <w:spacing w:val="150"/>
        </w:rPr>
        <w:t xml:space="preserve"> </w:t>
      </w:r>
      <w:r>
        <w:rPr>
          <w:color w:val="auto"/>
          <w:w w:val="95"/>
        </w:rPr>
        <w:t>个工作日内完成运输、安装、调试、培训，达到验收标准。</w:t>
      </w:r>
    </w:p>
    <w:p>
      <w:pPr>
        <w:pStyle w:val="8"/>
        <w:spacing w:before="4"/>
        <w:rPr>
          <w:color w:val="auto"/>
        </w:rPr>
      </w:pPr>
    </w:p>
    <w:p>
      <w:pPr>
        <w:pStyle w:val="6"/>
        <w:numPr>
          <w:ilvl w:val="1"/>
          <w:numId w:val="50"/>
        </w:numPr>
        <w:tabs>
          <w:tab w:val="left" w:pos="940"/>
        </w:tabs>
        <w:spacing w:before="0" w:after="0" w:line="240" w:lineRule="auto"/>
        <w:ind w:left="939" w:right="0" w:hanging="242"/>
        <w:jc w:val="left"/>
        <w:rPr>
          <w:color w:val="auto"/>
          <w:sz w:val="22"/>
        </w:rPr>
      </w:pPr>
      <w:r>
        <w:rPr>
          <w:color w:val="auto"/>
        </w:rPr>
        <w:t>交货地点:南京信息工程大学</w:t>
      </w:r>
    </w:p>
    <w:p>
      <w:pPr>
        <w:pStyle w:val="8"/>
        <w:spacing w:before="2"/>
        <w:rPr>
          <w:color w:val="auto"/>
        </w:rPr>
      </w:pPr>
    </w:p>
    <w:p>
      <w:pPr>
        <w:pStyle w:val="6"/>
        <w:numPr>
          <w:ilvl w:val="1"/>
          <w:numId w:val="50"/>
        </w:numPr>
        <w:tabs>
          <w:tab w:val="left" w:pos="940"/>
        </w:tabs>
        <w:spacing w:before="0" w:after="0" w:line="240" w:lineRule="auto"/>
        <w:ind w:left="939" w:right="0" w:hanging="242"/>
        <w:jc w:val="left"/>
        <w:rPr>
          <w:color w:val="auto"/>
          <w:sz w:val="22"/>
        </w:rPr>
      </w:pPr>
      <w:r>
        <w:rPr>
          <w:color w:val="auto"/>
        </w:rPr>
        <w:t>交货方式: 成交供应商送货上门并承担相应的费用。</w:t>
      </w:r>
    </w:p>
    <w:p>
      <w:pPr>
        <w:pStyle w:val="8"/>
        <w:spacing w:before="5"/>
        <w:rPr>
          <w:color w:val="auto"/>
        </w:rPr>
      </w:pPr>
    </w:p>
    <w:p>
      <w:pPr>
        <w:pStyle w:val="6"/>
        <w:numPr>
          <w:ilvl w:val="1"/>
          <w:numId w:val="50"/>
        </w:numPr>
        <w:tabs>
          <w:tab w:val="left" w:pos="940"/>
        </w:tabs>
        <w:spacing w:before="0" w:after="0" w:line="240" w:lineRule="auto"/>
        <w:ind w:left="939" w:right="0" w:hanging="242"/>
        <w:jc w:val="left"/>
        <w:rPr>
          <w:color w:val="auto"/>
          <w:sz w:val="22"/>
        </w:rPr>
      </w:pPr>
      <w:r>
        <w:rPr>
          <w:color w:val="auto"/>
        </w:rPr>
        <w:t>款项支付方式:</w:t>
      </w:r>
    </w:p>
    <w:p>
      <w:pPr>
        <w:pStyle w:val="8"/>
        <w:spacing w:before="12"/>
        <w:rPr>
          <w:color w:val="auto"/>
          <w:sz w:val="26"/>
        </w:rPr>
      </w:pPr>
    </w:p>
    <w:p>
      <w:pPr>
        <w:pStyle w:val="6"/>
        <w:spacing w:line="436" w:lineRule="auto"/>
        <w:ind w:right="113" w:firstLine="480"/>
        <w:rPr>
          <w:color w:val="auto"/>
        </w:rPr>
      </w:pPr>
      <w:r>
        <w:rPr>
          <w:color w:val="auto"/>
          <w:spacing w:val="-2"/>
        </w:rPr>
        <w:t>签订合同后，20</w:t>
      </w:r>
      <w:r>
        <w:rPr>
          <w:color w:val="auto"/>
          <w:spacing w:val="-14"/>
        </w:rPr>
        <w:t xml:space="preserve"> 日内预付合同金额的 </w:t>
      </w:r>
      <w:r>
        <w:rPr>
          <w:color w:val="auto"/>
          <w:spacing w:val="-1"/>
        </w:rPr>
        <w:t>30%，全部货物交货并最终验收合格后，凭验</w:t>
      </w:r>
      <w:r>
        <w:rPr>
          <w:color w:val="auto"/>
          <w:spacing w:val="-5"/>
        </w:rPr>
        <w:t xml:space="preserve">收凭证和货物验收合格等文件 </w:t>
      </w:r>
      <w:r>
        <w:rPr>
          <w:color w:val="auto"/>
        </w:rPr>
        <w:t>20</w:t>
      </w:r>
      <w:r>
        <w:rPr>
          <w:color w:val="auto"/>
          <w:spacing w:val="-13"/>
        </w:rPr>
        <w:t xml:space="preserve"> 日内支付至合同金额的 </w:t>
      </w:r>
      <w:r>
        <w:rPr>
          <w:color w:val="auto"/>
        </w:rPr>
        <w:t>100%</w:t>
      </w:r>
      <w:r>
        <w:rPr>
          <w:color w:val="auto"/>
          <w:spacing w:val="-14"/>
        </w:rPr>
        <w:t>，质量保证金质保期满后，</w:t>
      </w:r>
      <w:r>
        <w:rPr>
          <w:color w:val="auto"/>
          <w:spacing w:val="-11"/>
        </w:rPr>
        <w:t>经有关单位确认无质量问题后，一次性无息付清。具体内容以最终签署的合同约定为准。</w:t>
      </w:r>
    </w:p>
    <w:p>
      <w:pPr>
        <w:pStyle w:val="6"/>
        <w:numPr>
          <w:ilvl w:val="1"/>
          <w:numId w:val="50"/>
        </w:numPr>
        <w:tabs>
          <w:tab w:val="left" w:pos="940"/>
        </w:tabs>
        <w:spacing w:before="0" w:after="0" w:line="237" w:lineRule="exact"/>
        <w:ind w:left="939" w:right="0" w:hanging="242"/>
        <w:jc w:val="left"/>
        <w:rPr>
          <w:color w:val="auto"/>
          <w:sz w:val="22"/>
        </w:rPr>
      </w:pPr>
      <w:r>
        <w:rPr>
          <w:color w:val="auto"/>
        </w:rPr>
        <w:t>服务要求：</w:t>
      </w:r>
    </w:p>
    <w:p>
      <w:pPr>
        <w:pStyle w:val="8"/>
        <w:spacing w:before="2"/>
        <w:rPr>
          <w:color w:val="auto"/>
        </w:rPr>
      </w:pPr>
    </w:p>
    <w:p>
      <w:pPr>
        <w:pStyle w:val="6"/>
        <w:numPr>
          <w:ilvl w:val="0"/>
          <w:numId w:val="51"/>
        </w:numPr>
        <w:tabs>
          <w:tab w:val="left" w:pos="1407"/>
        </w:tabs>
        <w:spacing w:before="0" w:after="0" w:line="453" w:lineRule="auto"/>
        <w:ind w:left="218" w:right="232" w:firstLine="480"/>
        <w:jc w:val="left"/>
        <w:rPr>
          <w:color w:val="auto"/>
        </w:rPr>
      </w:pPr>
      <w:r>
        <w:rPr>
          <w:color w:val="auto"/>
          <w:spacing w:val="-5"/>
        </w:rPr>
        <w:t xml:space="preserve">售后服务：服务应及时有效。在收到用户故障信息后，卖方在 </w:t>
      </w:r>
      <w:r>
        <w:rPr>
          <w:color w:val="auto"/>
          <w:spacing w:val="-1"/>
        </w:rPr>
        <w:t>4</w:t>
      </w:r>
      <w:r>
        <w:rPr>
          <w:color w:val="auto"/>
          <w:spacing w:val="-11"/>
        </w:rPr>
        <w:t xml:space="preserve"> 小时内给予答复。应在 </w:t>
      </w:r>
      <w:r>
        <w:rPr>
          <w:color w:val="auto"/>
        </w:rPr>
        <w:t>24</w:t>
      </w:r>
      <w:r>
        <w:rPr>
          <w:color w:val="auto"/>
          <w:spacing w:val="-8"/>
        </w:rPr>
        <w:t xml:space="preserve"> 小时内安排技术工程师到买方现场进行处理。</w:t>
      </w:r>
    </w:p>
    <w:p>
      <w:pPr>
        <w:pStyle w:val="6"/>
        <w:numPr>
          <w:ilvl w:val="0"/>
          <w:numId w:val="51"/>
        </w:numPr>
        <w:tabs>
          <w:tab w:val="left" w:pos="1407"/>
        </w:tabs>
        <w:spacing w:before="0" w:after="0" w:line="451" w:lineRule="auto"/>
        <w:ind w:left="218" w:right="234" w:firstLine="480"/>
        <w:jc w:val="left"/>
        <w:rPr>
          <w:color w:val="auto"/>
        </w:rPr>
      </w:pPr>
      <w:r>
        <w:rPr>
          <w:color w:val="auto"/>
          <w:spacing w:val="-2"/>
        </w:rPr>
        <w:t>安装与调试：货物到达用户所在地后，在接到采购人初验合格通知后，成交</w:t>
      </w:r>
      <w:r>
        <w:rPr>
          <w:color w:val="auto"/>
          <w:spacing w:val="-8"/>
          <w:w w:val="95"/>
        </w:rPr>
        <w:t xml:space="preserve">供应商在 </w:t>
      </w:r>
      <w:r>
        <w:rPr>
          <w:color w:val="auto"/>
          <w:w w:val="95"/>
        </w:rPr>
        <w:t>10</w:t>
      </w:r>
      <w:r>
        <w:rPr>
          <w:color w:val="auto"/>
          <w:spacing w:val="-6"/>
          <w:w w:val="95"/>
        </w:rPr>
        <w:t xml:space="preserve"> 个工作日内安排货物的安装、调试，直至达到技术验收标准。</w:t>
      </w:r>
    </w:p>
    <w:p>
      <w:pPr>
        <w:pStyle w:val="6"/>
        <w:numPr>
          <w:ilvl w:val="0"/>
          <w:numId w:val="51"/>
        </w:numPr>
        <w:tabs>
          <w:tab w:val="left" w:pos="1419"/>
        </w:tabs>
        <w:spacing w:before="3" w:after="0" w:line="453" w:lineRule="auto"/>
        <w:ind w:left="218" w:right="232" w:firstLine="480"/>
        <w:jc w:val="left"/>
        <w:rPr>
          <w:color w:val="auto"/>
        </w:rPr>
      </w:pPr>
      <w:r>
        <w:rPr>
          <w:color w:val="auto"/>
          <w:spacing w:val="-1"/>
        </w:rPr>
        <w:t xml:space="preserve">技术培训：对不少于 </w:t>
      </w:r>
      <w:r>
        <w:rPr>
          <w:color w:val="auto"/>
        </w:rPr>
        <w:t>4</w:t>
      </w:r>
      <w:r>
        <w:rPr>
          <w:color w:val="auto"/>
          <w:spacing w:val="-6"/>
        </w:rPr>
        <w:t xml:space="preserve"> 名的使用人，在采购人最终用户现场进行为期 </w:t>
      </w:r>
      <w:r>
        <w:rPr>
          <w:color w:val="auto"/>
        </w:rPr>
        <w:t>1</w:t>
      </w:r>
      <w:r>
        <w:rPr>
          <w:color w:val="auto"/>
          <w:spacing w:val="-14"/>
        </w:rPr>
        <w:t xml:space="preserve"> 天</w:t>
      </w:r>
      <w:r>
        <w:rPr>
          <w:color w:val="auto"/>
          <w:spacing w:val="-2"/>
        </w:rPr>
        <w:t>的技术培训。培训内容包含但不限于货物的技术原理、操作流程、数据处理、设备基本</w:t>
      </w:r>
    </w:p>
    <w:p>
      <w:pPr>
        <w:spacing w:after="0" w:line="453" w:lineRule="auto"/>
        <w:jc w:val="left"/>
        <w:rPr>
          <w:color w:val="auto"/>
        </w:rPr>
        <w:sectPr>
          <w:footerReference r:id="rId28" w:type="default"/>
          <w:pgSz w:w="11910" w:h="16840"/>
          <w:pgMar w:top="1520" w:right="1180" w:bottom="1080" w:left="1200" w:header="0" w:footer="886" w:gutter="0"/>
          <w:cols w:space="720" w:num="1"/>
        </w:sectPr>
      </w:pPr>
    </w:p>
    <w:p>
      <w:pPr>
        <w:pStyle w:val="6"/>
        <w:spacing w:before="39"/>
        <w:rPr>
          <w:color w:val="auto"/>
        </w:rPr>
      </w:pPr>
      <w:r>
        <w:rPr>
          <w:color w:val="auto"/>
        </w:rPr>
        <w:t>维护，故障排除等。</w:t>
      </w:r>
    </w:p>
    <w:p>
      <w:pPr>
        <w:pStyle w:val="8"/>
        <w:spacing w:before="4"/>
        <w:rPr>
          <w:color w:val="auto"/>
        </w:rPr>
      </w:pPr>
    </w:p>
    <w:p>
      <w:pPr>
        <w:pStyle w:val="6"/>
        <w:numPr>
          <w:ilvl w:val="0"/>
          <w:numId w:val="51"/>
        </w:numPr>
        <w:tabs>
          <w:tab w:val="left" w:pos="1300"/>
        </w:tabs>
        <w:spacing w:before="0" w:after="0" w:line="240" w:lineRule="auto"/>
        <w:ind w:left="1299" w:right="0" w:hanging="602"/>
        <w:jc w:val="left"/>
        <w:rPr>
          <w:color w:val="auto"/>
          <w:sz w:val="22"/>
        </w:rPr>
      </w:pPr>
      <w:r>
        <w:rPr>
          <w:color w:val="auto"/>
          <w:w w:val="95"/>
        </w:rPr>
        <w:t>质保期：从货物技术验收合格之日起不少于</w:t>
      </w:r>
      <w:r>
        <w:rPr>
          <w:color w:val="auto"/>
          <w:spacing w:val="249"/>
        </w:rPr>
        <w:t xml:space="preserve"> </w:t>
      </w:r>
      <w:r>
        <w:rPr>
          <w:color w:val="auto"/>
          <w:w w:val="95"/>
        </w:rPr>
        <w:t>1</w:t>
      </w:r>
      <w:r>
        <w:rPr>
          <w:color w:val="auto"/>
          <w:spacing w:val="3"/>
          <w:w w:val="95"/>
        </w:rPr>
        <w:t xml:space="preserve"> 年免费质保。质保期内，每年</w:t>
      </w:r>
    </w:p>
    <w:p>
      <w:pPr>
        <w:pStyle w:val="8"/>
        <w:spacing w:before="1"/>
        <w:rPr>
          <w:color w:val="auto"/>
        </w:rPr>
      </w:pPr>
    </w:p>
    <w:p>
      <w:pPr>
        <w:pStyle w:val="6"/>
        <w:spacing w:before="1" w:line="453" w:lineRule="auto"/>
        <w:ind w:right="117"/>
        <w:rPr>
          <w:color w:val="auto"/>
        </w:rPr>
      </w:pPr>
      <w:r>
        <w:rPr>
          <w:color w:val="auto"/>
          <w:spacing w:val="-1"/>
        </w:rPr>
        <w:t>不少于 2</w:t>
      </w:r>
      <w:r>
        <w:rPr>
          <w:color w:val="auto"/>
          <w:spacing w:val="-9"/>
        </w:rPr>
        <w:t xml:space="preserve"> 次免费上门服务，凡属非使用不当出现的零部件损坏故障，供方将免费维修、</w:t>
      </w:r>
      <w:r>
        <w:rPr>
          <w:color w:val="auto"/>
        </w:rPr>
        <w:t>更换。</w:t>
      </w:r>
    </w:p>
    <w:p>
      <w:pPr>
        <w:pStyle w:val="6"/>
        <w:numPr>
          <w:ilvl w:val="0"/>
          <w:numId w:val="51"/>
        </w:numPr>
        <w:tabs>
          <w:tab w:val="left" w:pos="1300"/>
        </w:tabs>
        <w:spacing w:before="0" w:after="0" w:line="307" w:lineRule="exact"/>
        <w:ind w:left="1299" w:right="0" w:hanging="602"/>
        <w:jc w:val="left"/>
        <w:rPr>
          <w:color w:val="auto"/>
          <w:sz w:val="22"/>
        </w:rPr>
      </w:pPr>
      <w:r>
        <w:rPr>
          <w:color w:val="auto"/>
        </w:rPr>
        <w:t>质保期内更换的零部件的质保期自更换之日起重新计算。</w:t>
      </w:r>
    </w:p>
    <w:p>
      <w:pPr>
        <w:pStyle w:val="8"/>
        <w:spacing w:before="1"/>
        <w:rPr>
          <w:color w:val="auto"/>
        </w:rPr>
      </w:pPr>
    </w:p>
    <w:p>
      <w:pPr>
        <w:pStyle w:val="6"/>
        <w:numPr>
          <w:ilvl w:val="0"/>
          <w:numId w:val="51"/>
        </w:numPr>
        <w:tabs>
          <w:tab w:val="left" w:pos="1300"/>
        </w:tabs>
        <w:spacing w:before="0" w:after="0" w:line="240" w:lineRule="auto"/>
        <w:ind w:left="1299" w:right="0" w:hanging="602"/>
        <w:jc w:val="both"/>
        <w:rPr>
          <w:color w:val="auto"/>
          <w:sz w:val="22"/>
        </w:rPr>
      </w:pPr>
      <w:r>
        <w:rPr>
          <w:color w:val="auto"/>
          <w:w w:val="95"/>
        </w:rPr>
        <w:t>质保期内，成交供应商应在</w:t>
      </w:r>
      <w:r>
        <w:rPr>
          <w:color w:val="auto"/>
          <w:spacing w:val="247"/>
        </w:rPr>
        <w:t xml:space="preserve"> </w:t>
      </w:r>
      <w:r>
        <w:rPr>
          <w:color w:val="auto"/>
          <w:w w:val="95"/>
        </w:rPr>
        <w:t>4 小时内对用户的服务要求作出响应，一般问题</w:t>
      </w:r>
    </w:p>
    <w:p>
      <w:pPr>
        <w:pStyle w:val="8"/>
        <w:spacing w:before="5"/>
        <w:rPr>
          <w:color w:val="auto"/>
        </w:rPr>
      </w:pPr>
    </w:p>
    <w:p>
      <w:pPr>
        <w:pStyle w:val="6"/>
        <w:spacing w:line="453" w:lineRule="auto"/>
        <w:ind w:right="184"/>
        <w:jc w:val="both"/>
        <w:rPr>
          <w:color w:val="auto"/>
        </w:rPr>
      </w:pPr>
      <w:r>
        <w:rPr>
          <w:color w:val="auto"/>
          <w:w w:val="95"/>
        </w:rPr>
        <w:t>应在</w:t>
      </w:r>
      <w:r>
        <w:rPr>
          <w:color w:val="auto"/>
          <w:spacing w:val="140"/>
        </w:rPr>
        <w:t xml:space="preserve"> </w:t>
      </w:r>
      <w:r>
        <w:rPr>
          <w:color w:val="auto"/>
          <w:w w:val="95"/>
        </w:rPr>
        <w:t>48 小时内解决，重大问题或其它无法迅速解决的问题应在 1 周内解决或提出明确</w:t>
      </w:r>
      <w:r>
        <w:rPr>
          <w:color w:val="auto"/>
        </w:rPr>
        <w:t>解决方案，否则成交供应商除承担相应违约责任外，应赔偿给采购人造成的经济损失。</w:t>
      </w:r>
    </w:p>
    <w:p>
      <w:pPr>
        <w:pStyle w:val="6"/>
        <w:numPr>
          <w:ilvl w:val="0"/>
          <w:numId w:val="51"/>
        </w:numPr>
        <w:tabs>
          <w:tab w:val="left" w:pos="1306"/>
        </w:tabs>
        <w:spacing w:before="0" w:after="0" w:line="453" w:lineRule="auto"/>
        <w:ind w:left="218" w:right="227" w:firstLine="480"/>
        <w:jc w:val="both"/>
        <w:rPr>
          <w:color w:val="auto"/>
          <w:sz w:val="22"/>
        </w:rPr>
      </w:pPr>
      <w:r>
        <w:rPr>
          <w:color w:val="auto"/>
        </w:rPr>
        <w:t>对所供货物实行终生维修、维护，对软件部分终身免费升级。质保期外如货物出现质量问题，货物的维修维护只收取零部件成本费。质保期外的维修在 4</w:t>
      </w:r>
      <w:r>
        <w:rPr>
          <w:color w:val="auto"/>
          <w:spacing w:val="5"/>
        </w:rPr>
        <w:t xml:space="preserve"> 小时内</w:t>
      </w:r>
      <w:r>
        <w:rPr>
          <w:color w:val="auto"/>
        </w:rPr>
        <w:t>进行响应，需要时，能够提供必要的上门有偿检测。</w:t>
      </w:r>
    </w:p>
    <w:p>
      <w:pPr>
        <w:pStyle w:val="6"/>
        <w:numPr>
          <w:ilvl w:val="1"/>
          <w:numId w:val="50"/>
        </w:numPr>
        <w:tabs>
          <w:tab w:val="left" w:pos="1060"/>
        </w:tabs>
        <w:spacing w:before="0" w:after="0" w:line="304" w:lineRule="exact"/>
        <w:ind w:left="1059" w:right="0" w:hanging="362"/>
        <w:jc w:val="left"/>
        <w:rPr>
          <w:color w:val="auto"/>
          <w:sz w:val="22"/>
        </w:rPr>
      </w:pPr>
      <w:r>
        <w:rPr>
          <w:color w:val="auto"/>
        </w:rPr>
        <w:t>其他要求:</w:t>
      </w:r>
    </w:p>
    <w:p>
      <w:pPr>
        <w:pStyle w:val="8"/>
        <w:spacing w:before="1"/>
        <w:rPr>
          <w:color w:val="auto"/>
        </w:rPr>
      </w:pPr>
    </w:p>
    <w:p>
      <w:pPr>
        <w:pStyle w:val="6"/>
        <w:numPr>
          <w:ilvl w:val="0"/>
          <w:numId w:val="52"/>
        </w:numPr>
        <w:tabs>
          <w:tab w:val="left" w:pos="1300"/>
        </w:tabs>
        <w:spacing w:before="0" w:after="0" w:line="240" w:lineRule="auto"/>
        <w:ind w:left="1299" w:right="0" w:hanging="602"/>
        <w:jc w:val="left"/>
        <w:rPr>
          <w:color w:val="auto"/>
        </w:rPr>
      </w:pPr>
      <w:r>
        <w:rPr>
          <w:color w:val="auto"/>
        </w:rPr>
        <w:t>成交供应商在供货时须提供所供货货物质量检测合格报告等证明文件；</w:t>
      </w:r>
    </w:p>
    <w:p>
      <w:pPr>
        <w:pStyle w:val="8"/>
        <w:spacing w:before="5"/>
        <w:rPr>
          <w:color w:val="auto"/>
        </w:rPr>
      </w:pPr>
    </w:p>
    <w:p>
      <w:pPr>
        <w:pStyle w:val="6"/>
        <w:numPr>
          <w:ilvl w:val="0"/>
          <w:numId w:val="52"/>
        </w:numPr>
        <w:tabs>
          <w:tab w:val="left" w:pos="1306"/>
        </w:tabs>
        <w:spacing w:before="0" w:after="0" w:line="451" w:lineRule="auto"/>
        <w:ind w:left="218" w:right="242" w:firstLine="480"/>
        <w:jc w:val="left"/>
        <w:rPr>
          <w:color w:val="auto"/>
        </w:rPr>
      </w:pPr>
      <w:r>
        <w:rPr>
          <w:color w:val="auto"/>
        </w:rPr>
        <w:t>成交供应商承担在货物安装、调试、验收过程中所需的专用工具、量具、其它用具及耗材等费用。</w:t>
      </w:r>
    </w:p>
    <w:p>
      <w:pPr>
        <w:pStyle w:val="6"/>
        <w:numPr>
          <w:ilvl w:val="0"/>
          <w:numId w:val="52"/>
        </w:numPr>
        <w:tabs>
          <w:tab w:val="left" w:pos="1306"/>
        </w:tabs>
        <w:spacing w:before="3" w:after="0" w:line="453" w:lineRule="auto"/>
        <w:ind w:left="218" w:right="229" w:firstLine="480"/>
        <w:jc w:val="left"/>
        <w:rPr>
          <w:color w:val="auto"/>
        </w:rPr>
      </w:pPr>
      <w:r>
        <w:rPr>
          <w:color w:val="auto"/>
          <w:spacing w:val="1"/>
        </w:rPr>
        <w:t xml:space="preserve">成交供应商在供货时须提供 </w:t>
      </w:r>
      <w:r>
        <w:rPr>
          <w:color w:val="auto"/>
        </w:rPr>
        <w:t>1</w:t>
      </w:r>
      <w:r>
        <w:rPr>
          <w:color w:val="auto"/>
          <w:spacing w:val="1"/>
        </w:rPr>
        <w:t xml:space="preserve"> 份与所供货物相配套的使用说明书及 </w:t>
      </w:r>
      <w:r>
        <w:rPr>
          <w:color w:val="auto"/>
        </w:rPr>
        <w:t>1</w:t>
      </w:r>
      <w:r>
        <w:rPr>
          <w:color w:val="auto"/>
          <w:spacing w:val="4"/>
        </w:rPr>
        <w:t xml:space="preserve"> 份实</w:t>
      </w:r>
      <w:r>
        <w:rPr>
          <w:color w:val="auto"/>
        </w:rPr>
        <w:t>验指导书。</w:t>
      </w:r>
    </w:p>
    <w:p>
      <w:pPr>
        <w:pStyle w:val="6"/>
        <w:numPr>
          <w:ilvl w:val="0"/>
          <w:numId w:val="52"/>
        </w:numPr>
        <w:tabs>
          <w:tab w:val="left" w:pos="1300"/>
        </w:tabs>
        <w:spacing w:before="0" w:after="0" w:line="304" w:lineRule="exact"/>
        <w:ind w:left="1299" w:right="0" w:hanging="602"/>
        <w:jc w:val="left"/>
        <w:rPr>
          <w:color w:val="auto"/>
        </w:rPr>
      </w:pPr>
      <w:r>
        <w:rPr>
          <w:color w:val="auto"/>
        </w:rPr>
        <w:t>交付时对响应文件中的技术指标进行逐项演示。</w:t>
      </w:r>
    </w:p>
    <w:p>
      <w:pPr>
        <w:pStyle w:val="8"/>
        <w:spacing w:before="4"/>
        <w:rPr>
          <w:color w:val="auto"/>
        </w:rPr>
      </w:pPr>
    </w:p>
    <w:p>
      <w:pPr>
        <w:pStyle w:val="6"/>
        <w:numPr>
          <w:ilvl w:val="1"/>
          <w:numId w:val="50"/>
        </w:numPr>
        <w:tabs>
          <w:tab w:val="left" w:pos="1059"/>
        </w:tabs>
        <w:spacing w:before="0" w:after="0" w:line="240" w:lineRule="auto"/>
        <w:ind w:left="1058" w:right="0" w:hanging="361"/>
        <w:jc w:val="left"/>
        <w:rPr>
          <w:color w:val="auto"/>
        </w:rPr>
      </w:pPr>
      <w:r>
        <w:rPr>
          <w:color w:val="auto"/>
        </w:rPr>
        <w:t>验收标准：</w:t>
      </w:r>
    </w:p>
    <w:p>
      <w:pPr>
        <w:pStyle w:val="8"/>
        <w:spacing w:before="5"/>
        <w:rPr>
          <w:color w:val="auto"/>
        </w:rPr>
      </w:pPr>
    </w:p>
    <w:p>
      <w:pPr>
        <w:pStyle w:val="6"/>
        <w:ind w:left="698"/>
        <w:rPr>
          <w:color w:val="auto"/>
        </w:rPr>
      </w:pPr>
      <w:r>
        <w:rPr>
          <w:color w:val="auto"/>
        </w:rPr>
        <w:t>采购人依据下列程序及标准进行逐项验收：</w:t>
      </w:r>
    </w:p>
    <w:p>
      <w:pPr>
        <w:pStyle w:val="8"/>
        <w:spacing w:before="2"/>
        <w:rPr>
          <w:color w:val="auto"/>
        </w:rPr>
      </w:pPr>
    </w:p>
    <w:p>
      <w:pPr>
        <w:pStyle w:val="6"/>
        <w:numPr>
          <w:ilvl w:val="0"/>
          <w:numId w:val="53"/>
        </w:numPr>
        <w:tabs>
          <w:tab w:val="left" w:pos="1306"/>
        </w:tabs>
        <w:spacing w:before="0" w:after="0" w:line="453" w:lineRule="auto"/>
        <w:ind w:left="218" w:right="242" w:firstLine="480"/>
        <w:jc w:val="left"/>
        <w:rPr>
          <w:color w:val="auto"/>
        </w:rPr>
      </w:pPr>
      <w:r>
        <w:rPr>
          <w:color w:val="auto"/>
        </w:rPr>
        <w:t>货物到货后，对到货包装箱数量、包装箱外观质量等进行验收，经验收，数量符合，包装完好、外观无破损后，进行开箱验收。</w:t>
      </w:r>
    </w:p>
    <w:p>
      <w:pPr>
        <w:pStyle w:val="6"/>
        <w:numPr>
          <w:ilvl w:val="0"/>
          <w:numId w:val="53"/>
        </w:numPr>
        <w:tabs>
          <w:tab w:val="left" w:pos="1306"/>
        </w:tabs>
        <w:spacing w:before="0" w:after="0" w:line="451" w:lineRule="auto"/>
        <w:ind w:left="218" w:right="233" w:firstLine="480"/>
        <w:jc w:val="left"/>
        <w:rPr>
          <w:color w:val="auto"/>
        </w:rPr>
      </w:pPr>
      <w:r>
        <w:rPr>
          <w:color w:val="auto"/>
        </w:rPr>
        <w:t>依据包装箱内货物的装箱单与合同内货物清单，对货物的品牌、规格型号、</w:t>
      </w:r>
      <w:r>
        <w:rPr>
          <w:color w:val="auto"/>
          <w:spacing w:val="-2"/>
        </w:rPr>
        <w:t>数量、生产厂家及货物外观与随箱所带必备附件、工具等进行验收，完全符合，进行安</w:t>
      </w:r>
    </w:p>
    <w:p>
      <w:pPr>
        <w:spacing w:after="0" w:line="451" w:lineRule="auto"/>
        <w:jc w:val="left"/>
        <w:rPr>
          <w:color w:val="auto"/>
        </w:rPr>
        <w:sectPr>
          <w:footerReference r:id="rId29" w:type="default"/>
          <w:pgSz w:w="11910" w:h="16840"/>
          <w:pgMar w:top="1520" w:right="1180" w:bottom="1080" w:left="1200" w:header="0" w:footer="886" w:gutter="0"/>
          <w:cols w:space="720" w:num="1"/>
        </w:sectPr>
      </w:pPr>
    </w:p>
    <w:p>
      <w:pPr>
        <w:pStyle w:val="6"/>
        <w:spacing w:before="39"/>
        <w:rPr>
          <w:color w:val="auto"/>
        </w:rPr>
      </w:pPr>
      <w:r>
        <w:rPr>
          <w:color w:val="auto"/>
        </w:rPr>
        <w:t>装与调试。</w:t>
      </w:r>
    </w:p>
    <w:p>
      <w:pPr>
        <w:pStyle w:val="8"/>
        <w:spacing w:before="4"/>
        <w:rPr>
          <w:color w:val="auto"/>
        </w:rPr>
      </w:pPr>
    </w:p>
    <w:p>
      <w:pPr>
        <w:pStyle w:val="6"/>
        <w:numPr>
          <w:ilvl w:val="0"/>
          <w:numId w:val="53"/>
        </w:numPr>
        <w:tabs>
          <w:tab w:val="left" w:pos="1306"/>
        </w:tabs>
        <w:spacing w:before="0" w:after="0" w:line="451" w:lineRule="auto"/>
        <w:ind w:left="218" w:right="242" w:firstLine="480"/>
        <w:jc w:val="left"/>
        <w:rPr>
          <w:color w:val="auto"/>
        </w:rPr>
      </w:pPr>
      <w:r>
        <w:rPr>
          <w:color w:val="auto"/>
        </w:rPr>
        <w:t>安装调试完毕，根据国家、行业或企业相关质量标准与供应商响应文件或双方确认的技术文件进行技术验收，若全部合格，验收结束。</w:t>
      </w:r>
    </w:p>
    <w:p>
      <w:pPr>
        <w:spacing w:before="0" w:line="336" w:lineRule="exact"/>
        <w:ind w:left="218" w:right="0" w:firstLine="0"/>
        <w:jc w:val="left"/>
        <w:rPr>
          <w:b/>
          <w:color w:val="auto"/>
          <w:sz w:val="28"/>
        </w:rPr>
      </w:pPr>
      <w:r>
        <w:rPr>
          <w:b/>
          <w:color w:val="auto"/>
          <w:sz w:val="28"/>
        </w:rPr>
        <w:t>（本部分内容由南京信息工程大学化学与材料学院提供并负责）</w:t>
      </w:r>
    </w:p>
    <w:p>
      <w:pPr>
        <w:spacing w:after="0" w:line="336" w:lineRule="exact"/>
        <w:jc w:val="left"/>
        <w:rPr>
          <w:color w:val="auto"/>
          <w:sz w:val="28"/>
        </w:rPr>
        <w:sectPr>
          <w:footerReference r:id="rId30" w:type="default"/>
          <w:pgSz w:w="11910" w:h="16840"/>
          <w:pgMar w:top="1520" w:right="1180" w:bottom="1080" w:left="1200" w:header="0" w:footer="886" w:gutter="0"/>
          <w:cols w:space="720" w:num="1"/>
        </w:sectPr>
      </w:pPr>
    </w:p>
    <w:p>
      <w:pPr>
        <w:pStyle w:val="3"/>
        <w:ind w:left="218"/>
        <w:jc w:val="left"/>
        <w:rPr>
          <w:color w:val="auto"/>
        </w:rPr>
      </w:pPr>
      <w:bookmarkStart w:id="3" w:name="_TOC_250001"/>
      <w:bookmarkEnd w:id="3"/>
      <w:r>
        <w:rPr>
          <w:color w:val="auto"/>
          <w:spacing w:val="7"/>
        </w:rPr>
        <w:t>第五章 评标方法与评标标准</w:t>
      </w:r>
    </w:p>
    <w:p>
      <w:pPr>
        <w:pStyle w:val="8"/>
        <w:spacing w:before="7"/>
        <w:rPr>
          <w:b/>
          <w:color w:val="auto"/>
          <w:sz w:val="31"/>
        </w:rPr>
      </w:pPr>
    </w:p>
    <w:p>
      <w:pPr>
        <w:pStyle w:val="8"/>
        <w:spacing w:before="1" w:line="364" w:lineRule="auto"/>
        <w:ind w:left="218" w:right="268" w:firstLine="384"/>
        <w:jc w:val="both"/>
        <w:rPr>
          <w:color w:val="auto"/>
        </w:rPr>
      </w:pPr>
      <w:r>
        <w:rPr>
          <w:color w:val="auto"/>
        </w:rPr>
        <w:t>采用综合评分法的，评标结果按评审后得分由高到低顺序排列。得分相同的，按投标报价由低到高顺序排列。得分且投标报价相同的并列。投标文件满足招标文件全部实质性要求，且按照评审</w:t>
      </w:r>
      <w:r>
        <w:rPr>
          <w:color w:val="auto"/>
          <w:spacing w:val="-3"/>
        </w:rPr>
        <w:t xml:space="preserve">因素的量化指标评审得分最高的投标人为中标候选人。本项目选取 </w:t>
      </w:r>
      <w:r>
        <w:rPr>
          <w:color w:val="auto"/>
        </w:rPr>
        <w:t>1</w:t>
      </w:r>
      <w:r>
        <w:rPr>
          <w:color w:val="auto"/>
          <w:spacing w:val="-8"/>
        </w:rPr>
        <w:t xml:space="preserve"> 名中标候选人。</w:t>
      </w:r>
    </w:p>
    <w:p>
      <w:pPr>
        <w:pStyle w:val="8"/>
        <w:rPr>
          <w:color w:val="auto"/>
          <w:sz w:val="20"/>
        </w:rPr>
      </w:pPr>
    </w:p>
    <w:p>
      <w:pPr>
        <w:pStyle w:val="7"/>
        <w:spacing w:before="153"/>
        <w:ind w:left="3807"/>
        <w:rPr>
          <w:color w:val="auto"/>
        </w:rPr>
      </w:pPr>
      <w:r>
        <w:rPr>
          <w:color w:val="auto"/>
          <w:spacing w:val="-1"/>
        </w:rPr>
        <w:t>评标办法和评标标准</w:t>
      </w:r>
    </w:p>
    <w:p>
      <w:pPr>
        <w:pStyle w:val="8"/>
        <w:spacing w:before="142" w:line="364" w:lineRule="auto"/>
        <w:ind w:left="218" w:right="233" w:firstLine="420"/>
        <w:rPr>
          <w:color w:val="auto"/>
        </w:rPr>
      </w:pPr>
      <w:r>
        <w:rPr>
          <w:color w:val="auto"/>
        </w:rPr>
        <w:t>本项目采用综合评分法确定中标候选人。评标委员会将按下列评分办法和标准进行评分，总分</w:t>
      </w:r>
      <w:r>
        <w:rPr>
          <w:color w:val="auto"/>
          <w:spacing w:val="-18"/>
        </w:rPr>
        <w:t xml:space="preserve">值为 </w:t>
      </w:r>
      <w:r>
        <w:rPr>
          <w:color w:val="auto"/>
        </w:rPr>
        <w:t>100</w:t>
      </w:r>
      <w:r>
        <w:rPr>
          <w:color w:val="auto"/>
          <w:spacing w:val="-18"/>
        </w:rPr>
        <w:t xml:space="preserve"> 分。</w:t>
      </w:r>
    </w:p>
    <w:p>
      <w:pPr>
        <w:pStyle w:val="8"/>
        <w:spacing w:before="5"/>
        <w:rPr>
          <w:color w:val="auto"/>
          <w:sz w:val="22"/>
        </w:rPr>
      </w:pPr>
    </w:p>
    <w:tbl>
      <w:tblPr>
        <w:tblStyle w:val="12"/>
        <w:tblW w:w="0" w:type="auto"/>
        <w:tblInd w:w="1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1"/>
        <w:gridCol w:w="1621"/>
        <w:gridCol w:w="5104"/>
        <w:gridCol w:w="10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361" w:type="dxa"/>
          </w:tcPr>
          <w:p>
            <w:pPr>
              <w:pStyle w:val="23"/>
              <w:spacing w:before="91"/>
              <w:ind w:left="107"/>
              <w:rPr>
                <w:color w:val="auto"/>
                <w:sz w:val="18"/>
              </w:rPr>
            </w:pPr>
            <w:r>
              <w:rPr>
                <w:color w:val="auto"/>
                <w:sz w:val="18"/>
              </w:rPr>
              <w:t>序号</w:t>
            </w:r>
          </w:p>
        </w:tc>
        <w:tc>
          <w:tcPr>
            <w:tcW w:w="1621" w:type="dxa"/>
          </w:tcPr>
          <w:p>
            <w:pPr>
              <w:pStyle w:val="23"/>
              <w:spacing w:before="91"/>
              <w:ind w:left="248" w:right="243"/>
              <w:jc w:val="center"/>
              <w:rPr>
                <w:color w:val="auto"/>
                <w:sz w:val="18"/>
              </w:rPr>
            </w:pPr>
            <w:r>
              <w:rPr>
                <w:color w:val="auto"/>
                <w:sz w:val="18"/>
              </w:rPr>
              <w:t>评审因素</w:t>
            </w:r>
          </w:p>
        </w:tc>
        <w:tc>
          <w:tcPr>
            <w:tcW w:w="5104" w:type="dxa"/>
          </w:tcPr>
          <w:p>
            <w:pPr>
              <w:pStyle w:val="23"/>
              <w:spacing w:before="91"/>
              <w:ind w:left="2155" w:right="2179"/>
              <w:jc w:val="center"/>
              <w:rPr>
                <w:color w:val="auto"/>
                <w:sz w:val="18"/>
              </w:rPr>
            </w:pPr>
            <w:r>
              <w:rPr>
                <w:color w:val="auto"/>
                <w:sz w:val="18"/>
              </w:rPr>
              <w:t>评分细节</w:t>
            </w:r>
          </w:p>
        </w:tc>
        <w:tc>
          <w:tcPr>
            <w:tcW w:w="1049" w:type="dxa"/>
          </w:tcPr>
          <w:p>
            <w:pPr>
              <w:pStyle w:val="23"/>
              <w:spacing w:before="91"/>
              <w:ind w:right="397"/>
              <w:jc w:val="right"/>
              <w:rPr>
                <w:color w:val="auto"/>
                <w:sz w:val="18"/>
              </w:rPr>
            </w:pPr>
            <w:r>
              <w:rPr>
                <w:color w:val="auto"/>
                <w:sz w:val="18"/>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9135" w:type="dxa"/>
            <w:gridSpan w:val="4"/>
          </w:tcPr>
          <w:p>
            <w:pPr>
              <w:pStyle w:val="23"/>
              <w:spacing w:before="107"/>
              <w:ind w:left="107"/>
              <w:rPr>
                <w:color w:val="auto"/>
                <w:sz w:val="18"/>
              </w:rPr>
            </w:pPr>
            <w:r>
              <w:rPr>
                <w:color w:val="auto"/>
                <w:sz w:val="18"/>
              </w:rPr>
              <w:t>1、价格部分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9" w:hRule="atLeast"/>
        </w:trPr>
        <w:tc>
          <w:tcPr>
            <w:tcW w:w="1361" w:type="dxa"/>
          </w:tcPr>
          <w:p>
            <w:pPr>
              <w:pStyle w:val="23"/>
              <w:rPr>
                <w:color w:val="auto"/>
                <w:sz w:val="18"/>
              </w:rPr>
            </w:pPr>
          </w:p>
          <w:p>
            <w:pPr>
              <w:pStyle w:val="23"/>
              <w:rPr>
                <w:color w:val="auto"/>
                <w:sz w:val="18"/>
              </w:rPr>
            </w:pPr>
          </w:p>
          <w:p>
            <w:pPr>
              <w:pStyle w:val="23"/>
              <w:spacing w:before="11"/>
              <w:rPr>
                <w:color w:val="auto"/>
                <w:sz w:val="23"/>
              </w:rPr>
            </w:pPr>
          </w:p>
          <w:p>
            <w:pPr>
              <w:pStyle w:val="23"/>
              <w:spacing w:before="1"/>
              <w:ind w:right="530"/>
              <w:jc w:val="right"/>
              <w:rPr>
                <w:color w:val="auto"/>
                <w:sz w:val="18"/>
              </w:rPr>
            </w:pPr>
            <w:r>
              <w:rPr>
                <w:color w:val="auto"/>
                <w:sz w:val="18"/>
              </w:rPr>
              <w:t>1.1</w:t>
            </w:r>
          </w:p>
        </w:tc>
        <w:tc>
          <w:tcPr>
            <w:tcW w:w="1621" w:type="dxa"/>
          </w:tcPr>
          <w:p>
            <w:pPr>
              <w:pStyle w:val="23"/>
              <w:rPr>
                <w:color w:val="auto"/>
                <w:sz w:val="18"/>
              </w:rPr>
            </w:pPr>
          </w:p>
          <w:p>
            <w:pPr>
              <w:pStyle w:val="23"/>
              <w:rPr>
                <w:color w:val="auto"/>
                <w:sz w:val="18"/>
              </w:rPr>
            </w:pPr>
          </w:p>
          <w:p>
            <w:pPr>
              <w:pStyle w:val="23"/>
              <w:spacing w:before="11"/>
              <w:rPr>
                <w:color w:val="auto"/>
                <w:sz w:val="23"/>
              </w:rPr>
            </w:pPr>
          </w:p>
          <w:p>
            <w:pPr>
              <w:pStyle w:val="23"/>
              <w:spacing w:before="1"/>
              <w:ind w:left="98" w:right="243"/>
              <w:jc w:val="center"/>
              <w:rPr>
                <w:color w:val="auto"/>
                <w:sz w:val="18"/>
              </w:rPr>
            </w:pPr>
            <w:r>
              <w:rPr>
                <w:color w:val="auto"/>
                <w:sz w:val="18"/>
              </w:rPr>
              <w:t>投标报价</w:t>
            </w:r>
          </w:p>
        </w:tc>
        <w:tc>
          <w:tcPr>
            <w:tcW w:w="5104" w:type="dxa"/>
          </w:tcPr>
          <w:p>
            <w:pPr>
              <w:pStyle w:val="23"/>
              <w:spacing w:before="107" w:line="374" w:lineRule="auto"/>
              <w:ind w:left="107" w:right="97"/>
              <w:jc w:val="both"/>
              <w:rPr>
                <w:color w:val="auto"/>
                <w:sz w:val="18"/>
              </w:rPr>
            </w:pPr>
            <w:r>
              <w:rPr>
                <w:color w:val="auto"/>
                <w:sz w:val="18"/>
              </w:rPr>
              <w:t>价格分采用低价优先法计算，即满足招标文件要求且投标价格</w:t>
            </w:r>
            <w:r>
              <w:rPr>
                <w:color w:val="auto"/>
                <w:spacing w:val="-5"/>
                <w:sz w:val="18"/>
              </w:rPr>
              <w:t xml:space="preserve">最低的投标报价为评标基准价，其价格分为满分 </w:t>
            </w:r>
            <w:r>
              <w:rPr>
                <w:color w:val="auto"/>
                <w:spacing w:val="-3"/>
                <w:sz w:val="18"/>
              </w:rPr>
              <w:t>30</w:t>
            </w:r>
            <w:r>
              <w:rPr>
                <w:color w:val="auto"/>
                <w:spacing w:val="-11"/>
                <w:sz w:val="18"/>
              </w:rPr>
              <w:t xml:space="preserve"> 分。其他投</w:t>
            </w:r>
            <w:r>
              <w:rPr>
                <w:color w:val="auto"/>
                <w:sz w:val="18"/>
              </w:rPr>
              <w:t>标人的价格分按照下列公式计算：</w:t>
            </w:r>
          </w:p>
          <w:p>
            <w:pPr>
              <w:pStyle w:val="23"/>
              <w:spacing w:before="1"/>
              <w:ind w:left="107"/>
              <w:rPr>
                <w:color w:val="auto"/>
                <w:sz w:val="18"/>
              </w:rPr>
            </w:pPr>
            <w:r>
              <w:rPr>
                <w:color w:val="auto"/>
                <w:spacing w:val="-3"/>
                <w:sz w:val="18"/>
              </w:rPr>
              <w:t>投标报价得分=</w:t>
            </w:r>
            <w:r>
              <w:rPr>
                <w:color w:val="auto"/>
                <w:spacing w:val="-2"/>
                <w:sz w:val="18"/>
              </w:rPr>
              <w:t>（评标基准价／投标报价）×30（精确到小数点</w:t>
            </w:r>
          </w:p>
          <w:p>
            <w:pPr>
              <w:pStyle w:val="23"/>
              <w:spacing w:before="130"/>
              <w:ind w:left="107"/>
              <w:rPr>
                <w:color w:val="auto"/>
                <w:sz w:val="18"/>
              </w:rPr>
            </w:pPr>
            <w:r>
              <w:rPr>
                <w:color w:val="auto"/>
                <w:sz w:val="18"/>
              </w:rPr>
              <w:t>后两位）</w:t>
            </w:r>
          </w:p>
        </w:tc>
        <w:tc>
          <w:tcPr>
            <w:tcW w:w="1049" w:type="dxa"/>
          </w:tcPr>
          <w:p>
            <w:pPr>
              <w:pStyle w:val="23"/>
              <w:rPr>
                <w:color w:val="auto"/>
                <w:sz w:val="18"/>
              </w:rPr>
            </w:pPr>
          </w:p>
          <w:p>
            <w:pPr>
              <w:pStyle w:val="23"/>
              <w:rPr>
                <w:color w:val="auto"/>
                <w:sz w:val="18"/>
              </w:rPr>
            </w:pPr>
          </w:p>
          <w:p>
            <w:pPr>
              <w:pStyle w:val="23"/>
              <w:rPr>
                <w:color w:val="auto"/>
                <w:sz w:val="18"/>
              </w:rPr>
            </w:pPr>
          </w:p>
          <w:p>
            <w:pPr>
              <w:pStyle w:val="23"/>
              <w:spacing w:before="136"/>
              <w:ind w:right="421"/>
              <w:jc w:val="right"/>
              <w:rPr>
                <w:color w:val="auto"/>
                <w:sz w:val="18"/>
              </w:rPr>
            </w:pPr>
            <w:r>
              <w:rPr>
                <w:color w:val="auto"/>
                <w:sz w:val="18"/>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135" w:type="dxa"/>
            <w:gridSpan w:val="4"/>
          </w:tcPr>
          <w:p>
            <w:pPr>
              <w:pStyle w:val="23"/>
              <w:spacing w:before="110"/>
              <w:ind w:left="107"/>
              <w:rPr>
                <w:color w:val="auto"/>
                <w:sz w:val="18"/>
              </w:rPr>
            </w:pPr>
            <w:r>
              <w:rPr>
                <w:color w:val="auto"/>
                <w:sz w:val="18"/>
              </w:rPr>
              <w:t>2、技术部分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3" w:hRule="atLeast"/>
        </w:trPr>
        <w:tc>
          <w:tcPr>
            <w:tcW w:w="1361" w:type="dxa"/>
          </w:tcPr>
          <w:p>
            <w:pPr>
              <w:pStyle w:val="23"/>
              <w:rPr>
                <w:color w:val="auto"/>
                <w:sz w:val="18"/>
              </w:rPr>
            </w:pPr>
          </w:p>
          <w:p>
            <w:pPr>
              <w:pStyle w:val="23"/>
              <w:spacing w:before="6"/>
              <w:rPr>
                <w:color w:val="auto"/>
                <w:sz w:val="18"/>
              </w:rPr>
            </w:pPr>
          </w:p>
          <w:p>
            <w:pPr>
              <w:pStyle w:val="23"/>
              <w:spacing w:before="1"/>
              <w:ind w:right="530"/>
              <w:jc w:val="right"/>
              <w:rPr>
                <w:color w:val="auto"/>
                <w:sz w:val="18"/>
              </w:rPr>
            </w:pPr>
            <w:r>
              <w:rPr>
                <w:color w:val="auto"/>
                <w:sz w:val="18"/>
              </w:rPr>
              <w:t>2.1</w:t>
            </w:r>
          </w:p>
        </w:tc>
        <w:tc>
          <w:tcPr>
            <w:tcW w:w="1621" w:type="dxa"/>
          </w:tcPr>
          <w:p>
            <w:pPr>
              <w:pStyle w:val="23"/>
              <w:rPr>
                <w:color w:val="auto"/>
                <w:sz w:val="18"/>
              </w:rPr>
            </w:pPr>
          </w:p>
          <w:p>
            <w:pPr>
              <w:pStyle w:val="23"/>
              <w:spacing w:before="6"/>
              <w:rPr>
                <w:color w:val="auto"/>
                <w:sz w:val="18"/>
              </w:rPr>
            </w:pPr>
          </w:p>
          <w:p>
            <w:pPr>
              <w:pStyle w:val="23"/>
              <w:spacing w:before="1"/>
              <w:ind w:left="248" w:right="243"/>
              <w:jc w:val="center"/>
              <w:rPr>
                <w:color w:val="auto"/>
                <w:sz w:val="18"/>
              </w:rPr>
            </w:pPr>
            <w:r>
              <w:rPr>
                <w:color w:val="auto"/>
                <w:sz w:val="18"/>
              </w:rPr>
              <w:t>技术参数</w:t>
            </w:r>
          </w:p>
        </w:tc>
        <w:tc>
          <w:tcPr>
            <w:tcW w:w="5104" w:type="dxa"/>
          </w:tcPr>
          <w:p>
            <w:pPr>
              <w:pStyle w:val="23"/>
              <w:spacing w:before="108" w:line="374" w:lineRule="auto"/>
              <w:ind w:left="107" w:right="96"/>
              <w:jc w:val="both"/>
              <w:rPr>
                <w:color w:val="auto"/>
                <w:sz w:val="18"/>
              </w:rPr>
            </w:pPr>
            <w:r>
              <w:rPr>
                <w:color w:val="auto"/>
                <w:sz w:val="18"/>
              </w:rPr>
              <w:t>设备技术参数全部满足招标要求的得满分；打★号指标为核心指标项，</w:t>
            </w:r>
            <w:r>
              <w:rPr>
                <w:rFonts w:hint="eastAsia" w:ascii="宋体" w:hAnsi="宋体" w:cs="宋体"/>
                <w:color w:val="auto"/>
                <w:kern w:val="0"/>
                <w:sz w:val="18"/>
                <w:szCs w:val="18"/>
              </w:rPr>
              <w:t>需提供证明材料，</w:t>
            </w:r>
            <w:r>
              <w:rPr>
                <w:color w:val="auto"/>
                <w:sz w:val="18"/>
              </w:rPr>
              <w:t>如有负偏离按无效投标处理；非打★号指标，有一项</w:t>
            </w:r>
            <w:r>
              <w:rPr>
                <w:color w:val="auto"/>
                <w:spacing w:val="-8"/>
                <w:w w:val="95"/>
                <w:sz w:val="18"/>
              </w:rPr>
              <w:t xml:space="preserve">负偏离扣 </w:t>
            </w:r>
            <w:r>
              <w:rPr>
                <w:color w:val="auto"/>
                <w:w w:val="95"/>
                <w:sz w:val="18"/>
              </w:rPr>
              <w:t>5</w:t>
            </w:r>
            <w:r>
              <w:rPr>
                <w:color w:val="auto"/>
                <w:spacing w:val="-6"/>
                <w:w w:val="95"/>
                <w:sz w:val="18"/>
              </w:rPr>
              <w:t xml:space="preserve"> 分，扣完为止。</w:t>
            </w:r>
          </w:p>
          <w:p>
            <w:pPr>
              <w:pStyle w:val="23"/>
              <w:spacing w:before="1"/>
              <w:ind w:left="107"/>
              <w:rPr>
                <w:color w:val="auto"/>
                <w:sz w:val="18"/>
              </w:rPr>
            </w:pPr>
            <w:r>
              <w:rPr>
                <w:color w:val="auto"/>
                <w:sz w:val="18"/>
              </w:rPr>
              <w:t>各投标供应商均应如实填写偏离情况，技术参数性能等偏离不</w:t>
            </w:r>
          </w:p>
          <w:p>
            <w:pPr>
              <w:pStyle w:val="23"/>
              <w:spacing w:before="129"/>
              <w:ind w:left="107"/>
              <w:rPr>
                <w:color w:val="auto"/>
                <w:sz w:val="18"/>
              </w:rPr>
            </w:pPr>
            <w:r>
              <w:rPr>
                <w:color w:val="auto"/>
                <w:sz w:val="18"/>
              </w:rPr>
              <w:t>能改变采购产品使用的质量和功能，否则为无效投标。</w:t>
            </w:r>
          </w:p>
        </w:tc>
        <w:tc>
          <w:tcPr>
            <w:tcW w:w="1049" w:type="dxa"/>
          </w:tcPr>
          <w:p>
            <w:pPr>
              <w:pStyle w:val="23"/>
              <w:rPr>
                <w:color w:val="auto"/>
                <w:sz w:val="18"/>
              </w:rPr>
            </w:pPr>
          </w:p>
          <w:p>
            <w:pPr>
              <w:pStyle w:val="23"/>
              <w:rPr>
                <w:color w:val="auto"/>
                <w:sz w:val="18"/>
              </w:rPr>
            </w:pPr>
          </w:p>
          <w:p>
            <w:pPr>
              <w:pStyle w:val="23"/>
              <w:rPr>
                <w:color w:val="auto"/>
                <w:sz w:val="18"/>
              </w:rPr>
            </w:pPr>
          </w:p>
          <w:p>
            <w:pPr>
              <w:pStyle w:val="23"/>
              <w:rPr>
                <w:color w:val="auto"/>
                <w:sz w:val="18"/>
              </w:rPr>
            </w:pPr>
          </w:p>
          <w:p>
            <w:pPr>
              <w:pStyle w:val="23"/>
              <w:spacing w:before="133"/>
              <w:ind w:right="421"/>
              <w:jc w:val="right"/>
              <w:rPr>
                <w:color w:val="auto"/>
                <w:sz w:val="18"/>
              </w:rPr>
            </w:pPr>
            <w:r>
              <w:rPr>
                <w:color w:val="auto"/>
                <w:sz w:val="18"/>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9135" w:type="dxa"/>
            <w:gridSpan w:val="4"/>
          </w:tcPr>
          <w:p>
            <w:pPr>
              <w:pStyle w:val="23"/>
              <w:spacing w:before="4"/>
              <w:rPr>
                <w:color w:val="auto"/>
                <w:sz w:val="15"/>
              </w:rPr>
            </w:pPr>
          </w:p>
          <w:p>
            <w:pPr>
              <w:pStyle w:val="23"/>
              <w:ind w:left="107"/>
              <w:rPr>
                <w:color w:val="auto"/>
                <w:sz w:val="18"/>
              </w:rPr>
            </w:pPr>
            <w:r>
              <w:rPr>
                <w:color w:val="auto"/>
                <w:sz w:val="18"/>
              </w:rPr>
              <w:t>3、服务部分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6" w:hRule="atLeast"/>
        </w:trPr>
        <w:tc>
          <w:tcPr>
            <w:tcW w:w="1361" w:type="dxa"/>
          </w:tcPr>
          <w:p>
            <w:pPr>
              <w:pStyle w:val="23"/>
              <w:rPr>
                <w:color w:val="auto"/>
                <w:sz w:val="18"/>
              </w:rPr>
            </w:pPr>
          </w:p>
          <w:p>
            <w:pPr>
              <w:pStyle w:val="23"/>
              <w:rPr>
                <w:color w:val="auto"/>
                <w:sz w:val="18"/>
              </w:rPr>
            </w:pPr>
          </w:p>
          <w:p>
            <w:pPr>
              <w:pStyle w:val="23"/>
              <w:spacing w:before="7"/>
              <w:rPr>
                <w:color w:val="auto"/>
                <w:sz w:val="22"/>
              </w:rPr>
            </w:pPr>
          </w:p>
          <w:p>
            <w:pPr>
              <w:pStyle w:val="23"/>
              <w:spacing w:before="1"/>
              <w:ind w:right="530"/>
              <w:jc w:val="right"/>
              <w:rPr>
                <w:color w:val="auto"/>
                <w:sz w:val="18"/>
              </w:rPr>
            </w:pPr>
            <w:r>
              <w:rPr>
                <w:color w:val="auto"/>
                <w:sz w:val="18"/>
              </w:rPr>
              <w:t>3.1</w:t>
            </w:r>
          </w:p>
        </w:tc>
        <w:tc>
          <w:tcPr>
            <w:tcW w:w="1621" w:type="dxa"/>
          </w:tcPr>
          <w:p>
            <w:pPr>
              <w:pStyle w:val="23"/>
              <w:rPr>
                <w:color w:val="auto"/>
                <w:sz w:val="18"/>
              </w:rPr>
            </w:pPr>
          </w:p>
          <w:p>
            <w:pPr>
              <w:pStyle w:val="23"/>
              <w:rPr>
                <w:color w:val="auto"/>
                <w:sz w:val="18"/>
              </w:rPr>
            </w:pPr>
          </w:p>
          <w:p>
            <w:pPr>
              <w:pStyle w:val="23"/>
              <w:spacing w:before="11"/>
              <w:rPr>
                <w:color w:val="auto"/>
                <w:sz w:val="17"/>
              </w:rPr>
            </w:pPr>
          </w:p>
          <w:p>
            <w:pPr>
              <w:pStyle w:val="23"/>
              <w:spacing w:before="1"/>
              <w:ind w:left="248" w:right="243"/>
              <w:jc w:val="center"/>
              <w:rPr>
                <w:color w:val="auto"/>
                <w:sz w:val="18"/>
              </w:rPr>
            </w:pPr>
            <w:r>
              <w:rPr>
                <w:color w:val="auto"/>
                <w:sz w:val="18"/>
              </w:rPr>
              <w:t>安装调试方案</w:t>
            </w:r>
          </w:p>
        </w:tc>
        <w:tc>
          <w:tcPr>
            <w:tcW w:w="5104" w:type="dxa"/>
          </w:tcPr>
          <w:p>
            <w:pPr>
              <w:pStyle w:val="23"/>
              <w:spacing w:before="2"/>
              <w:rPr>
                <w:color w:val="auto"/>
                <w:sz w:val="15"/>
              </w:rPr>
            </w:pPr>
          </w:p>
          <w:p>
            <w:pPr>
              <w:pStyle w:val="23"/>
              <w:spacing w:line="374" w:lineRule="auto"/>
              <w:ind w:left="107" w:right="338"/>
              <w:rPr>
                <w:color w:val="auto"/>
                <w:sz w:val="18"/>
              </w:rPr>
            </w:pPr>
            <w:r>
              <w:rPr>
                <w:color w:val="auto"/>
                <w:sz w:val="18"/>
              </w:rPr>
              <w:t>依据供应商提供的本次招标采购设备到校后的安装调试方</w:t>
            </w:r>
            <w:r>
              <w:rPr>
                <w:color w:val="auto"/>
                <w:spacing w:val="2"/>
                <w:w w:val="95"/>
                <w:sz w:val="18"/>
              </w:rPr>
              <w:t xml:space="preserve">案的科学合理、完整、切实可行的得 </w:t>
            </w:r>
            <w:r>
              <w:rPr>
                <w:color w:val="auto"/>
                <w:w w:val="95"/>
                <w:sz w:val="18"/>
              </w:rPr>
              <w:t>5</w:t>
            </w:r>
            <w:r>
              <w:rPr>
                <w:color w:val="auto"/>
                <w:spacing w:val="3"/>
                <w:w w:val="95"/>
                <w:sz w:val="18"/>
              </w:rPr>
              <w:t xml:space="preserve"> 分，方案完整但科学</w:t>
            </w:r>
          </w:p>
          <w:p>
            <w:pPr>
              <w:pStyle w:val="23"/>
              <w:ind w:left="107"/>
              <w:rPr>
                <w:color w:val="auto"/>
                <w:sz w:val="18"/>
              </w:rPr>
            </w:pPr>
            <w:r>
              <w:rPr>
                <w:color w:val="auto"/>
                <w:spacing w:val="-6"/>
                <w:sz w:val="18"/>
              </w:rPr>
              <w:t xml:space="preserve">合理及可行性欠缺的得 </w:t>
            </w:r>
            <w:r>
              <w:rPr>
                <w:color w:val="auto"/>
                <w:spacing w:val="-2"/>
                <w:sz w:val="18"/>
              </w:rPr>
              <w:t>3</w:t>
            </w:r>
            <w:r>
              <w:rPr>
                <w:color w:val="auto"/>
                <w:spacing w:val="-8"/>
                <w:sz w:val="18"/>
              </w:rPr>
              <w:t xml:space="preserve"> 分，方案不完整且科学合理及可行</w:t>
            </w:r>
          </w:p>
          <w:p>
            <w:pPr>
              <w:pStyle w:val="23"/>
              <w:spacing w:before="130"/>
              <w:ind w:left="107"/>
              <w:rPr>
                <w:color w:val="auto"/>
                <w:sz w:val="18"/>
              </w:rPr>
            </w:pPr>
            <w:r>
              <w:rPr>
                <w:color w:val="auto"/>
                <w:spacing w:val="6"/>
                <w:w w:val="95"/>
                <w:sz w:val="18"/>
              </w:rPr>
              <w:t xml:space="preserve">性欠缺的得 </w:t>
            </w:r>
            <w:r>
              <w:rPr>
                <w:color w:val="auto"/>
                <w:w w:val="95"/>
                <w:sz w:val="18"/>
              </w:rPr>
              <w:t>1 分，其他或未提供的不得分。</w:t>
            </w:r>
          </w:p>
        </w:tc>
        <w:tc>
          <w:tcPr>
            <w:tcW w:w="1049" w:type="dxa"/>
          </w:tcPr>
          <w:p>
            <w:pPr>
              <w:pStyle w:val="23"/>
              <w:rPr>
                <w:color w:val="auto"/>
                <w:sz w:val="18"/>
              </w:rPr>
            </w:pPr>
          </w:p>
          <w:p>
            <w:pPr>
              <w:pStyle w:val="23"/>
              <w:rPr>
                <w:color w:val="auto"/>
                <w:sz w:val="18"/>
              </w:rPr>
            </w:pPr>
          </w:p>
          <w:p>
            <w:pPr>
              <w:pStyle w:val="23"/>
              <w:rPr>
                <w:color w:val="auto"/>
                <w:sz w:val="18"/>
              </w:rPr>
            </w:pPr>
          </w:p>
          <w:p>
            <w:pPr>
              <w:pStyle w:val="23"/>
              <w:spacing w:before="8"/>
              <w:rPr>
                <w:color w:val="auto"/>
                <w:sz w:val="18"/>
              </w:rPr>
            </w:pPr>
          </w:p>
          <w:p>
            <w:pPr>
              <w:pStyle w:val="23"/>
              <w:ind w:right="470"/>
              <w:jc w:val="right"/>
              <w:rPr>
                <w:color w:val="auto"/>
                <w:sz w:val="18"/>
              </w:rPr>
            </w:pPr>
            <w:r>
              <w:rPr>
                <w:color w:val="auto"/>
                <w:sz w:val="1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8" w:hRule="atLeast"/>
        </w:trPr>
        <w:tc>
          <w:tcPr>
            <w:tcW w:w="1361" w:type="dxa"/>
          </w:tcPr>
          <w:p>
            <w:pPr>
              <w:pStyle w:val="23"/>
              <w:rPr>
                <w:color w:val="auto"/>
                <w:sz w:val="18"/>
              </w:rPr>
            </w:pPr>
          </w:p>
          <w:p>
            <w:pPr>
              <w:pStyle w:val="23"/>
              <w:rPr>
                <w:color w:val="auto"/>
                <w:sz w:val="18"/>
              </w:rPr>
            </w:pPr>
          </w:p>
          <w:p>
            <w:pPr>
              <w:pStyle w:val="23"/>
              <w:rPr>
                <w:color w:val="auto"/>
                <w:sz w:val="18"/>
              </w:rPr>
            </w:pPr>
          </w:p>
          <w:p>
            <w:pPr>
              <w:pStyle w:val="23"/>
              <w:rPr>
                <w:color w:val="auto"/>
                <w:sz w:val="18"/>
              </w:rPr>
            </w:pPr>
          </w:p>
          <w:p>
            <w:pPr>
              <w:pStyle w:val="23"/>
              <w:spacing w:before="11"/>
              <w:rPr>
                <w:color w:val="auto"/>
                <w:sz w:val="14"/>
              </w:rPr>
            </w:pPr>
          </w:p>
          <w:p>
            <w:pPr>
              <w:pStyle w:val="23"/>
              <w:ind w:right="530"/>
              <w:jc w:val="right"/>
              <w:rPr>
                <w:color w:val="auto"/>
                <w:sz w:val="18"/>
              </w:rPr>
            </w:pPr>
            <w:r>
              <w:rPr>
                <w:color w:val="auto"/>
                <w:sz w:val="18"/>
              </w:rPr>
              <w:t>3.2</w:t>
            </w:r>
          </w:p>
        </w:tc>
        <w:tc>
          <w:tcPr>
            <w:tcW w:w="1621" w:type="dxa"/>
          </w:tcPr>
          <w:p>
            <w:pPr>
              <w:pStyle w:val="23"/>
              <w:rPr>
                <w:color w:val="auto"/>
                <w:sz w:val="18"/>
              </w:rPr>
            </w:pPr>
          </w:p>
          <w:p>
            <w:pPr>
              <w:pStyle w:val="23"/>
              <w:rPr>
                <w:color w:val="auto"/>
                <w:sz w:val="18"/>
              </w:rPr>
            </w:pPr>
          </w:p>
          <w:p>
            <w:pPr>
              <w:pStyle w:val="23"/>
              <w:rPr>
                <w:color w:val="auto"/>
                <w:sz w:val="18"/>
              </w:rPr>
            </w:pPr>
          </w:p>
          <w:p>
            <w:pPr>
              <w:pStyle w:val="23"/>
              <w:spacing w:before="10"/>
              <w:rPr>
                <w:color w:val="auto"/>
                <w:sz w:val="18"/>
              </w:rPr>
            </w:pPr>
          </w:p>
          <w:p>
            <w:pPr>
              <w:pStyle w:val="23"/>
              <w:spacing w:before="1"/>
              <w:ind w:left="248" w:right="243"/>
              <w:jc w:val="center"/>
              <w:rPr>
                <w:color w:val="auto"/>
                <w:sz w:val="18"/>
              </w:rPr>
            </w:pPr>
            <w:r>
              <w:rPr>
                <w:color w:val="auto"/>
                <w:sz w:val="18"/>
              </w:rPr>
              <w:t>售后服务方案</w:t>
            </w:r>
          </w:p>
        </w:tc>
        <w:tc>
          <w:tcPr>
            <w:tcW w:w="5104" w:type="dxa"/>
          </w:tcPr>
          <w:p>
            <w:pPr>
              <w:pStyle w:val="23"/>
              <w:spacing w:before="4"/>
              <w:rPr>
                <w:color w:val="auto"/>
                <w:sz w:val="15"/>
              </w:rPr>
            </w:pPr>
          </w:p>
          <w:p>
            <w:pPr>
              <w:pStyle w:val="23"/>
              <w:spacing w:line="374" w:lineRule="auto"/>
              <w:ind w:left="107" w:right="124"/>
              <w:jc w:val="both"/>
              <w:rPr>
                <w:color w:val="auto"/>
                <w:sz w:val="18"/>
              </w:rPr>
            </w:pPr>
            <w:r>
              <w:rPr>
                <w:color w:val="auto"/>
                <w:spacing w:val="-1"/>
                <w:sz w:val="18"/>
              </w:rPr>
              <w:t>投标人响应招标文件质保维保服务要求，并针对本次项目提供售后服务响应标准、备件体系、故障解决方案、专业技术人员</w:t>
            </w:r>
            <w:r>
              <w:rPr>
                <w:color w:val="auto"/>
                <w:spacing w:val="2"/>
                <w:w w:val="95"/>
                <w:sz w:val="18"/>
              </w:rPr>
              <w:t xml:space="preserve">保障等服务内容，内容科学合理、完整、切实可行的得 </w:t>
            </w:r>
            <w:r>
              <w:rPr>
                <w:color w:val="auto"/>
                <w:w w:val="95"/>
                <w:sz w:val="18"/>
              </w:rPr>
              <w:t>5</w:t>
            </w:r>
            <w:r>
              <w:rPr>
                <w:color w:val="auto"/>
                <w:spacing w:val="23"/>
                <w:w w:val="95"/>
                <w:sz w:val="18"/>
              </w:rPr>
              <w:t xml:space="preserve"> 分，</w:t>
            </w:r>
          </w:p>
          <w:p>
            <w:pPr>
              <w:pStyle w:val="23"/>
              <w:spacing w:before="1"/>
              <w:ind w:left="107"/>
              <w:jc w:val="both"/>
              <w:rPr>
                <w:color w:val="auto"/>
                <w:sz w:val="18"/>
              </w:rPr>
            </w:pPr>
            <w:r>
              <w:rPr>
                <w:color w:val="auto"/>
                <w:spacing w:val="4"/>
                <w:w w:val="95"/>
                <w:sz w:val="18"/>
              </w:rPr>
              <w:t xml:space="preserve">内容完整但科学合理及可行性欠缺的得 </w:t>
            </w:r>
            <w:r>
              <w:rPr>
                <w:color w:val="auto"/>
                <w:w w:val="95"/>
                <w:sz w:val="18"/>
              </w:rPr>
              <w:t>3</w:t>
            </w:r>
            <w:r>
              <w:rPr>
                <w:color w:val="auto"/>
                <w:spacing w:val="6"/>
                <w:w w:val="95"/>
                <w:sz w:val="18"/>
              </w:rPr>
              <w:t xml:space="preserve"> 分，内容不完整且科</w:t>
            </w:r>
          </w:p>
          <w:p>
            <w:pPr>
              <w:pStyle w:val="23"/>
              <w:spacing w:before="129"/>
              <w:ind w:left="107"/>
              <w:jc w:val="both"/>
              <w:rPr>
                <w:color w:val="auto"/>
                <w:sz w:val="18"/>
              </w:rPr>
            </w:pPr>
            <w:r>
              <w:rPr>
                <w:color w:val="auto"/>
                <w:spacing w:val="5"/>
                <w:w w:val="95"/>
                <w:sz w:val="18"/>
              </w:rPr>
              <w:t xml:space="preserve">学合理及可行性欠缺的得 </w:t>
            </w:r>
            <w:r>
              <w:rPr>
                <w:color w:val="auto"/>
                <w:w w:val="95"/>
                <w:sz w:val="18"/>
              </w:rPr>
              <w:t>1</w:t>
            </w:r>
            <w:r>
              <w:rPr>
                <w:color w:val="auto"/>
                <w:spacing w:val="1"/>
                <w:w w:val="95"/>
                <w:sz w:val="18"/>
              </w:rPr>
              <w:t xml:space="preserve"> 分，其他或未提供的不得分。</w:t>
            </w:r>
          </w:p>
        </w:tc>
        <w:tc>
          <w:tcPr>
            <w:tcW w:w="1049" w:type="dxa"/>
          </w:tcPr>
          <w:p>
            <w:pPr>
              <w:pStyle w:val="23"/>
              <w:rPr>
                <w:color w:val="auto"/>
                <w:sz w:val="18"/>
              </w:rPr>
            </w:pPr>
          </w:p>
          <w:p>
            <w:pPr>
              <w:pStyle w:val="23"/>
              <w:rPr>
                <w:color w:val="auto"/>
                <w:sz w:val="18"/>
              </w:rPr>
            </w:pPr>
          </w:p>
          <w:p>
            <w:pPr>
              <w:pStyle w:val="23"/>
              <w:rPr>
                <w:color w:val="auto"/>
                <w:sz w:val="18"/>
              </w:rPr>
            </w:pPr>
          </w:p>
          <w:p>
            <w:pPr>
              <w:pStyle w:val="23"/>
              <w:rPr>
                <w:color w:val="auto"/>
                <w:sz w:val="18"/>
              </w:rPr>
            </w:pPr>
          </w:p>
          <w:p>
            <w:pPr>
              <w:pStyle w:val="23"/>
              <w:spacing w:before="11"/>
              <w:rPr>
                <w:color w:val="auto"/>
                <w:sz w:val="14"/>
              </w:rPr>
            </w:pPr>
          </w:p>
          <w:p>
            <w:pPr>
              <w:pStyle w:val="23"/>
              <w:ind w:right="470"/>
              <w:jc w:val="right"/>
              <w:rPr>
                <w:color w:val="auto"/>
                <w:sz w:val="18"/>
              </w:rPr>
            </w:pPr>
            <w:r>
              <w:rPr>
                <w:color w:val="auto"/>
                <w:sz w:val="1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9135" w:type="dxa"/>
            <w:gridSpan w:val="4"/>
          </w:tcPr>
          <w:p>
            <w:pPr>
              <w:pStyle w:val="23"/>
              <w:spacing w:before="4"/>
              <w:rPr>
                <w:color w:val="auto"/>
                <w:sz w:val="15"/>
              </w:rPr>
            </w:pPr>
          </w:p>
          <w:p>
            <w:pPr>
              <w:pStyle w:val="23"/>
              <w:ind w:left="230"/>
              <w:rPr>
                <w:color w:val="auto"/>
                <w:sz w:val="18"/>
              </w:rPr>
            </w:pPr>
            <w:r>
              <w:rPr>
                <w:color w:val="auto"/>
                <w:sz w:val="18"/>
              </w:rPr>
              <w:t>4、业绩</w:t>
            </w:r>
          </w:p>
        </w:tc>
      </w:tr>
    </w:tbl>
    <w:p>
      <w:pPr>
        <w:spacing w:after="0"/>
        <w:rPr>
          <w:color w:val="auto"/>
          <w:sz w:val="18"/>
        </w:rPr>
        <w:sectPr>
          <w:footerReference r:id="rId31" w:type="default"/>
          <w:pgSz w:w="11910" w:h="16840"/>
          <w:pgMar w:top="1500" w:right="1180" w:bottom="1080" w:left="1200" w:header="0" w:footer="886" w:gutter="0"/>
          <w:cols w:space="720" w:num="1"/>
        </w:sectPr>
      </w:pPr>
    </w:p>
    <w:tbl>
      <w:tblPr>
        <w:tblStyle w:val="12"/>
        <w:tblW w:w="0" w:type="auto"/>
        <w:tblInd w:w="1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1"/>
        <w:gridCol w:w="1621"/>
        <w:gridCol w:w="5104"/>
        <w:gridCol w:w="10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1361" w:type="dxa"/>
          </w:tcPr>
          <w:p>
            <w:pPr>
              <w:pStyle w:val="23"/>
              <w:rPr>
                <w:color w:val="auto"/>
                <w:sz w:val="18"/>
              </w:rPr>
            </w:pPr>
          </w:p>
          <w:p>
            <w:pPr>
              <w:pStyle w:val="23"/>
              <w:rPr>
                <w:color w:val="auto"/>
                <w:sz w:val="18"/>
              </w:rPr>
            </w:pPr>
          </w:p>
          <w:p>
            <w:pPr>
              <w:pStyle w:val="23"/>
              <w:spacing w:before="127"/>
              <w:ind w:left="321"/>
              <w:rPr>
                <w:color w:val="auto"/>
                <w:sz w:val="18"/>
              </w:rPr>
            </w:pPr>
            <w:r>
              <w:rPr>
                <w:color w:val="auto"/>
                <w:sz w:val="18"/>
              </w:rPr>
              <w:t>4.1</w:t>
            </w:r>
          </w:p>
        </w:tc>
        <w:tc>
          <w:tcPr>
            <w:tcW w:w="1621" w:type="dxa"/>
          </w:tcPr>
          <w:p>
            <w:pPr>
              <w:pStyle w:val="23"/>
              <w:rPr>
                <w:color w:val="auto"/>
                <w:sz w:val="18"/>
              </w:rPr>
            </w:pPr>
          </w:p>
          <w:p>
            <w:pPr>
              <w:pStyle w:val="23"/>
              <w:rPr>
                <w:color w:val="auto"/>
                <w:sz w:val="18"/>
              </w:rPr>
            </w:pPr>
          </w:p>
          <w:p>
            <w:pPr>
              <w:pStyle w:val="23"/>
              <w:spacing w:before="127"/>
              <w:ind w:left="248" w:right="243"/>
              <w:jc w:val="center"/>
              <w:rPr>
                <w:color w:val="auto"/>
                <w:sz w:val="18"/>
              </w:rPr>
            </w:pPr>
            <w:r>
              <w:rPr>
                <w:color w:val="auto"/>
                <w:sz w:val="18"/>
              </w:rPr>
              <w:t>业绩</w:t>
            </w:r>
          </w:p>
        </w:tc>
        <w:tc>
          <w:tcPr>
            <w:tcW w:w="5104" w:type="dxa"/>
          </w:tcPr>
          <w:p>
            <w:pPr>
              <w:pStyle w:val="23"/>
              <w:spacing w:before="4"/>
              <w:rPr>
                <w:color w:val="auto"/>
                <w:sz w:val="15"/>
              </w:rPr>
            </w:pPr>
          </w:p>
          <w:p>
            <w:pPr>
              <w:pStyle w:val="23"/>
              <w:spacing w:before="1"/>
              <w:ind w:left="107"/>
              <w:rPr>
                <w:color w:val="auto"/>
                <w:sz w:val="18"/>
              </w:rPr>
            </w:pPr>
            <w:r>
              <w:rPr>
                <w:color w:val="auto"/>
                <w:spacing w:val="-9"/>
                <w:sz w:val="18"/>
              </w:rPr>
              <w:t xml:space="preserve">依据投标人自 </w:t>
            </w:r>
            <w:r>
              <w:rPr>
                <w:color w:val="auto"/>
                <w:spacing w:val="-2"/>
                <w:sz w:val="18"/>
              </w:rPr>
              <w:t>2017</w:t>
            </w:r>
            <w:r>
              <w:rPr>
                <w:color w:val="auto"/>
                <w:spacing w:val="-31"/>
                <w:sz w:val="18"/>
              </w:rPr>
              <w:t xml:space="preserve"> 年 </w:t>
            </w:r>
            <w:r>
              <w:rPr>
                <w:color w:val="auto"/>
                <w:spacing w:val="-2"/>
                <w:sz w:val="18"/>
              </w:rPr>
              <w:t>9</w:t>
            </w:r>
            <w:r>
              <w:rPr>
                <w:color w:val="auto"/>
                <w:spacing w:val="-31"/>
                <w:sz w:val="18"/>
              </w:rPr>
              <w:t xml:space="preserve"> 月 </w:t>
            </w:r>
            <w:r>
              <w:rPr>
                <w:color w:val="auto"/>
                <w:spacing w:val="-2"/>
                <w:sz w:val="18"/>
              </w:rPr>
              <w:t>1</w:t>
            </w:r>
            <w:r>
              <w:rPr>
                <w:color w:val="auto"/>
                <w:spacing w:val="-8"/>
                <w:sz w:val="18"/>
              </w:rPr>
              <w:t xml:space="preserve"> 日以来完成过同类项目案例，每</w:t>
            </w:r>
          </w:p>
          <w:p>
            <w:pPr>
              <w:pStyle w:val="23"/>
              <w:spacing w:before="129" w:line="374" w:lineRule="auto"/>
              <w:ind w:left="107" w:right="251"/>
              <w:rPr>
                <w:color w:val="auto"/>
                <w:sz w:val="18"/>
              </w:rPr>
            </w:pPr>
            <w:r>
              <w:rPr>
                <w:color w:val="auto"/>
                <w:spacing w:val="-7"/>
                <w:sz w:val="18"/>
              </w:rPr>
              <w:t xml:space="preserve">提供一个得 </w:t>
            </w:r>
            <w:r>
              <w:rPr>
                <w:color w:val="auto"/>
                <w:spacing w:val="-1"/>
                <w:sz w:val="18"/>
              </w:rPr>
              <w:t>1</w:t>
            </w:r>
            <w:r>
              <w:rPr>
                <w:color w:val="auto"/>
                <w:spacing w:val="-13"/>
                <w:sz w:val="18"/>
              </w:rPr>
              <w:t xml:space="preserve"> 分，最多 </w:t>
            </w:r>
            <w:r>
              <w:rPr>
                <w:color w:val="auto"/>
                <w:spacing w:val="-1"/>
                <w:sz w:val="18"/>
              </w:rPr>
              <w:t>3</w:t>
            </w:r>
            <w:r>
              <w:rPr>
                <w:color w:val="auto"/>
                <w:spacing w:val="-7"/>
                <w:sz w:val="18"/>
              </w:rPr>
              <w:t xml:space="preserve"> 分。须提供有效的合同</w:t>
            </w:r>
            <w:r>
              <w:rPr>
                <w:color w:val="auto"/>
                <w:sz w:val="18"/>
              </w:rPr>
              <w:t>（时间以合同签订日期为准</w:t>
            </w:r>
            <w:r>
              <w:rPr>
                <w:color w:val="auto"/>
                <w:spacing w:val="-92"/>
                <w:sz w:val="18"/>
              </w:rPr>
              <w:t>）。</w:t>
            </w:r>
            <w:r>
              <w:rPr>
                <w:color w:val="auto"/>
                <w:sz w:val="18"/>
              </w:rPr>
              <w:t>（复印件加盖公章，原件备查</w:t>
            </w:r>
            <w:r>
              <w:rPr>
                <w:color w:val="auto"/>
                <w:spacing w:val="-92"/>
                <w:sz w:val="18"/>
              </w:rPr>
              <w:t>）</w:t>
            </w:r>
            <w:r>
              <w:rPr>
                <w:color w:val="auto"/>
                <w:sz w:val="18"/>
              </w:rPr>
              <w:t>。</w:t>
            </w:r>
          </w:p>
        </w:tc>
        <w:tc>
          <w:tcPr>
            <w:tcW w:w="1049" w:type="dxa"/>
          </w:tcPr>
          <w:p>
            <w:pPr>
              <w:pStyle w:val="23"/>
              <w:rPr>
                <w:color w:val="auto"/>
                <w:sz w:val="18"/>
              </w:rPr>
            </w:pPr>
          </w:p>
          <w:p>
            <w:pPr>
              <w:pStyle w:val="23"/>
              <w:spacing w:before="6"/>
              <w:rPr>
                <w:color w:val="auto"/>
                <w:sz w:val="18"/>
              </w:rPr>
            </w:pPr>
          </w:p>
          <w:p>
            <w:pPr>
              <w:pStyle w:val="23"/>
              <w:spacing w:before="1"/>
              <w:ind w:left="466"/>
              <w:rPr>
                <w:color w:val="auto"/>
                <w:sz w:val="18"/>
              </w:rPr>
            </w:pPr>
            <w:r>
              <w:rPr>
                <w:color w:val="auto"/>
                <w:sz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9135" w:type="dxa"/>
            <w:gridSpan w:val="4"/>
          </w:tcPr>
          <w:p>
            <w:pPr>
              <w:pStyle w:val="23"/>
              <w:spacing w:before="21"/>
              <w:ind w:left="107"/>
              <w:rPr>
                <w:color w:val="auto"/>
                <w:sz w:val="18"/>
              </w:rPr>
            </w:pPr>
            <w:r>
              <w:rPr>
                <w:color w:val="auto"/>
                <w:sz w:val="18"/>
              </w:rPr>
              <w:t>5、投标文件制作分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1361" w:type="dxa"/>
          </w:tcPr>
          <w:p>
            <w:pPr>
              <w:pStyle w:val="23"/>
              <w:spacing w:before="1"/>
              <w:rPr>
                <w:color w:val="auto"/>
                <w:sz w:val="24"/>
              </w:rPr>
            </w:pPr>
          </w:p>
          <w:p>
            <w:pPr>
              <w:pStyle w:val="23"/>
              <w:spacing w:before="1"/>
              <w:ind w:left="526" w:right="515"/>
              <w:jc w:val="center"/>
              <w:rPr>
                <w:color w:val="auto"/>
                <w:sz w:val="18"/>
              </w:rPr>
            </w:pPr>
            <w:r>
              <w:rPr>
                <w:color w:val="auto"/>
                <w:sz w:val="18"/>
              </w:rPr>
              <w:t>5.1</w:t>
            </w:r>
          </w:p>
        </w:tc>
        <w:tc>
          <w:tcPr>
            <w:tcW w:w="1621" w:type="dxa"/>
          </w:tcPr>
          <w:p>
            <w:pPr>
              <w:pStyle w:val="23"/>
              <w:spacing w:before="12"/>
              <w:rPr>
                <w:color w:val="auto"/>
                <w:sz w:val="14"/>
              </w:rPr>
            </w:pPr>
          </w:p>
          <w:p>
            <w:pPr>
              <w:pStyle w:val="23"/>
              <w:spacing w:line="244" w:lineRule="auto"/>
              <w:ind w:left="719" w:right="169" w:hanging="540"/>
              <w:rPr>
                <w:color w:val="auto"/>
                <w:sz w:val="18"/>
              </w:rPr>
            </w:pPr>
            <w:r>
              <w:rPr>
                <w:color w:val="auto"/>
                <w:spacing w:val="-1"/>
                <w:sz w:val="18"/>
              </w:rPr>
              <w:t>投标文件便于评</w:t>
            </w:r>
            <w:r>
              <w:rPr>
                <w:color w:val="auto"/>
                <w:sz w:val="18"/>
              </w:rPr>
              <w:t>审</w:t>
            </w:r>
          </w:p>
        </w:tc>
        <w:tc>
          <w:tcPr>
            <w:tcW w:w="5104" w:type="dxa"/>
          </w:tcPr>
          <w:p>
            <w:pPr>
              <w:pStyle w:val="23"/>
              <w:spacing w:before="76"/>
              <w:ind w:left="107"/>
              <w:rPr>
                <w:color w:val="auto"/>
                <w:sz w:val="18"/>
              </w:rPr>
            </w:pPr>
            <w:r>
              <w:rPr>
                <w:color w:val="auto"/>
                <w:sz w:val="18"/>
              </w:rPr>
              <w:t>文件内容完备，格式规范，封装整齐，满足招标文件要求得 2</w:t>
            </w:r>
          </w:p>
          <w:p>
            <w:pPr>
              <w:pStyle w:val="23"/>
              <w:spacing w:before="122"/>
              <w:ind w:left="107"/>
              <w:rPr>
                <w:color w:val="auto"/>
                <w:sz w:val="18"/>
              </w:rPr>
            </w:pPr>
            <w:r>
              <w:rPr>
                <w:color w:val="auto"/>
                <w:sz w:val="18"/>
              </w:rPr>
              <w:t>分。未经胶封（如文件夹或订书机等）此项不得分。</w:t>
            </w:r>
          </w:p>
        </w:tc>
        <w:tc>
          <w:tcPr>
            <w:tcW w:w="1049" w:type="dxa"/>
          </w:tcPr>
          <w:p>
            <w:pPr>
              <w:pStyle w:val="23"/>
              <w:spacing w:before="1"/>
              <w:rPr>
                <w:color w:val="auto"/>
                <w:sz w:val="24"/>
              </w:rPr>
            </w:pPr>
          </w:p>
          <w:p>
            <w:pPr>
              <w:pStyle w:val="23"/>
              <w:spacing w:before="1"/>
              <w:ind w:left="476"/>
              <w:rPr>
                <w:color w:val="auto"/>
                <w:sz w:val="18"/>
              </w:rPr>
            </w:pPr>
            <w:r>
              <w:rPr>
                <w:color w:val="auto"/>
                <w:sz w:val="18"/>
              </w:rPr>
              <w:t>2</w:t>
            </w:r>
          </w:p>
        </w:tc>
      </w:tr>
    </w:tbl>
    <w:p>
      <w:pPr>
        <w:spacing w:before="112"/>
        <w:ind w:left="218" w:right="0" w:firstLine="0"/>
        <w:jc w:val="left"/>
        <w:rPr>
          <w:b/>
          <w:color w:val="auto"/>
          <w:sz w:val="28"/>
        </w:rPr>
      </w:pPr>
      <w:r>
        <w:rPr>
          <w:b/>
          <w:color w:val="auto"/>
          <w:sz w:val="28"/>
        </w:rPr>
        <w:t>（本部分内容由南京信息工程大学化学与材料学院提供并负责）</w:t>
      </w:r>
    </w:p>
    <w:p>
      <w:pPr>
        <w:spacing w:after="0"/>
        <w:rPr>
          <w:color w:val="auto"/>
        </w:rPr>
        <w:sectPr>
          <w:footerReference r:id="rId32" w:type="default"/>
          <w:pgSz w:w="11910" w:h="16840"/>
          <w:pgMar w:top="1420" w:right="1180" w:bottom="1080" w:left="1200" w:header="0" w:footer="886" w:gutter="0"/>
          <w:cols w:space="720" w:num="1"/>
        </w:sectPr>
      </w:pPr>
    </w:p>
    <w:p>
      <w:pPr>
        <w:pStyle w:val="8"/>
        <w:spacing w:before="1"/>
        <w:rPr>
          <w:color w:val="auto"/>
          <w:sz w:val="8"/>
        </w:rPr>
      </w:pPr>
    </w:p>
    <w:p>
      <w:pPr>
        <w:pStyle w:val="2"/>
        <w:rPr>
          <w:color w:val="auto"/>
        </w:rPr>
      </w:pPr>
      <w:bookmarkStart w:id="4" w:name="_TOC_250000"/>
      <w:bookmarkEnd w:id="4"/>
      <w:r>
        <w:rPr>
          <w:color w:val="auto"/>
          <w:spacing w:val="20"/>
        </w:rPr>
        <w:t>第六章 投标文件格式</w:t>
      </w:r>
    </w:p>
    <w:p>
      <w:pPr>
        <w:pStyle w:val="8"/>
        <w:rPr>
          <w:color w:val="auto"/>
          <w:sz w:val="44"/>
        </w:rPr>
      </w:pPr>
    </w:p>
    <w:p>
      <w:pPr>
        <w:pStyle w:val="8"/>
        <w:rPr>
          <w:color w:val="auto"/>
          <w:sz w:val="44"/>
        </w:rPr>
      </w:pPr>
    </w:p>
    <w:p>
      <w:pPr>
        <w:pStyle w:val="8"/>
        <w:rPr>
          <w:color w:val="auto"/>
          <w:sz w:val="44"/>
        </w:rPr>
      </w:pPr>
    </w:p>
    <w:p>
      <w:pPr>
        <w:pStyle w:val="8"/>
        <w:rPr>
          <w:color w:val="auto"/>
          <w:sz w:val="44"/>
        </w:rPr>
      </w:pPr>
    </w:p>
    <w:p>
      <w:pPr>
        <w:pStyle w:val="8"/>
        <w:rPr>
          <w:color w:val="auto"/>
          <w:sz w:val="44"/>
        </w:rPr>
      </w:pPr>
    </w:p>
    <w:p>
      <w:pPr>
        <w:pStyle w:val="8"/>
        <w:spacing w:before="9"/>
        <w:rPr>
          <w:color w:val="auto"/>
          <w:sz w:val="61"/>
        </w:rPr>
      </w:pPr>
    </w:p>
    <w:p>
      <w:pPr>
        <w:spacing w:before="0"/>
        <w:ind w:left="203" w:right="221" w:firstLine="0"/>
        <w:jc w:val="center"/>
        <w:rPr>
          <w:b/>
          <w:color w:val="auto"/>
          <w:sz w:val="72"/>
        </w:rPr>
      </w:pPr>
      <w:r>
        <w:rPr>
          <w:b/>
          <w:color w:val="auto"/>
          <w:spacing w:val="150"/>
          <w:sz w:val="72"/>
        </w:rPr>
        <w:t>投 标 文 件</w:t>
      </w:r>
    </w:p>
    <w:p>
      <w:pPr>
        <w:pStyle w:val="8"/>
        <w:rPr>
          <w:b/>
          <w:color w:val="auto"/>
          <w:sz w:val="72"/>
        </w:rPr>
      </w:pPr>
    </w:p>
    <w:p>
      <w:pPr>
        <w:pStyle w:val="8"/>
        <w:rPr>
          <w:b/>
          <w:color w:val="auto"/>
          <w:sz w:val="72"/>
        </w:rPr>
      </w:pPr>
    </w:p>
    <w:p>
      <w:pPr>
        <w:pStyle w:val="8"/>
        <w:rPr>
          <w:b/>
          <w:color w:val="auto"/>
          <w:sz w:val="72"/>
        </w:rPr>
      </w:pPr>
    </w:p>
    <w:p>
      <w:pPr>
        <w:pStyle w:val="8"/>
        <w:rPr>
          <w:b/>
          <w:color w:val="auto"/>
          <w:sz w:val="72"/>
        </w:rPr>
      </w:pPr>
    </w:p>
    <w:p>
      <w:pPr>
        <w:pStyle w:val="8"/>
        <w:rPr>
          <w:b/>
          <w:color w:val="auto"/>
          <w:sz w:val="72"/>
        </w:rPr>
      </w:pPr>
    </w:p>
    <w:p>
      <w:pPr>
        <w:pStyle w:val="8"/>
        <w:spacing w:before="3"/>
        <w:rPr>
          <w:b/>
          <w:color w:val="auto"/>
          <w:sz w:val="61"/>
        </w:rPr>
      </w:pPr>
    </w:p>
    <w:p>
      <w:pPr>
        <w:tabs>
          <w:tab w:val="left" w:pos="6424"/>
        </w:tabs>
        <w:spacing w:before="1" w:line="302" w:lineRule="auto"/>
        <w:ind w:left="1298" w:right="3099" w:firstLine="0"/>
        <w:jc w:val="both"/>
        <w:rPr>
          <w:rFonts w:ascii="Times New Roman" w:eastAsia="Times New Roman"/>
          <w:b/>
          <w:color w:val="auto"/>
          <w:sz w:val="36"/>
        </w:rPr>
      </w:pPr>
      <w:r>
        <w:rPr>
          <w:b/>
          <w:color w:val="auto"/>
          <w:sz w:val="36"/>
        </w:rPr>
        <w:t>项</w:t>
      </w:r>
      <w:r>
        <w:rPr>
          <w:b/>
          <w:color w:val="auto"/>
          <w:spacing w:val="-5"/>
          <w:sz w:val="36"/>
        </w:rPr>
        <w:t xml:space="preserve"> </w:t>
      </w:r>
      <w:r>
        <w:rPr>
          <w:b/>
          <w:color w:val="auto"/>
          <w:sz w:val="36"/>
        </w:rPr>
        <w:t>目</w:t>
      </w:r>
      <w:r>
        <w:rPr>
          <w:b/>
          <w:color w:val="auto"/>
          <w:spacing w:val="-4"/>
          <w:sz w:val="36"/>
        </w:rPr>
        <w:t xml:space="preserve"> </w:t>
      </w:r>
      <w:r>
        <w:rPr>
          <w:b/>
          <w:color w:val="auto"/>
          <w:sz w:val="36"/>
        </w:rPr>
        <w:t>名</w:t>
      </w:r>
      <w:r>
        <w:rPr>
          <w:b/>
          <w:color w:val="auto"/>
          <w:spacing w:val="-4"/>
          <w:sz w:val="36"/>
        </w:rPr>
        <w:t xml:space="preserve"> </w:t>
      </w:r>
      <w:r>
        <w:rPr>
          <w:b/>
          <w:color w:val="auto"/>
          <w:sz w:val="36"/>
        </w:rPr>
        <w:t>称：</w:t>
      </w:r>
      <w:r>
        <w:rPr>
          <w:rFonts w:ascii="Times New Roman" w:eastAsia="Times New Roman"/>
          <w:b/>
          <w:color w:val="auto"/>
          <w:sz w:val="36"/>
          <w:u w:val="single"/>
        </w:rPr>
        <w:t xml:space="preserve"> </w:t>
      </w:r>
      <w:r>
        <w:rPr>
          <w:rFonts w:ascii="Times New Roman" w:eastAsia="Times New Roman"/>
          <w:b/>
          <w:color w:val="auto"/>
          <w:sz w:val="36"/>
          <w:u w:val="single"/>
        </w:rPr>
        <w:tab/>
      </w:r>
      <w:r>
        <w:rPr>
          <w:b/>
          <w:color w:val="auto"/>
          <w:sz w:val="36"/>
          <w:u w:val="single"/>
        </w:rPr>
        <w:t xml:space="preserve"> </w:t>
      </w:r>
      <w:r>
        <w:rPr>
          <w:b/>
          <w:color w:val="auto"/>
          <w:sz w:val="36"/>
        </w:rPr>
        <w:t>招</w:t>
      </w:r>
      <w:r>
        <w:rPr>
          <w:b/>
          <w:color w:val="auto"/>
          <w:spacing w:val="-5"/>
          <w:sz w:val="36"/>
        </w:rPr>
        <w:t xml:space="preserve"> </w:t>
      </w:r>
      <w:r>
        <w:rPr>
          <w:b/>
          <w:color w:val="auto"/>
          <w:sz w:val="36"/>
        </w:rPr>
        <w:t>标</w:t>
      </w:r>
      <w:r>
        <w:rPr>
          <w:b/>
          <w:color w:val="auto"/>
          <w:spacing w:val="-4"/>
          <w:sz w:val="36"/>
        </w:rPr>
        <w:t xml:space="preserve"> </w:t>
      </w:r>
      <w:r>
        <w:rPr>
          <w:b/>
          <w:color w:val="auto"/>
          <w:sz w:val="36"/>
        </w:rPr>
        <w:t>编</w:t>
      </w:r>
      <w:r>
        <w:rPr>
          <w:b/>
          <w:color w:val="auto"/>
          <w:spacing w:val="-4"/>
          <w:sz w:val="36"/>
        </w:rPr>
        <w:t xml:space="preserve"> </w:t>
      </w:r>
      <w:r>
        <w:rPr>
          <w:b/>
          <w:color w:val="auto"/>
          <w:sz w:val="36"/>
        </w:rPr>
        <w:t>号：</w:t>
      </w:r>
      <w:r>
        <w:rPr>
          <w:rFonts w:ascii="Times New Roman" w:eastAsia="Times New Roman"/>
          <w:b/>
          <w:color w:val="auto"/>
          <w:sz w:val="36"/>
          <w:u w:val="single"/>
        </w:rPr>
        <w:t xml:space="preserve"> </w:t>
      </w:r>
      <w:r>
        <w:rPr>
          <w:rFonts w:ascii="Times New Roman" w:eastAsia="Times New Roman"/>
          <w:b/>
          <w:color w:val="auto"/>
          <w:sz w:val="36"/>
          <w:u w:val="single"/>
        </w:rPr>
        <w:tab/>
      </w:r>
      <w:r>
        <w:rPr>
          <w:b/>
          <w:color w:val="auto"/>
          <w:sz w:val="36"/>
          <w:u w:val="single"/>
        </w:rPr>
        <w:t xml:space="preserve"> </w:t>
      </w:r>
      <w:r>
        <w:rPr>
          <w:b/>
          <w:color w:val="auto"/>
          <w:sz w:val="36"/>
        </w:rPr>
        <w:t>投标人名称</w:t>
      </w:r>
      <w:r>
        <w:rPr>
          <w:b/>
          <w:color w:val="auto"/>
          <w:spacing w:val="-10"/>
          <w:sz w:val="36"/>
        </w:rPr>
        <w:t xml:space="preserve"> </w:t>
      </w:r>
      <w:r>
        <w:rPr>
          <w:b/>
          <w:color w:val="auto"/>
          <w:sz w:val="36"/>
        </w:rPr>
        <w:t>：</w:t>
      </w:r>
      <w:r>
        <w:rPr>
          <w:rFonts w:ascii="Times New Roman" w:eastAsia="Times New Roman"/>
          <w:b/>
          <w:color w:val="auto"/>
          <w:sz w:val="36"/>
          <w:u w:val="single"/>
        </w:rPr>
        <w:t xml:space="preserve"> </w:t>
      </w:r>
      <w:r>
        <w:rPr>
          <w:rFonts w:ascii="Times New Roman" w:eastAsia="Times New Roman"/>
          <w:b/>
          <w:color w:val="auto"/>
          <w:sz w:val="36"/>
          <w:u w:val="single"/>
        </w:rPr>
        <w:tab/>
      </w:r>
      <w:r>
        <w:rPr>
          <w:b/>
          <w:color w:val="auto"/>
          <w:sz w:val="36"/>
          <w:u w:val="single"/>
        </w:rPr>
        <w:t xml:space="preserve"> </w:t>
      </w:r>
      <w:r>
        <w:rPr>
          <w:b/>
          <w:color w:val="auto"/>
          <w:sz w:val="36"/>
        </w:rPr>
        <w:t xml:space="preserve">日    </w:t>
      </w:r>
      <w:r>
        <w:rPr>
          <w:b/>
          <w:color w:val="auto"/>
          <w:spacing w:val="169"/>
          <w:sz w:val="36"/>
        </w:rPr>
        <w:t xml:space="preserve"> </w:t>
      </w:r>
      <w:r>
        <w:rPr>
          <w:b/>
          <w:color w:val="auto"/>
          <w:sz w:val="36"/>
        </w:rPr>
        <w:t>期</w:t>
      </w:r>
      <w:r>
        <w:rPr>
          <w:b/>
          <w:color w:val="auto"/>
          <w:spacing w:val="-2"/>
          <w:sz w:val="36"/>
        </w:rPr>
        <w:t xml:space="preserve"> </w:t>
      </w:r>
      <w:r>
        <w:rPr>
          <w:b/>
          <w:color w:val="auto"/>
          <w:sz w:val="36"/>
        </w:rPr>
        <w:t>：</w:t>
      </w:r>
      <w:r>
        <w:rPr>
          <w:rFonts w:ascii="Times New Roman" w:eastAsia="Times New Roman"/>
          <w:b/>
          <w:color w:val="auto"/>
          <w:sz w:val="36"/>
          <w:u w:val="single"/>
        </w:rPr>
        <w:t xml:space="preserve"> </w:t>
      </w:r>
      <w:r>
        <w:rPr>
          <w:rFonts w:ascii="Times New Roman" w:eastAsia="Times New Roman"/>
          <w:b/>
          <w:color w:val="auto"/>
          <w:sz w:val="36"/>
          <w:u w:val="single"/>
        </w:rPr>
        <w:tab/>
      </w:r>
    </w:p>
    <w:p>
      <w:pPr>
        <w:spacing w:after="0" w:line="302" w:lineRule="auto"/>
        <w:jc w:val="both"/>
        <w:rPr>
          <w:rFonts w:ascii="Times New Roman" w:eastAsia="Times New Roman"/>
          <w:color w:val="auto"/>
          <w:sz w:val="36"/>
        </w:rPr>
        <w:sectPr>
          <w:footerReference r:id="rId33" w:type="default"/>
          <w:pgSz w:w="11910" w:h="16840"/>
          <w:pgMar w:top="1580" w:right="1180" w:bottom="1080" w:left="1200" w:header="0" w:footer="886" w:gutter="0"/>
          <w:cols w:space="720" w:num="1"/>
        </w:sectPr>
      </w:pPr>
    </w:p>
    <w:p>
      <w:pPr>
        <w:pStyle w:val="8"/>
        <w:rPr>
          <w:rFonts w:ascii="Times New Roman"/>
          <w:b/>
          <w:color w:val="auto"/>
          <w:sz w:val="20"/>
        </w:rPr>
      </w:pPr>
    </w:p>
    <w:p>
      <w:pPr>
        <w:spacing w:before="225"/>
        <w:ind w:left="203" w:right="221" w:firstLine="0"/>
        <w:jc w:val="center"/>
        <w:rPr>
          <w:b/>
          <w:color w:val="auto"/>
          <w:sz w:val="32"/>
        </w:rPr>
      </w:pPr>
      <w:r>
        <w:rPr>
          <w:b/>
          <w:color w:val="auto"/>
          <w:sz w:val="32"/>
        </w:rPr>
        <w:t>投标主要文件目录</w:t>
      </w:r>
    </w:p>
    <w:p>
      <w:pPr>
        <w:pStyle w:val="8"/>
        <w:rPr>
          <w:b/>
          <w:color w:val="auto"/>
          <w:sz w:val="20"/>
        </w:rPr>
      </w:pPr>
    </w:p>
    <w:p>
      <w:pPr>
        <w:pStyle w:val="8"/>
        <w:spacing w:before="7"/>
        <w:rPr>
          <w:b/>
          <w:color w:val="auto"/>
          <w:sz w:val="19"/>
        </w:rPr>
      </w:pPr>
    </w:p>
    <w:p>
      <w:pPr>
        <w:pStyle w:val="6"/>
        <w:spacing w:before="66" w:line="451" w:lineRule="auto"/>
        <w:ind w:left="698" w:right="5945"/>
        <w:rPr>
          <w:i/>
          <w:color w:val="auto"/>
          <w:sz w:val="25"/>
        </w:rPr>
      </w:pPr>
      <w:r>
        <w:rPr>
          <w:color w:val="auto"/>
        </w:rPr>
        <w:t>一、资格审查响应对照表</w:t>
      </w:r>
      <w:r>
        <w:rPr>
          <w:color w:val="auto"/>
          <w:spacing w:val="1"/>
        </w:rPr>
        <w:t xml:space="preserve"> </w:t>
      </w:r>
      <w:r>
        <w:rPr>
          <w:color w:val="auto"/>
          <w:spacing w:val="-1"/>
        </w:rPr>
        <w:t>二、符合性审查响应对照表</w:t>
      </w:r>
      <w:r>
        <w:rPr>
          <w:rFonts w:hint="eastAsia"/>
          <w:color w:val="auto"/>
          <w:spacing w:val="-1"/>
          <w:lang w:val="en-US" w:eastAsia="zh-CN"/>
        </w:rPr>
        <w:t>三</w:t>
      </w:r>
      <w:r>
        <w:rPr>
          <w:b/>
          <w:color w:val="auto"/>
          <w:spacing w:val="-1"/>
        </w:rPr>
        <w:t>、</w:t>
      </w:r>
      <w:r>
        <w:rPr>
          <w:color w:val="auto"/>
        </w:rPr>
        <w:t>投标配置与分项报价表</w:t>
      </w:r>
      <w:r>
        <w:rPr>
          <w:rFonts w:hint="eastAsia"/>
          <w:color w:val="auto"/>
          <w:spacing w:val="-1"/>
          <w:lang w:val="en-US" w:eastAsia="zh-CN"/>
        </w:rPr>
        <w:t>四</w:t>
      </w:r>
      <w:r>
        <w:rPr>
          <w:color w:val="auto"/>
          <w:spacing w:val="-1"/>
        </w:rPr>
        <w:t>、技术参数响应及偏离表</w:t>
      </w:r>
      <w:r>
        <w:rPr>
          <w:rFonts w:hint="eastAsia"/>
          <w:color w:val="auto"/>
          <w:spacing w:val="-1"/>
          <w:lang w:val="en-US" w:eastAsia="zh-CN"/>
        </w:rPr>
        <w:t>五</w:t>
      </w:r>
      <w:r>
        <w:rPr>
          <w:color w:val="auto"/>
          <w:spacing w:val="-1"/>
        </w:rPr>
        <w:t>、商务条款响应及偏离表</w:t>
      </w:r>
      <w:r>
        <w:rPr>
          <w:rFonts w:hint="eastAsia"/>
          <w:i/>
          <w:color w:val="auto"/>
          <w:sz w:val="25"/>
          <w:u w:val="single"/>
          <w:lang w:val="en-US" w:eastAsia="zh-CN"/>
        </w:rPr>
        <w:t>六</w:t>
      </w:r>
      <w:r>
        <w:rPr>
          <w:i/>
          <w:color w:val="auto"/>
          <w:sz w:val="25"/>
          <w:u w:val="single"/>
        </w:rPr>
        <w:t>、开标一览表</w:t>
      </w:r>
    </w:p>
    <w:p>
      <w:pPr>
        <w:spacing w:after="0" w:line="451" w:lineRule="auto"/>
        <w:rPr>
          <w:color w:val="auto"/>
          <w:sz w:val="25"/>
        </w:rPr>
        <w:sectPr>
          <w:footerReference r:id="rId34" w:type="default"/>
          <w:pgSz w:w="11910" w:h="16840"/>
          <w:pgMar w:top="1580" w:right="1180" w:bottom="1080" w:left="1200" w:header="0" w:footer="886" w:gutter="0"/>
          <w:cols w:space="720" w:num="1"/>
        </w:sectPr>
      </w:pPr>
    </w:p>
    <w:p>
      <w:pPr>
        <w:spacing w:before="27"/>
        <w:ind w:left="203" w:right="221" w:firstLine="0"/>
        <w:jc w:val="center"/>
        <w:rPr>
          <w:b/>
          <w:color w:val="auto"/>
          <w:sz w:val="32"/>
        </w:rPr>
      </w:pPr>
      <w:r>
        <w:rPr>
          <w:b/>
          <w:color w:val="auto"/>
          <w:sz w:val="32"/>
        </w:rPr>
        <w:t>一、资格审查响应对照表</w:t>
      </w:r>
    </w:p>
    <w:p>
      <w:pPr>
        <w:pStyle w:val="8"/>
        <w:spacing w:before="8"/>
        <w:rPr>
          <w:b/>
          <w:color w:val="auto"/>
          <w:sz w:val="6"/>
        </w:rPr>
      </w:pPr>
    </w:p>
    <w:tbl>
      <w:tblPr>
        <w:tblStyle w:val="1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9"/>
        <w:gridCol w:w="1681"/>
        <w:gridCol w:w="1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46" w:type="dxa"/>
          </w:tcPr>
          <w:p>
            <w:pPr>
              <w:pStyle w:val="23"/>
              <w:spacing w:before="11"/>
              <w:rPr>
                <w:b/>
                <w:color w:val="auto"/>
                <w:sz w:val="23"/>
              </w:rPr>
            </w:pPr>
          </w:p>
          <w:p>
            <w:pPr>
              <w:pStyle w:val="23"/>
              <w:ind w:left="92" w:right="81"/>
              <w:jc w:val="center"/>
              <w:rPr>
                <w:b/>
                <w:color w:val="auto"/>
                <w:sz w:val="21"/>
              </w:rPr>
            </w:pPr>
            <w:r>
              <w:rPr>
                <w:b/>
                <w:color w:val="auto"/>
                <w:sz w:val="21"/>
              </w:rPr>
              <w:t>序号</w:t>
            </w:r>
          </w:p>
        </w:tc>
        <w:tc>
          <w:tcPr>
            <w:tcW w:w="5449" w:type="dxa"/>
          </w:tcPr>
          <w:p>
            <w:pPr>
              <w:pStyle w:val="23"/>
              <w:spacing w:before="11"/>
              <w:rPr>
                <w:b/>
                <w:color w:val="auto"/>
                <w:sz w:val="23"/>
              </w:rPr>
            </w:pPr>
          </w:p>
          <w:p>
            <w:pPr>
              <w:pStyle w:val="23"/>
              <w:ind w:left="1865" w:right="1854"/>
              <w:jc w:val="center"/>
              <w:rPr>
                <w:b/>
                <w:color w:val="auto"/>
                <w:sz w:val="21"/>
              </w:rPr>
            </w:pPr>
            <w:r>
              <w:rPr>
                <w:b/>
                <w:color w:val="auto"/>
                <w:spacing w:val="-1"/>
                <w:sz w:val="21"/>
              </w:rPr>
              <w:t>资格审查响应内容</w:t>
            </w:r>
          </w:p>
        </w:tc>
        <w:tc>
          <w:tcPr>
            <w:tcW w:w="1681" w:type="dxa"/>
          </w:tcPr>
          <w:p>
            <w:pPr>
              <w:pStyle w:val="23"/>
              <w:spacing w:before="171"/>
              <w:ind w:left="79" w:right="69"/>
              <w:jc w:val="center"/>
              <w:rPr>
                <w:b/>
                <w:color w:val="auto"/>
                <w:sz w:val="21"/>
              </w:rPr>
            </w:pPr>
            <w:r>
              <w:rPr>
                <w:b/>
                <w:color w:val="auto"/>
                <w:spacing w:val="-1"/>
                <w:sz w:val="21"/>
              </w:rPr>
              <w:t>是否响应</w:t>
            </w:r>
          </w:p>
          <w:p>
            <w:pPr>
              <w:pStyle w:val="23"/>
              <w:spacing w:before="2"/>
              <w:ind w:left="86" w:right="69"/>
              <w:jc w:val="center"/>
              <w:rPr>
                <w:b/>
                <w:color w:val="auto"/>
                <w:sz w:val="21"/>
              </w:rPr>
            </w:pPr>
            <w:r>
              <w:rPr>
                <w:b/>
                <w:color w:val="auto"/>
                <w:sz w:val="21"/>
              </w:rPr>
              <w:t>（填是或者否）</w:t>
            </w:r>
          </w:p>
        </w:tc>
        <w:tc>
          <w:tcPr>
            <w:tcW w:w="1340" w:type="dxa"/>
          </w:tcPr>
          <w:p>
            <w:pPr>
              <w:pStyle w:val="23"/>
              <w:spacing w:before="11"/>
              <w:rPr>
                <w:b/>
                <w:color w:val="auto"/>
                <w:sz w:val="23"/>
              </w:rPr>
            </w:pPr>
          </w:p>
          <w:p>
            <w:pPr>
              <w:pStyle w:val="23"/>
              <w:ind w:left="248"/>
              <w:rPr>
                <w:b/>
                <w:color w:val="auto"/>
                <w:sz w:val="21"/>
              </w:rPr>
            </w:pPr>
            <w:r>
              <w:rPr>
                <w:b/>
                <w:color w:val="auto"/>
                <w:spacing w:val="-1"/>
                <w:sz w:val="21"/>
              </w:rPr>
              <w:t>对应页码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9116" w:type="dxa"/>
            <w:gridSpan w:val="4"/>
          </w:tcPr>
          <w:p>
            <w:pPr>
              <w:pStyle w:val="23"/>
              <w:spacing w:before="159"/>
              <w:ind w:left="107"/>
              <w:rPr>
                <w:b/>
                <w:color w:val="auto"/>
                <w:sz w:val="21"/>
              </w:rPr>
            </w:pPr>
            <w:r>
              <w:rPr>
                <w:b/>
                <w:color w:val="auto"/>
                <w:spacing w:val="-1"/>
                <w:sz w:val="21"/>
              </w:rPr>
              <w:t>通用资格条件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646" w:type="dxa"/>
          </w:tcPr>
          <w:p>
            <w:pPr>
              <w:pStyle w:val="23"/>
              <w:spacing w:before="173"/>
              <w:ind w:left="6"/>
              <w:jc w:val="center"/>
              <w:rPr>
                <w:rFonts w:ascii="Times New Roman"/>
                <w:b/>
                <w:color w:val="auto"/>
                <w:sz w:val="21"/>
              </w:rPr>
            </w:pPr>
            <w:r>
              <w:rPr>
                <w:rFonts w:ascii="Times New Roman"/>
                <w:b/>
                <w:color w:val="auto"/>
                <w:w w:val="100"/>
                <w:sz w:val="21"/>
              </w:rPr>
              <w:t>1</w:t>
            </w:r>
          </w:p>
        </w:tc>
        <w:tc>
          <w:tcPr>
            <w:tcW w:w="5449" w:type="dxa"/>
          </w:tcPr>
          <w:p>
            <w:pPr>
              <w:pStyle w:val="23"/>
              <w:spacing w:before="21" w:line="270" w:lineRule="atLeast"/>
              <w:ind w:left="107" w:right="92"/>
              <w:rPr>
                <w:color w:val="auto"/>
                <w:sz w:val="21"/>
              </w:rPr>
            </w:pPr>
            <w:r>
              <w:rPr>
                <w:color w:val="auto"/>
                <w:spacing w:val="-1"/>
                <w:sz w:val="21"/>
              </w:rPr>
              <w:t>法人或者其他组织的营业执照等证明文件，自然人的身份</w:t>
            </w:r>
            <w:r>
              <w:rPr>
                <w:color w:val="auto"/>
                <w:sz w:val="21"/>
              </w:rPr>
              <w:t>证明（身份证为正、反面）</w:t>
            </w:r>
          </w:p>
        </w:tc>
        <w:tc>
          <w:tcPr>
            <w:tcW w:w="1681" w:type="dxa"/>
          </w:tcPr>
          <w:p>
            <w:pPr>
              <w:pStyle w:val="23"/>
              <w:rPr>
                <w:rFonts w:ascii="Times New Roman"/>
                <w:color w:val="auto"/>
                <w:sz w:val="20"/>
              </w:rPr>
            </w:pPr>
          </w:p>
        </w:tc>
        <w:tc>
          <w:tcPr>
            <w:tcW w:w="1340" w:type="dxa"/>
          </w:tcPr>
          <w:p>
            <w:pPr>
              <w:pStyle w:val="23"/>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646" w:type="dxa"/>
          </w:tcPr>
          <w:p>
            <w:pPr>
              <w:pStyle w:val="23"/>
              <w:spacing w:before="171"/>
              <w:ind w:left="6"/>
              <w:jc w:val="center"/>
              <w:rPr>
                <w:rFonts w:ascii="Times New Roman"/>
                <w:b/>
                <w:color w:val="auto"/>
                <w:sz w:val="21"/>
              </w:rPr>
            </w:pPr>
            <w:r>
              <w:rPr>
                <w:rFonts w:ascii="Times New Roman"/>
                <w:b/>
                <w:color w:val="auto"/>
                <w:w w:val="100"/>
                <w:sz w:val="21"/>
              </w:rPr>
              <w:t>2</w:t>
            </w:r>
          </w:p>
        </w:tc>
        <w:tc>
          <w:tcPr>
            <w:tcW w:w="5449" w:type="dxa"/>
          </w:tcPr>
          <w:p>
            <w:pPr>
              <w:pStyle w:val="23"/>
              <w:spacing w:before="21" w:line="270" w:lineRule="atLeast"/>
              <w:ind w:left="107" w:right="92"/>
              <w:rPr>
                <w:color w:val="auto"/>
                <w:sz w:val="21"/>
              </w:rPr>
            </w:pPr>
            <w:r>
              <w:rPr>
                <w:color w:val="auto"/>
                <w:spacing w:val="-1"/>
                <w:sz w:val="21"/>
              </w:rPr>
              <w:t>供应商必须是所投产品的制造商或代理商，代理商投标须</w:t>
            </w:r>
            <w:r>
              <w:rPr>
                <w:color w:val="auto"/>
                <w:spacing w:val="-13"/>
                <w:w w:val="100"/>
                <w:sz w:val="21"/>
              </w:rPr>
              <w:t>提供制造商的专项授权；</w:t>
            </w:r>
            <w:r>
              <w:rPr>
                <w:color w:val="auto"/>
                <w:spacing w:val="-3"/>
                <w:w w:val="100"/>
                <w:sz w:val="21"/>
              </w:rPr>
              <w:t>（本条适用于进口产品</w:t>
            </w:r>
            <w:r>
              <w:rPr>
                <w:color w:val="auto"/>
                <w:w w:val="100"/>
                <w:sz w:val="21"/>
              </w:rPr>
              <w:t>）</w:t>
            </w:r>
          </w:p>
        </w:tc>
        <w:tc>
          <w:tcPr>
            <w:tcW w:w="1681" w:type="dxa"/>
          </w:tcPr>
          <w:p>
            <w:pPr>
              <w:pStyle w:val="23"/>
              <w:rPr>
                <w:rFonts w:ascii="Times New Roman"/>
                <w:color w:val="auto"/>
                <w:sz w:val="20"/>
              </w:rPr>
            </w:pPr>
          </w:p>
        </w:tc>
        <w:tc>
          <w:tcPr>
            <w:tcW w:w="1340" w:type="dxa"/>
          </w:tcPr>
          <w:p>
            <w:pPr>
              <w:pStyle w:val="23"/>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9" w:hRule="atLeast"/>
        </w:trPr>
        <w:tc>
          <w:tcPr>
            <w:tcW w:w="646" w:type="dxa"/>
          </w:tcPr>
          <w:p>
            <w:pPr>
              <w:pStyle w:val="23"/>
              <w:rPr>
                <w:b/>
                <w:color w:val="auto"/>
                <w:sz w:val="22"/>
              </w:rPr>
            </w:pPr>
          </w:p>
          <w:p>
            <w:pPr>
              <w:pStyle w:val="23"/>
              <w:spacing w:before="7"/>
              <w:rPr>
                <w:b/>
                <w:color w:val="auto"/>
                <w:sz w:val="32"/>
              </w:rPr>
            </w:pPr>
          </w:p>
          <w:p>
            <w:pPr>
              <w:pStyle w:val="23"/>
              <w:ind w:left="6"/>
              <w:jc w:val="center"/>
              <w:rPr>
                <w:rFonts w:ascii="Times New Roman"/>
                <w:color w:val="auto"/>
                <w:sz w:val="21"/>
              </w:rPr>
            </w:pPr>
            <w:r>
              <w:rPr>
                <w:rFonts w:ascii="Times New Roman"/>
                <w:color w:val="auto"/>
                <w:w w:val="100"/>
                <w:sz w:val="21"/>
              </w:rPr>
              <w:t>3</w:t>
            </w:r>
          </w:p>
        </w:tc>
        <w:tc>
          <w:tcPr>
            <w:tcW w:w="5449" w:type="dxa"/>
          </w:tcPr>
          <w:p>
            <w:pPr>
              <w:pStyle w:val="23"/>
              <w:spacing w:before="3" w:line="242" w:lineRule="auto"/>
              <w:ind w:left="107" w:right="92"/>
              <w:jc w:val="both"/>
              <w:rPr>
                <w:color w:val="auto"/>
                <w:sz w:val="21"/>
              </w:rPr>
            </w:pPr>
            <w:r>
              <w:rPr>
                <w:color w:val="auto"/>
                <w:spacing w:val="-1"/>
                <w:sz w:val="21"/>
              </w:rPr>
              <w:t>具有良好的商业信誉和健全的财务会计制度，提供距开标时间六个月内任意一月份的财务状况报告</w:t>
            </w:r>
            <w:r>
              <w:rPr>
                <w:color w:val="auto"/>
                <w:sz w:val="21"/>
              </w:rPr>
              <w:t>（至少包括资产</w:t>
            </w:r>
            <w:r>
              <w:rPr>
                <w:color w:val="auto"/>
                <w:spacing w:val="2"/>
                <w:w w:val="100"/>
                <w:sz w:val="21"/>
              </w:rPr>
              <w:t>负债表和利润表</w:t>
            </w:r>
            <w:r>
              <w:rPr>
                <w:color w:val="auto"/>
                <w:spacing w:val="-101"/>
                <w:w w:val="100"/>
                <w:sz w:val="21"/>
              </w:rPr>
              <w:t>）</w:t>
            </w:r>
            <w:r>
              <w:rPr>
                <w:color w:val="auto"/>
                <w:spacing w:val="2"/>
                <w:w w:val="100"/>
                <w:sz w:val="21"/>
              </w:rPr>
              <w:t>（</w:t>
            </w:r>
            <w:r>
              <w:rPr>
                <w:color w:val="auto"/>
                <w:spacing w:val="1"/>
                <w:w w:val="100"/>
                <w:sz w:val="21"/>
              </w:rPr>
              <w:t>法人或者其他组织成立未满三个月的</w:t>
            </w:r>
            <w:r>
              <w:rPr>
                <w:color w:val="auto"/>
                <w:spacing w:val="-2"/>
                <w:w w:val="100"/>
                <w:sz w:val="21"/>
              </w:rPr>
              <w:t>可以不提供</w:t>
            </w:r>
            <w:r>
              <w:rPr>
                <w:color w:val="auto"/>
                <w:spacing w:val="-106"/>
                <w:w w:val="100"/>
                <w:sz w:val="21"/>
              </w:rPr>
              <w:t>）</w:t>
            </w:r>
            <w:r>
              <w:rPr>
                <w:color w:val="auto"/>
                <w:spacing w:val="-5"/>
                <w:w w:val="100"/>
                <w:sz w:val="21"/>
              </w:rPr>
              <w:t>，或其银行出具的资信证书</w:t>
            </w:r>
            <w:r>
              <w:rPr>
                <w:color w:val="auto"/>
                <w:spacing w:val="-3"/>
                <w:w w:val="100"/>
                <w:sz w:val="21"/>
              </w:rPr>
              <w:t>（</w:t>
            </w:r>
            <w:r>
              <w:rPr>
                <w:color w:val="auto"/>
                <w:spacing w:val="-2"/>
                <w:w w:val="100"/>
                <w:sz w:val="21"/>
              </w:rPr>
              <w:t>复印件</w:t>
            </w:r>
            <w:r>
              <w:rPr>
                <w:color w:val="auto"/>
                <w:spacing w:val="-113"/>
                <w:w w:val="100"/>
                <w:sz w:val="21"/>
              </w:rPr>
              <w:t>）</w:t>
            </w:r>
            <w:r>
              <w:rPr>
                <w:color w:val="auto"/>
                <w:spacing w:val="-3"/>
                <w:w w:val="100"/>
                <w:sz w:val="21"/>
              </w:rPr>
              <w:t>（</w:t>
            </w:r>
            <w:r>
              <w:rPr>
                <w:color w:val="auto"/>
                <w:w w:val="100"/>
                <w:sz w:val="21"/>
              </w:rPr>
              <w:t>开标</w:t>
            </w:r>
          </w:p>
          <w:p>
            <w:pPr>
              <w:pStyle w:val="23"/>
              <w:spacing w:line="270" w:lineRule="atLeast"/>
              <w:ind w:left="107" w:right="94"/>
              <w:rPr>
                <w:color w:val="auto"/>
                <w:sz w:val="21"/>
              </w:rPr>
            </w:pPr>
            <w:r>
              <w:rPr>
                <w:color w:val="auto"/>
                <w:spacing w:val="2"/>
                <w:w w:val="100"/>
                <w:sz w:val="21"/>
              </w:rPr>
              <w:t>前六个月内</w:t>
            </w:r>
            <w:r>
              <w:rPr>
                <w:color w:val="auto"/>
                <w:spacing w:val="-101"/>
                <w:w w:val="100"/>
                <w:sz w:val="21"/>
              </w:rPr>
              <w:t>）</w:t>
            </w:r>
            <w:r>
              <w:rPr>
                <w:color w:val="auto"/>
                <w:spacing w:val="2"/>
                <w:w w:val="100"/>
                <w:sz w:val="21"/>
              </w:rPr>
              <w:t>，或其上一年度经审计的财务报告复印件加</w:t>
            </w:r>
            <w:r>
              <w:rPr>
                <w:color w:val="auto"/>
                <w:sz w:val="21"/>
              </w:rPr>
              <w:t>盖公章；</w:t>
            </w:r>
          </w:p>
        </w:tc>
        <w:tc>
          <w:tcPr>
            <w:tcW w:w="1681" w:type="dxa"/>
          </w:tcPr>
          <w:p>
            <w:pPr>
              <w:pStyle w:val="23"/>
              <w:rPr>
                <w:rFonts w:ascii="Times New Roman"/>
                <w:color w:val="auto"/>
                <w:sz w:val="20"/>
              </w:rPr>
            </w:pPr>
          </w:p>
        </w:tc>
        <w:tc>
          <w:tcPr>
            <w:tcW w:w="1340" w:type="dxa"/>
          </w:tcPr>
          <w:p>
            <w:pPr>
              <w:pStyle w:val="23"/>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646" w:type="dxa"/>
          </w:tcPr>
          <w:p>
            <w:pPr>
              <w:pStyle w:val="23"/>
              <w:spacing w:before="171"/>
              <w:ind w:left="6"/>
              <w:jc w:val="center"/>
              <w:rPr>
                <w:rFonts w:ascii="Times New Roman"/>
                <w:color w:val="auto"/>
                <w:sz w:val="21"/>
              </w:rPr>
            </w:pPr>
            <w:r>
              <w:rPr>
                <w:rFonts w:ascii="Times New Roman"/>
                <w:color w:val="auto"/>
                <w:w w:val="100"/>
                <w:sz w:val="21"/>
              </w:rPr>
              <w:t>4</w:t>
            </w:r>
          </w:p>
        </w:tc>
        <w:tc>
          <w:tcPr>
            <w:tcW w:w="5449" w:type="dxa"/>
          </w:tcPr>
          <w:p>
            <w:pPr>
              <w:pStyle w:val="23"/>
              <w:spacing w:before="159"/>
              <w:ind w:left="107"/>
              <w:rPr>
                <w:color w:val="auto"/>
                <w:sz w:val="21"/>
              </w:rPr>
            </w:pPr>
            <w:r>
              <w:rPr>
                <w:color w:val="auto"/>
                <w:spacing w:val="-1"/>
                <w:sz w:val="21"/>
              </w:rPr>
              <w:t>具备履行合同所必需的设备和专业技术能力的书面声明</w:t>
            </w:r>
          </w:p>
        </w:tc>
        <w:tc>
          <w:tcPr>
            <w:tcW w:w="1681" w:type="dxa"/>
          </w:tcPr>
          <w:p>
            <w:pPr>
              <w:pStyle w:val="23"/>
              <w:rPr>
                <w:rFonts w:ascii="Times New Roman"/>
                <w:color w:val="auto"/>
                <w:sz w:val="20"/>
              </w:rPr>
            </w:pPr>
          </w:p>
        </w:tc>
        <w:tc>
          <w:tcPr>
            <w:tcW w:w="1340" w:type="dxa"/>
          </w:tcPr>
          <w:p>
            <w:pPr>
              <w:pStyle w:val="23"/>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646" w:type="dxa"/>
          </w:tcPr>
          <w:p>
            <w:pPr>
              <w:pStyle w:val="23"/>
              <w:spacing w:before="171"/>
              <w:ind w:left="6"/>
              <w:jc w:val="center"/>
              <w:rPr>
                <w:rFonts w:ascii="Times New Roman"/>
                <w:color w:val="auto"/>
                <w:sz w:val="21"/>
              </w:rPr>
            </w:pPr>
            <w:r>
              <w:rPr>
                <w:rFonts w:ascii="Times New Roman"/>
                <w:color w:val="auto"/>
                <w:w w:val="100"/>
                <w:sz w:val="21"/>
              </w:rPr>
              <w:t>5</w:t>
            </w:r>
          </w:p>
        </w:tc>
        <w:tc>
          <w:tcPr>
            <w:tcW w:w="5449" w:type="dxa"/>
          </w:tcPr>
          <w:p>
            <w:pPr>
              <w:pStyle w:val="23"/>
              <w:spacing w:before="21" w:line="270" w:lineRule="atLeast"/>
              <w:ind w:left="107" w:right="94"/>
              <w:rPr>
                <w:color w:val="auto"/>
                <w:sz w:val="21"/>
              </w:rPr>
            </w:pPr>
            <w:r>
              <w:rPr>
                <w:color w:val="auto"/>
                <w:spacing w:val="4"/>
                <w:sz w:val="21"/>
              </w:rPr>
              <w:t xml:space="preserve">参加政府采购活动前 </w:t>
            </w:r>
            <w:r>
              <w:rPr>
                <w:rFonts w:ascii="Times New Roman" w:eastAsia="Times New Roman"/>
                <w:color w:val="auto"/>
                <w:sz w:val="21"/>
              </w:rPr>
              <w:t>3</w:t>
            </w:r>
            <w:r>
              <w:rPr>
                <w:rFonts w:ascii="Times New Roman" w:eastAsia="Times New Roman"/>
                <w:color w:val="auto"/>
                <w:spacing w:val="38"/>
                <w:sz w:val="21"/>
              </w:rPr>
              <w:t xml:space="preserve"> </w:t>
            </w:r>
            <w:r>
              <w:rPr>
                <w:color w:val="auto"/>
                <w:sz w:val="21"/>
              </w:rPr>
              <w:t>年内在经营活动中没有重大违法记录的书面声明</w:t>
            </w:r>
          </w:p>
        </w:tc>
        <w:tc>
          <w:tcPr>
            <w:tcW w:w="1681" w:type="dxa"/>
          </w:tcPr>
          <w:p>
            <w:pPr>
              <w:pStyle w:val="23"/>
              <w:rPr>
                <w:rFonts w:ascii="Times New Roman"/>
                <w:color w:val="auto"/>
                <w:sz w:val="20"/>
              </w:rPr>
            </w:pPr>
          </w:p>
        </w:tc>
        <w:tc>
          <w:tcPr>
            <w:tcW w:w="1340" w:type="dxa"/>
          </w:tcPr>
          <w:p>
            <w:pPr>
              <w:pStyle w:val="23"/>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646" w:type="dxa"/>
          </w:tcPr>
          <w:p>
            <w:pPr>
              <w:pStyle w:val="23"/>
              <w:spacing w:before="171"/>
              <w:ind w:left="6"/>
              <w:jc w:val="center"/>
              <w:rPr>
                <w:rFonts w:ascii="Times New Roman"/>
                <w:color w:val="auto"/>
                <w:sz w:val="21"/>
              </w:rPr>
            </w:pPr>
            <w:r>
              <w:rPr>
                <w:rFonts w:ascii="Times New Roman"/>
                <w:color w:val="auto"/>
                <w:w w:val="100"/>
                <w:sz w:val="21"/>
              </w:rPr>
              <w:t>6</w:t>
            </w:r>
          </w:p>
        </w:tc>
        <w:tc>
          <w:tcPr>
            <w:tcW w:w="5449" w:type="dxa"/>
          </w:tcPr>
          <w:p>
            <w:pPr>
              <w:pStyle w:val="23"/>
              <w:spacing w:before="21" w:line="270" w:lineRule="atLeast"/>
              <w:ind w:left="107" w:right="88"/>
              <w:rPr>
                <w:color w:val="auto"/>
                <w:sz w:val="21"/>
              </w:rPr>
            </w:pPr>
            <w:r>
              <w:rPr>
                <w:color w:val="auto"/>
                <w:sz w:val="21"/>
              </w:rPr>
              <w:t>依法缴纳税收和社会保障资金的相关材料（依法享受缓缴、投标人免缴税收、社保资金的提供相关证明材料）</w:t>
            </w:r>
          </w:p>
        </w:tc>
        <w:tc>
          <w:tcPr>
            <w:tcW w:w="1681" w:type="dxa"/>
          </w:tcPr>
          <w:p>
            <w:pPr>
              <w:pStyle w:val="23"/>
              <w:rPr>
                <w:rFonts w:ascii="Times New Roman"/>
                <w:color w:val="auto"/>
                <w:sz w:val="20"/>
              </w:rPr>
            </w:pPr>
          </w:p>
        </w:tc>
        <w:tc>
          <w:tcPr>
            <w:tcW w:w="1340" w:type="dxa"/>
          </w:tcPr>
          <w:p>
            <w:pPr>
              <w:pStyle w:val="23"/>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646" w:type="dxa"/>
          </w:tcPr>
          <w:p>
            <w:pPr>
              <w:pStyle w:val="23"/>
              <w:spacing w:before="9"/>
              <w:rPr>
                <w:b/>
                <w:color w:val="auto"/>
                <w:sz w:val="22"/>
              </w:rPr>
            </w:pPr>
          </w:p>
          <w:p>
            <w:pPr>
              <w:pStyle w:val="23"/>
              <w:ind w:left="6"/>
              <w:jc w:val="center"/>
              <w:rPr>
                <w:rFonts w:ascii="Times New Roman"/>
                <w:color w:val="auto"/>
                <w:sz w:val="21"/>
              </w:rPr>
            </w:pPr>
            <w:r>
              <w:rPr>
                <w:rFonts w:ascii="Times New Roman"/>
                <w:color w:val="auto"/>
                <w:w w:val="100"/>
                <w:sz w:val="21"/>
              </w:rPr>
              <w:t>7</w:t>
            </w:r>
          </w:p>
        </w:tc>
        <w:tc>
          <w:tcPr>
            <w:tcW w:w="5449" w:type="dxa"/>
          </w:tcPr>
          <w:p>
            <w:pPr>
              <w:pStyle w:val="23"/>
              <w:spacing w:before="3" w:line="244" w:lineRule="auto"/>
              <w:ind w:left="107" w:right="92"/>
              <w:rPr>
                <w:color w:val="auto"/>
                <w:sz w:val="21"/>
              </w:rPr>
            </w:pPr>
            <w:r>
              <w:rPr>
                <w:color w:val="auto"/>
                <w:sz w:val="21"/>
              </w:rPr>
              <w:t>未被</w:t>
            </w:r>
            <w:r>
              <w:rPr>
                <w:rFonts w:ascii="Times New Roman" w:hAnsi="Times New Roman" w:eastAsia="Times New Roman"/>
                <w:color w:val="auto"/>
                <w:sz w:val="21"/>
              </w:rPr>
              <w:t>“</w:t>
            </w:r>
            <w:r>
              <w:rPr>
                <w:color w:val="auto"/>
                <w:sz w:val="21"/>
              </w:rPr>
              <w:t>信用中国</w:t>
            </w:r>
            <w:r>
              <w:rPr>
                <w:rFonts w:ascii="Times New Roman" w:hAnsi="Times New Roman" w:eastAsia="Times New Roman"/>
                <w:color w:val="auto"/>
                <w:sz w:val="21"/>
              </w:rPr>
              <w:t>”</w:t>
            </w:r>
            <w:r>
              <w:rPr>
                <w:color w:val="auto"/>
                <w:sz w:val="21"/>
              </w:rPr>
              <w:t>网站（</w:t>
            </w:r>
            <w:r>
              <w:rPr>
                <w:color w:val="auto"/>
              </w:rPr>
              <w:fldChar w:fldCharType="begin"/>
            </w:r>
            <w:r>
              <w:rPr>
                <w:color w:val="auto"/>
              </w:rPr>
              <w:instrText xml:space="preserve"> HYPERLINK "http://www.creditchina.gov.cn/" \h </w:instrText>
            </w:r>
            <w:r>
              <w:rPr>
                <w:color w:val="auto"/>
              </w:rPr>
              <w:fldChar w:fldCharType="separate"/>
            </w:r>
            <w:r>
              <w:rPr>
                <w:rFonts w:ascii="Times New Roman" w:hAnsi="Times New Roman" w:eastAsia="Times New Roman"/>
                <w:color w:val="auto"/>
                <w:sz w:val="21"/>
              </w:rPr>
              <w:t>www.creditchina.gov.cn</w:t>
            </w:r>
            <w:r>
              <w:rPr>
                <w:rFonts w:ascii="Times New Roman" w:hAnsi="Times New Roman" w:eastAsia="Times New Roman"/>
                <w:color w:val="auto"/>
                <w:sz w:val="21"/>
              </w:rPr>
              <w:fldChar w:fldCharType="end"/>
            </w:r>
            <w:r>
              <w:rPr>
                <w:color w:val="auto"/>
                <w:sz w:val="21"/>
              </w:rPr>
              <w:t>）列入失信</w:t>
            </w:r>
            <w:r>
              <w:rPr>
                <w:color w:val="auto"/>
                <w:spacing w:val="-1"/>
                <w:sz w:val="21"/>
              </w:rPr>
              <w:t>被执行人、重大税收违法案件当事人名单、政府采购严重</w:t>
            </w:r>
          </w:p>
          <w:p>
            <w:pPr>
              <w:pStyle w:val="23"/>
              <w:spacing w:line="249" w:lineRule="exact"/>
              <w:ind w:left="107"/>
              <w:rPr>
                <w:color w:val="auto"/>
                <w:sz w:val="21"/>
              </w:rPr>
            </w:pPr>
            <w:r>
              <w:rPr>
                <w:color w:val="auto"/>
                <w:sz w:val="21"/>
              </w:rPr>
              <w:t>失信行为记录名单</w:t>
            </w:r>
          </w:p>
        </w:tc>
        <w:tc>
          <w:tcPr>
            <w:tcW w:w="1681" w:type="dxa"/>
          </w:tcPr>
          <w:p>
            <w:pPr>
              <w:pStyle w:val="23"/>
              <w:rPr>
                <w:rFonts w:ascii="Times New Roman"/>
                <w:color w:val="auto"/>
                <w:sz w:val="20"/>
              </w:rPr>
            </w:pPr>
          </w:p>
        </w:tc>
        <w:tc>
          <w:tcPr>
            <w:tcW w:w="1340" w:type="dxa"/>
          </w:tcPr>
          <w:p>
            <w:pPr>
              <w:pStyle w:val="23"/>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9116" w:type="dxa"/>
            <w:gridSpan w:val="4"/>
          </w:tcPr>
          <w:p>
            <w:pPr>
              <w:pStyle w:val="23"/>
              <w:spacing w:before="3" w:line="250" w:lineRule="exact"/>
              <w:ind w:left="107"/>
              <w:rPr>
                <w:b/>
                <w:color w:val="auto"/>
                <w:sz w:val="21"/>
              </w:rPr>
            </w:pPr>
            <w:r>
              <w:rPr>
                <w:b/>
                <w:color w:val="auto"/>
                <w:spacing w:val="-1"/>
                <w:sz w:val="21"/>
              </w:rPr>
              <w:t>特定资格条件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46" w:type="dxa"/>
          </w:tcPr>
          <w:p>
            <w:pPr>
              <w:pStyle w:val="23"/>
              <w:spacing w:before="79"/>
              <w:ind w:left="6"/>
              <w:jc w:val="center"/>
              <w:rPr>
                <w:rFonts w:ascii="Times New Roman"/>
                <w:color w:val="auto"/>
                <w:sz w:val="21"/>
              </w:rPr>
            </w:pPr>
            <w:r>
              <w:rPr>
                <w:rFonts w:ascii="Times New Roman"/>
                <w:color w:val="auto"/>
                <w:w w:val="100"/>
                <w:sz w:val="21"/>
              </w:rPr>
              <w:t>8</w:t>
            </w:r>
          </w:p>
        </w:tc>
        <w:tc>
          <w:tcPr>
            <w:tcW w:w="5449" w:type="dxa"/>
          </w:tcPr>
          <w:p>
            <w:pPr>
              <w:pStyle w:val="23"/>
              <w:spacing w:before="79"/>
              <w:ind w:left="107"/>
              <w:rPr>
                <w:rFonts w:ascii="Times New Roman" w:hAnsi="Times New Roman"/>
                <w:color w:val="auto"/>
                <w:sz w:val="21"/>
              </w:rPr>
            </w:pPr>
            <w:r>
              <w:rPr>
                <w:rFonts w:ascii="Times New Roman" w:hAnsi="Times New Roman"/>
                <w:color w:val="auto"/>
                <w:sz w:val="21"/>
              </w:rPr>
              <w:t>……</w:t>
            </w:r>
          </w:p>
        </w:tc>
        <w:tc>
          <w:tcPr>
            <w:tcW w:w="1681" w:type="dxa"/>
          </w:tcPr>
          <w:p>
            <w:pPr>
              <w:pStyle w:val="23"/>
              <w:rPr>
                <w:rFonts w:ascii="Times New Roman"/>
                <w:color w:val="auto"/>
                <w:sz w:val="20"/>
              </w:rPr>
            </w:pPr>
          </w:p>
        </w:tc>
        <w:tc>
          <w:tcPr>
            <w:tcW w:w="1340" w:type="dxa"/>
          </w:tcPr>
          <w:p>
            <w:pPr>
              <w:pStyle w:val="23"/>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9116" w:type="dxa"/>
            <w:gridSpan w:val="4"/>
          </w:tcPr>
          <w:p>
            <w:pPr>
              <w:pStyle w:val="23"/>
              <w:spacing w:before="66"/>
              <w:ind w:left="107"/>
              <w:rPr>
                <w:b/>
                <w:color w:val="auto"/>
                <w:sz w:val="21"/>
              </w:rPr>
            </w:pPr>
            <w:r>
              <w:rPr>
                <w:b/>
                <w:color w:val="auto"/>
                <w:spacing w:val="-1"/>
                <w:sz w:val="21"/>
              </w:rPr>
              <w:t>其他资格条件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46" w:type="dxa"/>
          </w:tcPr>
          <w:p>
            <w:pPr>
              <w:pStyle w:val="23"/>
              <w:spacing w:before="79"/>
              <w:ind w:left="6"/>
              <w:jc w:val="center"/>
              <w:rPr>
                <w:rFonts w:ascii="Times New Roman"/>
                <w:color w:val="auto"/>
                <w:sz w:val="21"/>
              </w:rPr>
            </w:pPr>
            <w:r>
              <w:rPr>
                <w:rFonts w:ascii="Times New Roman"/>
                <w:color w:val="auto"/>
                <w:w w:val="100"/>
                <w:sz w:val="21"/>
              </w:rPr>
              <w:t>9</w:t>
            </w:r>
          </w:p>
        </w:tc>
        <w:tc>
          <w:tcPr>
            <w:tcW w:w="5449" w:type="dxa"/>
          </w:tcPr>
          <w:p>
            <w:pPr>
              <w:pStyle w:val="23"/>
              <w:spacing w:before="68"/>
              <w:ind w:left="107"/>
              <w:rPr>
                <w:color w:val="auto"/>
                <w:sz w:val="21"/>
              </w:rPr>
            </w:pPr>
            <w:r>
              <w:rPr>
                <w:color w:val="auto"/>
                <w:sz w:val="21"/>
              </w:rPr>
              <w:t>法人授权书</w:t>
            </w:r>
          </w:p>
        </w:tc>
        <w:tc>
          <w:tcPr>
            <w:tcW w:w="1681" w:type="dxa"/>
          </w:tcPr>
          <w:p>
            <w:pPr>
              <w:pStyle w:val="23"/>
              <w:rPr>
                <w:rFonts w:ascii="Times New Roman"/>
                <w:color w:val="auto"/>
                <w:sz w:val="20"/>
              </w:rPr>
            </w:pPr>
          </w:p>
        </w:tc>
        <w:tc>
          <w:tcPr>
            <w:tcW w:w="1340" w:type="dxa"/>
          </w:tcPr>
          <w:p>
            <w:pPr>
              <w:pStyle w:val="23"/>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46" w:type="dxa"/>
          </w:tcPr>
          <w:p>
            <w:pPr>
              <w:pStyle w:val="23"/>
              <w:spacing w:before="79"/>
              <w:ind w:left="87" w:right="81"/>
              <w:jc w:val="center"/>
              <w:rPr>
                <w:rFonts w:ascii="Times New Roman"/>
                <w:color w:val="auto"/>
                <w:sz w:val="21"/>
              </w:rPr>
            </w:pPr>
            <w:r>
              <w:rPr>
                <w:rFonts w:ascii="Times New Roman"/>
                <w:color w:val="auto"/>
                <w:sz w:val="21"/>
              </w:rPr>
              <w:t>10</w:t>
            </w:r>
          </w:p>
        </w:tc>
        <w:tc>
          <w:tcPr>
            <w:tcW w:w="5449" w:type="dxa"/>
          </w:tcPr>
          <w:p>
            <w:pPr>
              <w:pStyle w:val="23"/>
              <w:spacing w:before="68"/>
              <w:ind w:left="107"/>
              <w:rPr>
                <w:color w:val="auto"/>
                <w:sz w:val="21"/>
              </w:rPr>
            </w:pPr>
            <w:r>
              <w:rPr>
                <w:color w:val="auto"/>
                <w:sz w:val="21"/>
              </w:rPr>
              <w:t>投标函</w:t>
            </w:r>
          </w:p>
        </w:tc>
        <w:tc>
          <w:tcPr>
            <w:tcW w:w="1681" w:type="dxa"/>
          </w:tcPr>
          <w:p>
            <w:pPr>
              <w:pStyle w:val="23"/>
              <w:rPr>
                <w:rFonts w:ascii="Times New Roman"/>
                <w:color w:val="auto"/>
                <w:sz w:val="20"/>
              </w:rPr>
            </w:pPr>
          </w:p>
        </w:tc>
        <w:tc>
          <w:tcPr>
            <w:tcW w:w="1340" w:type="dxa"/>
          </w:tcPr>
          <w:p>
            <w:pPr>
              <w:pStyle w:val="23"/>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46" w:type="dxa"/>
          </w:tcPr>
          <w:p>
            <w:pPr>
              <w:pStyle w:val="23"/>
              <w:spacing w:before="79"/>
              <w:ind w:left="90" w:right="81"/>
              <w:jc w:val="center"/>
              <w:rPr>
                <w:rFonts w:ascii="Times New Roman"/>
                <w:color w:val="auto"/>
                <w:sz w:val="21"/>
              </w:rPr>
            </w:pPr>
            <w:r>
              <w:rPr>
                <w:rFonts w:ascii="Times New Roman"/>
                <w:color w:val="auto"/>
                <w:sz w:val="21"/>
              </w:rPr>
              <w:t>11</w:t>
            </w:r>
          </w:p>
        </w:tc>
        <w:tc>
          <w:tcPr>
            <w:tcW w:w="5449" w:type="dxa"/>
          </w:tcPr>
          <w:p>
            <w:pPr>
              <w:pStyle w:val="23"/>
              <w:spacing w:before="68"/>
              <w:ind w:left="107"/>
              <w:rPr>
                <w:color w:val="auto"/>
                <w:sz w:val="21"/>
              </w:rPr>
            </w:pPr>
            <w:r>
              <w:rPr>
                <w:color w:val="auto"/>
                <w:sz w:val="21"/>
              </w:rPr>
              <w:t>资料费</w:t>
            </w:r>
          </w:p>
        </w:tc>
        <w:tc>
          <w:tcPr>
            <w:tcW w:w="1681" w:type="dxa"/>
          </w:tcPr>
          <w:p>
            <w:pPr>
              <w:pStyle w:val="23"/>
              <w:rPr>
                <w:rFonts w:ascii="Times New Roman"/>
                <w:color w:val="auto"/>
                <w:sz w:val="20"/>
              </w:rPr>
            </w:pPr>
          </w:p>
        </w:tc>
        <w:tc>
          <w:tcPr>
            <w:tcW w:w="1340" w:type="dxa"/>
          </w:tcPr>
          <w:p>
            <w:pPr>
              <w:pStyle w:val="23"/>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46" w:type="dxa"/>
          </w:tcPr>
          <w:p>
            <w:pPr>
              <w:pStyle w:val="23"/>
              <w:spacing w:before="79"/>
              <w:ind w:left="87" w:right="81"/>
              <w:jc w:val="center"/>
              <w:rPr>
                <w:rFonts w:hint="eastAsia" w:ascii="Times New Roman" w:eastAsia="宋体"/>
                <w:color w:val="auto"/>
                <w:sz w:val="21"/>
                <w:lang w:eastAsia="zh-CN"/>
              </w:rPr>
            </w:pPr>
            <w:r>
              <w:rPr>
                <w:rFonts w:ascii="Times New Roman"/>
                <w:color w:val="auto"/>
                <w:sz w:val="21"/>
              </w:rPr>
              <w:t>1</w:t>
            </w:r>
            <w:r>
              <w:rPr>
                <w:rFonts w:hint="eastAsia" w:ascii="Times New Roman"/>
                <w:color w:val="auto"/>
                <w:sz w:val="21"/>
                <w:lang w:val="en-US" w:eastAsia="zh-CN"/>
              </w:rPr>
              <w:t>2</w:t>
            </w:r>
          </w:p>
        </w:tc>
        <w:tc>
          <w:tcPr>
            <w:tcW w:w="5449" w:type="dxa"/>
          </w:tcPr>
          <w:p>
            <w:pPr>
              <w:pStyle w:val="23"/>
              <w:spacing w:before="61"/>
              <w:ind w:left="107"/>
              <w:rPr>
                <w:rFonts w:ascii="Times New Roman" w:hAnsi="Times New Roman"/>
                <w:color w:val="auto"/>
                <w:sz w:val="24"/>
              </w:rPr>
            </w:pPr>
            <w:r>
              <w:rPr>
                <w:rFonts w:ascii="Times New Roman" w:hAnsi="Times New Roman"/>
                <w:color w:val="auto"/>
                <w:sz w:val="24"/>
              </w:rPr>
              <w:t>……</w:t>
            </w:r>
          </w:p>
        </w:tc>
        <w:tc>
          <w:tcPr>
            <w:tcW w:w="1681" w:type="dxa"/>
          </w:tcPr>
          <w:p>
            <w:pPr>
              <w:pStyle w:val="23"/>
              <w:rPr>
                <w:rFonts w:ascii="Times New Roman"/>
                <w:color w:val="auto"/>
                <w:sz w:val="20"/>
              </w:rPr>
            </w:pPr>
          </w:p>
        </w:tc>
        <w:tc>
          <w:tcPr>
            <w:tcW w:w="1340" w:type="dxa"/>
          </w:tcPr>
          <w:p>
            <w:pPr>
              <w:pStyle w:val="23"/>
              <w:rPr>
                <w:rFonts w:ascii="Times New Roman"/>
                <w:color w:val="auto"/>
                <w:sz w:val="20"/>
              </w:rPr>
            </w:pPr>
          </w:p>
        </w:tc>
      </w:tr>
    </w:tbl>
    <w:p>
      <w:pPr>
        <w:spacing w:after="0"/>
        <w:rPr>
          <w:rFonts w:ascii="Times New Roman"/>
          <w:color w:val="auto"/>
          <w:sz w:val="20"/>
        </w:rPr>
        <w:sectPr>
          <w:footerReference r:id="rId35" w:type="default"/>
          <w:pgSz w:w="11910" w:h="16840"/>
          <w:pgMar w:top="1480" w:right="1180" w:bottom="1080" w:left="1200" w:header="0" w:footer="886" w:gutter="0"/>
          <w:cols w:space="720" w:num="1"/>
        </w:sectPr>
      </w:pPr>
    </w:p>
    <w:p>
      <w:pPr>
        <w:spacing w:before="27"/>
        <w:ind w:left="218" w:right="0" w:firstLine="0"/>
        <w:jc w:val="left"/>
        <w:rPr>
          <w:b/>
          <w:color w:val="auto"/>
          <w:sz w:val="32"/>
        </w:rPr>
      </w:pPr>
      <w:r>
        <w:rPr>
          <w:b/>
          <w:color w:val="auto"/>
          <w:sz w:val="32"/>
        </w:rPr>
        <w:t>二、符合性审查响应对照表</w:t>
      </w:r>
    </w:p>
    <w:p>
      <w:pPr>
        <w:pStyle w:val="8"/>
        <w:spacing w:before="8"/>
        <w:rPr>
          <w:b/>
          <w:color w:val="auto"/>
          <w:sz w:val="6"/>
        </w:rPr>
      </w:pPr>
    </w:p>
    <w:tbl>
      <w:tblPr>
        <w:tblStyle w:val="1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9"/>
        <w:gridCol w:w="1681"/>
        <w:gridCol w:w="1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46" w:type="dxa"/>
          </w:tcPr>
          <w:p>
            <w:pPr>
              <w:pStyle w:val="23"/>
              <w:spacing w:before="11"/>
              <w:rPr>
                <w:b/>
                <w:color w:val="auto"/>
                <w:sz w:val="23"/>
              </w:rPr>
            </w:pPr>
          </w:p>
          <w:p>
            <w:pPr>
              <w:pStyle w:val="23"/>
              <w:ind w:left="92" w:right="81"/>
              <w:jc w:val="center"/>
              <w:rPr>
                <w:b/>
                <w:color w:val="auto"/>
                <w:sz w:val="21"/>
              </w:rPr>
            </w:pPr>
            <w:r>
              <w:rPr>
                <w:b/>
                <w:color w:val="auto"/>
                <w:sz w:val="21"/>
              </w:rPr>
              <w:t>序号</w:t>
            </w:r>
          </w:p>
        </w:tc>
        <w:tc>
          <w:tcPr>
            <w:tcW w:w="5449" w:type="dxa"/>
          </w:tcPr>
          <w:p>
            <w:pPr>
              <w:pStyle w:val="23"/>
              <w:spacing w:before="11"/>
              <w:rPr>
                <w:b/>
                <w:color w:val="auto"/>
                <w:sz w:val="23"/>
              </w:rPr>
            </w:pPr>
          </w:p>
          <w:p>
            <w:pPr>
              <w:pStyle w:val="23"/>
              <w:ind w:left="1778"/>
              <w:rPr>
                <w:b/>
                <w:color w:val="auto"/>
                <w:sz w:val="21"/>
              </w:rPr>
            </w:pPr>
            <w:r>
              <w:rPr>
                <w:b/>
                <w:color w:val="auto"/>
                <w:spacing w:val="-1"/>
                <w:sz w:val="21"/>
              </w:rPr>
              <w:t>符合性审查响应内容</w:t>
            </w:r>
          </w:p>
        </w:tc>
        <w:tc>
          <w:tcPr>
            <w:tcW w:w="1681" w:type="dxa"/>
          </w:tcPr>
          <w:p>
            <w:pPr>
              <w:pStyle w:val="23"/>
              <w:spacing w:before="171"/>
              <w:ind w:left="79" w:right="69"/>
              <w:jc w:val="center"/>
              <w:rPr>
                <w:b/>
                <w:color w:val="auto"/>
                <w:sz w:val="21"/>
              </w:rPr>
            </w:pPr>
            <w:r>
              <w:rPr>
                <w:b/>
                <w:color w:val="auto"/>
                <w:spacing w:val="-1"/>
                <w:sz w:val="21"/>
              </w:rPr>
              <w:t>是否响应</w:t>
            </w:r>
          </w:p>
          <w:p>
            <w:pPr>
              <w:pStyle w:val="23"/>
              <w:spacing w:before="2"/>
              <w:ind w:left="86" w:right="69"/>
              <w:jc w:val="center"/>
              <w:rPr>
                <w:b/>
                <w:color w:val="auto"/>
                <w:sz w:val="21"/>
              </w:rPr>
            </w:pPr>
            <w:r>
              <w:rPr>
                <w:b/>
                <w:color w:val="auto"/>
                <w:sz w:val="21"/>
              </w:rPr>
              <w:t>（填是或者否）</w:t>
            </w:r>
          </w:p>
        </w:tc>
        <w:tc>
          <w:tcPr>
            <w:tcW w:w="1308" w:type="dxa"/>
          </w:tcPr>
          <w:p>
            <w:pPr>
              <w:pStyle w:val="23"/>
              <w:spacing w:before="11"/>
              <w:rPr>
                <w:b/>
                <w:color w:val="auto"/>
                <w:sz w:val="23"/>
              </w:rPr>
            </w:pPr>
          </w:p>
          <w:p>
            <w:pPr>
              <w:pStyle w:val="23"/>
              <w:ind w:left="231"/>
              <w:rPr>
                <w:b/>
                <w:color w:val="auto"/>
                <w:sz w:val="21"/>
              </w:rPr>
            </w:pPr>
            <w:r>
              <w:rPr>
                <w:b/>
                <w:color w:val="auto"/>
                <w:spacing w:val="-1"/>
                <w:sz w:val="21"/>
              </w:rPr>
              <w:t>响应情况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46" w:type="dxa"/>
          </w:tcPr>
          <w:p>
            <w:pPr>
              <w:pStyle w:val="23"/>
              <w:spacing w:before="178"/>
              <w:ind w:left="6"/>
              <w:jc w:val="center"/>
              <w:rPr>
                <w:b/>
                <w:color w:val="auto"/>
                <w:sz w:val="21"/>
              </w:rPr>
            </w:pPr>
            <w:r>
              <w:rPr>
                <w:b/>
                <w:color w:val="auto"/>
                <w:w w:val="99"/>
                <w:sz w:val="21"/>
              </w:rPr>
              <w:t>1</w:t>
            </w:r>
          </w:p>
        </w:tc>
        <w:tc>
          <w:tcPr>
            <w:tcW w:w="5449" w:type="dxa"/>
          </w:tcPr>
          <w:p>
            <w:pPr>
              <w:pStyle w:val="23"/>
              <w:spacing w:before="2"/>
              <w:ind w:left="107"/>
              <w:rPr>
                <w:color w:val="auto"/>
                <w:sz w:val="24"/>
              </w:rPr>
            </w:pPr>
            <w:r>
              <w:rPr>
                <w:color w:val="auto"/>
                <w:spacing w:val="-3"/>
                <w:sz w:val="24"/>
              </w:rPr>
              <w:t>采购需求中必须满足的实质性要求</w:t>
            </w:r>
            <w:r>
              <w:rPr>
                <w:color w:val="auto"/>
                <w:spacing w:val="-2"/>
                <w:sz w:val="24"/>
              </w:rPr>
              <w:t>（即加斜体下划</w:t>
            </w:r>
          </w:p>
          <w:p>
            <w:pPr>
              <w:pStyle w:val="23"/>
              <w:spacing w:before="4" w:line="289" w:lineRule="exact"/>
              <w:ind w:left="107"/>
              <w:rPr>
                <w:color w:val="auto"/>
                <w:sz w:val="24"/>
              </w:rPr>
            </w:pPr>
            <w:r>
              <w:rPr>
                <w:color w:val="auto"/>
                <w:sz w:val="24"/>
              </w:rPr>
              <w:t>线内容，每条详细列出）</w:t>
            </w:r>
          </w:p>
        </w:tc>
        <w:tc>
          <w:tcPr>
            <w:tcW w:w="1681" w:type="dxa"/>
          </w:tcPr>
          <w:p>
            <w:pPr>
              <w:pStyle w:val="23"/>
              <w:rPr>
                <w:rFonts w:ascii="Times New Roman"/>
                <w:color w:val="auto"/>
                <w:sz w:val="22"/>
              </w:rPr>
            </w:pPr>
          </w:p>
        </w:tc>
        <w:tc>
          <w:tcPr>
            <w:tcW w:w="1308" w:type="dxa"/>
          </w:tcPr>
          <w:p>
            <w:pPr>
              <w:pStyle w:val="23"/>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646" w:type="dxa"/>
          </w:tcPr>
          <w:p>
            <w:pPr>
              <w:pStyle w:val="23"/>
              <w:spacing w:before="159"/>
              <w:ind w:left="6"/>
              <w:jc w:val="center"/>
              <w:rPr>
                <w:color w:val="auto"/>
                <w:sz w:val="21"/>
              </w:rPr>
            </w:pPr>
            <w:r>
              <w:rPr>
                <w:color w:val="auto"/>
                <w:w w:val="100"/>
                <w:sz w:val="21"/>
              </w:rPr>
              <w:t>2</w:t>
            </w:r>
          </w:p>
        </w:tc>
        <w:tc>
          <w:tcPr>
            <w:tcW w:w="5449" w:type="dxa"/>
          </w:tcPr>
          <w:p>
            <w:pPr>
              <w:pStyle w:val="23"/>
              <w:rPr>
                <w:rFonts w:ascii="Times New Roman"/>
                <w:color w:val="auto"/>
                <w:sz w:val="22"/>
              </w:rPr>
            </w:pPr>
          </w:p>
        </w:tc>
        <w:tc>
          <w:tcPr>
            <w:tcW w:w="1681" w:type="dxa"/>
          </w:tcPr>
          <w:p>
            <w:pPr>
              <w:pStyle w:val="23"/>
              <w:rPr>
                <w:rFonts w:ascii="Times New Roman"/>
                <w:color w:val="auto"/>
                <w:sz w:val="22"/>
              </w:rPr>
            </w:pPr>
          </w:p>
        </w:tc>
        <w:tc>
          <w:tcPr>
            <w:tcW w:w="1308" w:type="dxa"/>
          </w:tcPr>
          <w:p>
            <w:pPr>
              <w:pStyle w:val="23"/>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646" w:type="dxa"/>
          </w:tcPr>
          <w:p>
            <w:pPr>
              <w:pStyle w:val="23"/>
              <w:spacing w:before="159"/>
              <w:ind w:left="6"/>
              <w:jc w:val="center"/>
              <w:rPr>
                <w:color w:val="auto"/>
                <w:sz w:val="21"/>
              </w:rPr>
            </w:pPr>
            <w:r>
              <w:rPr>
                <w:color w:val="auto"/>
                <w:w w:val="100"/>
                <w:sz w:val="21"/>
              </w:rPr>
              <w:t>3</w:t>
            </w:r>
          </w:p>
        </w:tc>
        <w:tc>
          <w:tcPr>
            <w:tcW w:w="5449" w:type="dxa"/>
          </w:tcPr>
          <w:p>
            <w:pPr>
              <w:pStyle w:val="23"/>
              <w:rPr>
                <w:rFonts w:ascii="Times New Roman"/>
                <w:color w:val="auto"/>
                <w:sz w:val="22"/>
              </w:rPr>
            </w:pPr>
          </w:p>
        </w:tc>
        <w:tc>
          <w:tcPr>
            <w:tcW w:w="1681" w:type="dxa"/>
          </w:tcPr>
          <w:p>
            <w:pPr>
              <w:pStyle w:val="23"/>
              <w:rPr>
                <w:rFonts w:ascii="Times New Roman"/>
                <w:color w:val="auto"/>
                <w:sz w:val="22"/>
              </w:rPr>
            </w:pPr>
          </w:p>
        </w:tc>
        <w:tc>
          <w:tcPr>
            <w:tcW w:w="1308" w:type="dxa"/>
          </w:tcPr>
          <w:p>
            <w:pPr>
              <w:pStyle w:val="23"/>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646" w:type="dxa"/>
          </w:tcPr>
          <w:p>
            <w:pPr>
              <w:pStyle w:val="23"/>
              <w:spacing w:before="75"/>
              <w:ind w:left="6"/>
              <w:jc w:val="center"/>
              <w:rPr>
                <w:color w:val="auto"/>
                <w:sz w:val="21"/>
              </w:rPr>
            </w:pPr>
            <w:r>
              <w:rPr>
                <w:color w:val="auto"/>
                <w:w w:val="100"/>
                <w:sz w:val="21"/>
              </w:rPr>
              <w:t>4</w:t>
            </w:r>
          </w:p>
        </w:tc>
        <w:tc>
          <w:tcPr>
            <w:tcW w:w="5449" w:type="dxa"/>
          </w:tcPr>
          <w:p>
            <w:pPr>
              <w:pStyle w:val="23"/>
              <w:rPr>
                <w:rFonts w:ascii="Times New Roman"/>
                <w:color w:val="auto"/>
                <w:sz w:val="22"/>
              </w:rPr>
            </w:pPr>
          </w:p>
        </w:tc>
        <w:tc>
          <w:tcPr>
            <w:tcW w:w="1681" w:type="dxa"/>
          </w:tcPr>
          <w:p>
            <w:pPr>
              <w:pStyle w:val="23"/>
              <w:rPr>
                <w:rFonts w:ascii="Times New Roman"/>
                <w:color w:val="auto"/>
                <w:sz w:val="22"/>
              </w:rPr>
            </w:pPr>
          </w:p>
        </w:tc>
        <w:tc>
          <w:tcPr>
            <w:tcW w:w="1308" w:type="dxa"/>
          </w:tcPr>
          <w:p>
            <w:pPr>
              <w:pStyle w:val="23"/>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646" w:type="dxa"/>
          </w:tcPr>
          <w:p>
            <w:pPr>
              <w:pStyle w:val="23"/>
              <w:spacing w:before="2"/>
              <w:rPr>
                <w:b/>
                <w:color w:val="auto"/>
                <w:sz w:val="20"/>
              </w:rPr>
            </w:pPr>
          </w:p>
          <w:p>
            <w:pPr>
              <w:pStyle w:val="23"/>
              <w:ind w:left="6"/>
              <w:jc w:val="center"/>
              <w:rPr>
                <w:color w:val="auto"/>
                <w:sz w:val="21"/>
              </w:rPr>
            </w:pPr>
            <w:r>
              <w:rPr>
                <w:color w:val="auto"/>
                <w:w w:val="100"/>
                <w:sz w:val="21"/>
              </w:rPr>
              <w:t>5</w:t>
            </w:r>
          </w:p>
        </w:tc>
        <w:tc>
          <w:tcPr>
            <w:tcW w:w="5449" w:type="dxa"/>
          </w:tcPr>
          <w:p>
            <w:pPr>
              <w:pStyle w:val="23"/>
              <w:spacing w:before="7"/>
              <w:rPr>
                <w:b/>
                <w:color w:val="auto"/>
                <w:sz w:val="18"/>
              </w:rPr>
            </w:pPr>
          </w:p>
          <w:p>
            <w:pPr>
              <w:pStyle w:val="23"/>
              <w:ind w:left="107"/>
              <w:rPr>
                <w:color w:val="auto"/>
                <w:sz w:val="24"/>
              </w:rPr>
            </w:pPr>
            <w:r>
              <w:rPr>
                <w:color w:val="auto"/>
                <w:sz w:val="24"/>
              </w:rPr>
              <w:t>……</w:t>
            </w:r>
          </w:p>
        </w:tc>
        <w:tc>
          <w:tcPr>
            <w:tcW w:w="1681" w:type="dxa"/>
          </w:tcPr>
          <w:p>
            <w:pPr>
              <w:pStyle w:val="23"/>
              <w:rPr>
                <w:rFonts w:ascii="Times New Roman"/>
                <w:color w:val="auto"/>
                <w:sz w:val="22"/>
              </w:rPr>
            </w:pPr>
          </w:p>
        </w:tc>
        <w:tc>
          <w:tcPr>
            <w:tcW w:w="1308" w:type="dxa"/>
          </w:tcPr>
          <w:p>
            <w:pPr>
              <w:pStyle w:val="23"/>
              <w:rPr>
                <w:rFonts w:ascii="Times New Roman"/>
                <w:color w:val="auto"/>
                <w:sz w:val="22"/>
              </w:rPr>
            </w:pPr>
          </w:p>
        </w:tc>
      </w:tr>
    </w:tbl>
    <w:p>
      <w:pPr>
        <w:spacing w:after="0"/>
        <w:rPr>
          <w:rFonts w:ascii="Times New Roman"/>
          <w:color w:val="auto"/>
          <w:sz w:val="22"/>
        </w:rPr>
        <w:sectPr>
          <w:footerReference r:id="rId36" w:type="default"/>
          <w:pgSz w:w="11910" w:h="16840"/>
          <w:pgMar w:top="1480" w:right="1180" w:bottom="1080" w:left="1200" w:header="0" w:footer="886" w:gutter="0"/>
          <w:cols w:space="720" w:num="1"/>
        </w:sectPr>
      </w:pPr>
    </w:p>
    <w:p>
      <w:pPr>
        <w:pStyle w:val="8"/>
        <w:rPr>
          <w:b/>
          <w:color w:val="auto"/>
          <w:sz w:val="20"/>
        </w:rPr>
      </w:pPr>
    </w:p>
    <w:p>
      <w:pPr>
        <w:spacing w:before="233"/>
        <w:ind w:left="1135" w:right="1154" w:firstLine="0"/>
        <w:jc w:val="center"/>
        <w:rPr>
          <w:color w:val="auto"/>
          <w:sz w:val="30"/>
        </w:rPr>
      </w:pPr>
      <w:r>
        <w:rPr>
          <w:color w:val="auto"/>
          <w:sz w:val="30"/>
        </w:rPr>
        <w:t>具备履行合同所必需的设备和专业技术能力的书面声明</w:t>
      </w:r>
    </w:p>
    <w:p>
      <w:pPr>
        <w:pStyle w:val="8"/>
        <w:rPr>
          <w:color w:val="auto"/>
          <w:sz w:val="38"/>
        </w:rPr>
      </w:pPr>
    </w:p>
    <w:p>
      <w:pPr>
        <w:pStyle w:val="6"/>
        <w:spacing w:line="360" w:lineRule="auto"/>
        <w:ind w:right="235" w:firstLine="492"/>
        <w:rPr>
          <w:color w:val="auto"/>
        </w:rPr>
      </w:pPr>
      <w:r>
        <w:rPr>
          <w:color w:val="auto"/>
          <w:spacing w:val="-2"/>
        </w:rPr>
        <w:t>我单位郑重声明：我单位具备履行本项采购合同所必需的设备和专业技术能力，为</w:t>
      </w:r>
      <w:r>
        <w:rPr>
          <w:color w:val="auto"/>
        </w:rPr>
        <w:t>履行本项采购合同我公司具备如下主要设备和主要专业技术能力：</w:t>
      </w:r>
    </w:p>
    <w:p>
      <w:pPr>
        <w:pStyle w:val="6"/>
        <w:spacing w:line="304" w:lineRule="exact"/>
        <w:ind w:left="710"/>
        <w:rPr>
          <w:color w:val="auto"/>
        </w:rPr>
      </w:pPr>
      <w:r>
        <w:rPr>
          <w:color w:val="auto"/>
        </w:rPr>
        <w:t>主要设备有：</w:t>
      </w:r>
      <w:r>
        <w:rPr>
          <w:color w:val="auto"/>
          <w:spacing w:val="119"/>
          <w:u w:val="single"/>
        </w:rPr>
        <w:t xml:space="preserve"> </w:t>
      </w:r>
      <w:r>
        <w:rPr>
          <w:color w:val="auto"/>
        </w:rPr>
        <w:t>。</w:t>
      </w:r>
    </w:p>
    <w:p>
      <w:pPr>
        <w:pStyle w:val="6"/>
        <w:tabs>
          <w:tab w:val="left" w:pos="3471"/>
        </w:tabs>
        <w:spacing w:before="154"/>
        <w:ind w:left="710"/>
        <w:rPr>
          <w:color w:val="auto"/>
        </w:rPr>
      </w:pPr>
      <w:r>
        <w:rPr>
          <w:color w:val="auto"/>
        </w:rPr>
        <w:t>主要专业技术能力有：</w:t>
      </w:r>
      <w:r>
        <w:rPr>
          <w:rFonts w:ascii="Times New Roman" w:eastAsia="Times New Roman"/>
          <w:color w:val="auto"/>
          <w:u w:val="single"/>
        </w:rPr>
        <w:tab/>
      </w:r>
      <w:r>
        <w:rPr>
          <w:color w:val="auto"/>
        </w:rPr>
        <w:t>。</w:t>
      </w:r>
    </w:p>
    <w:p>
      <w:pPr>
        <w:spacing w:after="0"/>
        <w:rPr>
          <w:color w:val="auto"/>
        </w:rPr>
        <w:sectPr>
          <w:footerReference r:id="rId37" w:type="default"/>
          <w:pgSz w:w="11910" w:h="16840"/>
          <w:pgMar w:top="1580" w:right="1180" w:bottom="1080" w:left="1200" w:header="0" w:footer="886" w:gutter="0"/>
          <w:cols w:space="720" w:num="1"/>
        </w:sectPr>
      </w:pPr>
    </w:p>
    <w:p>
      <w:pPr>
        <w:pStyle w:val="8"/>
        <w:rPr>
          <w:color w:val="auto"/>
          <w:sz w:val="20"/>
        </w:rPr>
      </w:pPr>
    </w:p>
    <w:p>
      <w:pPr>
        <w:spacing w:before="233"/>
        <w:ind w:left="203" w:right="219" w:firstLine="0"/>
        <w:jc w:val="center"/>
        <w:rPr>
          <w:color w:val="auto"/>
          <w:sz w:val="30"/>
        </w:rPr>
      </w:pPr>
      <w:r>
        <w:rPr>
          <w:color w:val="auto"/>
          <w:sz w:val="30"/>
        </w:rPr>
        <w:t>法人授权书</w:t>
      </w:r>
    </w:p>
    <w:p>
      <w:pPr>
        <w:pStyle w:val="8"/>
        <w:spacing w:before="7"/>
        <w:rPr>
          <w:color w:val="auto"/>
          <w:sz w:val="38"/>
        </w:rPr>
      </w:pPr>
    </w:p>
    <w:p>
      <w:pPr>
        <w:pStyle w:val="6"/>
        <w:tabs>
          <w:tab w:val="left" w:pos="2835"/>
          <w:tab w:val="left" w:pos="3795"/>
          <w:tab w:val="left" w:pos="7852"/>
        </w:tabs>
        <w:spacing w:before="1" w:line="453" w:lineRule="auto"/>
        <w:ind w:right="232" w:firstLine="480"/>
        <w:rPr>
          <w:color w:val="auto"/>
        </w:rPr>
      </w:pPr>
      <w:r>
        <w:rPr>
          <w:color w:val="auto"/>
        </w:rPr>
        <w:t>本授权书声明：</w:t>
      </w:r>
      <w:r>
        <w:rPr>
          <w:rFonts w:ascii="Times New Roman" w:eastAsia="Times New Roman"/>
          <w:color w:val="auto"/>
          <w:u w:val="single"/>
        </w:rPr>
        <w:tab/>
      </w:r>
      <w:r>
        <w:rPr>
          <w:rFonts w:ascii="Times New Roman" w:eastAsia="Times New Roman"/>
          <w:color w:val="auto"/>
          <w:u w:val="single"/>
        </w:rPr>
        <w:tab/>
      </w:r>
      <w:r>
        <w:rPr>
          <w:color w:val="auto"/>
        </w:rPr>
        <w:t>（投标人名称）授权</w:t>
      </w:r>
      <w:r>
        <w:rPr>
          <w:rFonts w:ascii="Times New Roman" w:eastAsia="Times New Roman"/>
          <w:color w:val="auto"/>
          <w:u w:val="single"/>
        </w:rPr>
        <w:tab/>
      </w:r>
      <w:r>
        <w:rPr>
          <w:color w:val="auto"/>
          <w:spacing w:val="-1"/>
        </w:rPr>
        <w:t>（被</w:t>
      </w:r>
      <w:r>
        <w:rPr>
          <w:color w:val="auto"/>
        </w:rPr>
        <w:t>授权人的姓名）为我方就</w:t>
      </w:r>
      <w:r>
        <w:rPr>
          <w:rFonts w:ascii="Times New Roman" w:eastAsia="Times New Roman"/>
          <w:color w:val="auto"/>
          <w:u w:val="single"/>
        </w:rPr>
        <w:tab/>
      </w:r>
      <w:r>
        <w:rPr>
          <w:color w:val="auto"/>
          <w:spacing w:val="-1"/>
        </w:rPr>
        <w:t>号项目采购活动的合法代理人，以本单位名义全权处理一</w:t>
      </w:r>
      <w:r>
        <w:rPr>
          <w:color w:val="auto"/>
        </w:rPr>
        <w:t>切与</w:t>
      </w:r>
    </w:p>
    <w:p>
      <w:pPr>
        <w:pStyle w:val="6"/>
        <w:spacing w:line="307" w:lineRule="exact"/>
        <w:rPr>
          <w:color w:val="auto"/>
        </w:rPr>
      </w:pPr>
      <w:r>
        <w:rPr>
          <w:color w:val="auto"/>
        </w:rPr>
        <w:t>该项目采购有关的事务。</w:t>
      </w:r>
    </w:p>
    <w:p>
      <w:pPr>
        <w:pStyle w:val="8"/>
        <w:spacing w:before="1"/>
        <w:rPr>
          <w:color w:val="auto"/>
        </w:rPr>
      </w:pPr>
    </w:p>
    <w:p>
      <w:pPr>
        <w:pStyle w:val="6"/>
        <w:tabs>
          <w:tab w:val="left" w:pos="2619"/>
          <w:tab w:val="left" w:pos="3339"/>
          <w:tab w:val="left" w:pos="4059"/>
        </w:tabs>
        <w:spacing w:before="1"/>
        <w:ind w:left="698"/>
        <w:rPr>
          <w:color w:val="auto"/>
        </w:rPr>
      </w:pPr>
      <w:r>
        <w:rPr>
          <w:color w:val="auto"/>
        </w:rPr>
        <w:t>本授权书于</w:t>
      </w:r>
      <w:r>
        <w:rPr>
          <w:rFonts w:ascii="Times New Roman" w:eastAsia="Times New Roman"/>
          <w:color w:val="auto"/>
          <w:u w:val="single"/>
        </w:rPr>
        <w:tab/>
      </w:r>
      <w:r>
        <w:rPr>
          <w:color w:val="auto"/>
        </w:rPr>
        <w:t>年</w:t>
      </w:r>
      <w:r>
        <w:rPr>
          <w:rFonts w:ascii="Times New Roman" w:eastAsia="Times New Roman"/>
          <w:color w:val="auto"/>
          <w:u w:val="single"/>
        </w:rPr>
        <w:tab/>
      </w:r>
      <w:r>
        <w:rPr>
          <w:color w:val="auto"/>
        </w:rPr>
        <w:t>月</w:t>
      </w:r>
      <w:r>
        <w:rPr>
          <w:rFonts w:ascii="Times New Roman" w:eastAsia="Times New Roman"/>
          <w:color w:val="auto"/>
          <w:u w:val="single"/>
        </w:rPr>
        <w:tab/>
      </w:r>
      <w:r>
        <w:rPr>
          <w:color w:val="auto"/>
        </w:rPr>
        <w:t>日起生效，特此声明。</w:t>
      </w:r>
    </w:p>
    <w:p>
      <w:pPr>
        <w:pStyle w:val="8"/>
        <w:spacing w:before="7"/>
        <w:rPr>
          <w:color w:val="auto"/>
          <w:sz w:val="20"/>
        </w:rPr>
      </w:pPr>
    </w:p>
    <w:p>
      <w:pPr>
        <w:pStyle w:val="4"/>
        <w:tabs>
          <w:tab w:val="left" w:pos="7059"/>
        </w:tabs>
        <w:rPr>
          <w:color w:val="auto"/>
          <w:u w:val="none"/>
        </w:rPr>
      </w:pPr>
      <w:r>
        <w:rPr>
          <w:color w:val="auto"/>
          <w:w w:val="95"/>
          <w:u w:val="single"/>
        </w:rPr>
        <w:t>代理人（被授权人）签字：</w:t>
      </w:r>
      <w:r>
        <w:rPr>
          <w:color w:val="auto"/>
          <w:u w:val="single"/>
        </w:rPr>
        <w:tab/>
      </w:r>
    </w:p>
    <w:p>
      <w:pPr>
        <w:pStyle w:val="8"/>
        <w:spacing w:before="4"/>
        <w:rPr>
          <w:i/>
          <w:color w:val="auto"/>
          <w:sz w:val="15"/>
        </w:rPr>
      </w:pPr>
    </w:p>
    <w:p>
      <w:pPr>
        <w:pStyle w:val="6"/>
        <w:tabs>
          <w:tab w:val="left" w:pos="6514"/>
        </w:tabs>
        <w:spacing w:before="74"/>
        <w:ind w:left="1418"/>
        <w:rPr>
          <w:rFonts w:ascii="Times New Roman" w:eastAsia="Times New Roman"/>
          <w:color w:val="auto"/>
        </w:rPr>
      </w:pPr>
      <w:r>
        <w:rPr>
          <w:color w:val="auto"/>
        </w:rPr>
        <w:t>身份证号码：</w:t>
      </w:r>
      <w:r>
        <w:rPr>
          <w:rFonts w:ascii="Times New Roman" w:eastAsia="Times New Roman"/>
          <w:color w:val="auto"/>
          <w:u w:val="single"/>
        </w:rPr>
        <w:t xml:space="preserve"> </w:t>
      </w:r>
      <w:r>
        <w:rPr>
          <w:rFonts w:ascii="Times New Roman" w:eastAsia="Times New Roman"/>
          <w:color w:val="auto"/>
          <w:u w:val="single"/>
        </w:rPr>
        <w:tab/>
      </w:r>
    </w:p>
    <w:p>
      <w:pPr>
        <w:pStyle w:val="8"/>
        <w:spacing w:before="2"/>
        <w:rPr>
          <w:rFonts w:ascii="Times New Roman"/>
          <w:color w:val="auto"/>
          <w:sz w:val="17"/>
        </w:rPr>
      </w:pPr>
    </w:p>
    <w:p>
      <w:pPr>
        <w:pStyle w:val="6"/>
        <w:tabs>
          <w:tab w:val="left" w:pos="6634"/>
        </w:tabs>
        <w:spacing w:before="74"/>
        <w:ind w:left="1418"/>
        <w:rPr>
          <w:rFonts w:ascii="Times New Roman" w:eastAsia="Times New Roman"/>
          <w:color w:val="auto"/>
        </w:rPr>
      </w:pPr>
      <w:r>
        <w:rPr>
          <w:color w:val="auto"/>
        </w:rPr>
        <w:t>联系电话</w:t>
      </w:r>
      <w:r>
        <w:rPr>
          <w:color w:val="auto"/>
          <w:spacing w:val="-120"/>
        </w:rPr>
        <w:t>：</w:t>
      </w:r>
      <w:r>
        <w:rPr>
          <w:color w:val="auto"/>
        </w:rPr>
        <w:t>（手机）</w:t>
      </w:r>
      <w:r>
        <w:rPr>
          <w:rFonts w:ascii="Times New Roman" w:eastAsia="Times New Roman"/>
          <w:color w:val="auto"/>
          <w:u w:val="single"/>
        </w:rPr>
        <w:t xml:space="preserve"> </w:t>
      </w:r>
      <w:r>
        <w:rPr>
          <w:rFonts w:ascii="Times New Roman" w:eastAsia="Times New Roman"/>
          <w:color w:val="auto"/>
          <w:u w:val="single"/>
        </w:rPr>
        <w:tab/>
      </w:r>
    </w:p>
    <w:p>
      <w:pPr>
        <w:pStyle w:val="8"/>
        <w:spacing w:before="4"/>
        <w:rPr>
          <w:rFonts w:ascii="Times New Roman"/>
          <w:color w:val="auto"/>
          <w:sz w:val="17"/>
        </w:rPr>
      </w:pPr>
    </w:p>
    <w:p>
      <w:pPr>
        <w:pStyle w:val="6"/>
        <w:tabs>
          <w:tab w:val="left" w:pos="7114"/>
        </w:tabs>
        <w:spacing w:before="74"/>
        <w:ind w:left="1418"/>
        <w:rPr>
          <w:rFonts w:ascii="Times New Roman" w:eastAsia="Times New Roman"/>
          <w:color w:val="auto"/>
        </w:rPr>
      </w:pPr>
      <w:r>
        <w:rPr>
          <w:color w:val="auto"/>
        </w:rPr>
        <w:t>单位名称：</w:t>
      </w:r>
      <w:r>
        <w:rPr>
          <w:rFonts w:ascii="Times New Roman" w:eastAsia="Times New Roman"/>
          <w:color w:val="auto"/>
          <w:u w:val="single"/>
        </w:rPr>
        <w:t xml:space="preserve"> </w:t>
      </w:r>
      <w:r>
        <w:rPr>
          <w:rFonts w:ascii="Times New Roman" w:eastAsia="Times New Roman"/>
          <w:color w:val="auto"/>
          <w:u w:val="single"/>
        </w:rPr>
        <w:tab/>
      </w:r>
    </w:p>
    <w:p>
      <w:pPr>
        <w:pStyle w:val="8"/>
        <w:rPr>
          <w:rFonts w:ascii="Times New Roman"/>
          <w:color w:val="auto"/>
          <w:sz w:val="17"/>
        </w:rPr>
      </w:pPr>
    </w:p>
    <w:p>
      <w:pPr>
        <w:pStyle w:val="4"/>
        <w:tabs>
          <w:tab w:val="left" w:pos="7419"/>
        </w:tabs>
        <w:spacing w:before="68"/>
        <w:rPr>
          <w:color w:val="auto"/>
          <w:u w:val="none"/>
        </w:rPr>
      </w:pPr>
      <w:r>
        <w:rPr>
          <w:color w:val="auto"/>
          <w:w w:val="96"/>
          <w:u w:val="single"/>
        </w:rPr>
        <w:t>授权单位（公章</w:t>
      </w:r>
      <w:r>
        <w:rPr>
          <w:color w:val="auto"/>
          <w:spacing w:val="-120"/>
          <w:w w:val="96"/>
          <w:u w:val="single"/>
        </w:rPr>
        <w:t>）</w:t>
      </w:r>
      <w:r>
        <w:rPr>
          <w:color w:val="auto"/>
          <w:w w:val="96"/>
          <w:u w:val="single"/>
        </w:rPr>
        <w:t>：</w:t>
      </w:r>
      <w:r>
        <w:rPr>
          <w:color w:val="auto"/>
          <w:u w:val="single"/>
        </w:rPr>
        <w:tab/>
      </w:r>
    </w:p>
    <w:p>
      <w:pPr>
        <w:pStyle w:val="8"/>
        <w:spacing w:before="1"/>
        <w:rPr>
          <w:i/>
          <w:color w:val="auto"/>
          <w:sz w:val="15"/>
        </w:rPr>
      </w:pPr>
    </w:p>
    <w:p>
      <w:pPr>
        <w:pStyle w:val="6"/>
        <w:tabs>
          <w:tab w:val="left" w:pos="6175"/>
        </w:tabs>
        <w:spacing w:before="74"/>
        <w:ind w:left="0" w:right="510"/>
        <w:jc w:val="center"/>
        <w:rPr>
          <w:rFonts w:ascii="Times New Roman" w:eastAsia="Times New Roman"/>
          <w:color w:val="auto"/>
        </w:rPr>
      </w:pPr>
      <w:r>
        <w:rPr>
          <w:color w:val="auto"/>
        </w:rPr>
        <w:t>单位地址：</w:t>
      </w:r>
      <w:r>
        <w:rPr>
          <w:rFonts w:ascii="Times New Roman" w:eastAsia="Times New Roman"/>
          <w:color w:val="auto"/>
          <w:u w:val="single"/>
        </w:rPr>
        <w:t xml:space="preserve"> </w:t>
      </w:r>
      <w:r>
        <w:rPr>
          <w:rFonts w:ascii="Times New Roman" w:eastAsia="Times New Roman"/>
          <w:color w:val="auto"/>
          <w:u w:val="single"/>
        </w:rPr>
        <w:tab/>
      </w:r>
    </w:p>
    <w:p>
      <w:pPr>
        <w:pStyle w:val="8"/>
        <w:spacing w:before="1"/>
        <w:rPr>
          <w:rFonts w:ascii="Times New Roman"/>
          <w:color w:val="auto"/>
          <w:sz w:val="18"/>
        </w:rPr>
      </w:pPr>
    </w:p>
    <w:p>
      <w:pPr>
        <w:pStyle w:val="6"/>
        <w:tabs>
          <w:tab w:val="left" w:pos="7114"/>
        </w:tabs>
        <w:spacing w:before="66"/>
        <w:ind w:left="1418"/>
        <w:rPr>
          <w:rFonts w:ascii="Times New Roman" w:eastAsia="Times New Roman"/>
          <w:color w:val="auto"/>
        </w:rPr>
      </w:pPr>
      <w:r>
        <w:rPr>
          <w:color w:val="auto"/>
        </w:rPr>
        <w:t>日期：</w:t>
      </w:r>
      <w:r>
        <w:rPr>
          <w:rFonts w:ascii="Times New Roman" w:eastAsia="Times New Roman"/>
          <w:color w:val="auto"/>
          <w:u w:val="single"/>
        </w:rPr>
        <w:t xml:space="preserve"> </w:t>
      </w:r>
      <w:r>
        <w:rPr>
          <w:rFonts w:ascii="Times New Roman" w:eastAsia="Times New Roman"/>
          <w:color w:val="auto"/>
          <w:u w:val="single"/>
        </w:rPr>
        <w:tab/>
      </w:r>
    </w:p>
    <w:p>
      <w:pPr>
        <w:spacing w:after="0"/>
        <w:rPr>
          <w:rFonts w:ascii="Times New Roman" w:eastAsia="Times New Roman"/>
          <w:color w:val="auto"/>
        </w:rPr>
        <w:sectPr>
          <w:footerReference r:id="rId38" w:type="default"/>
          <w:pgSz w:w="11910" w:h="16840"/>
          <w:pgMar w:top="1580" w:right="1180" w:bottom="1080" w:left="1200" w:header="0" w:footer="886" w:gutter="0"/>
          <w:cols w:space="720" w:num="1"/>
        </w:sectPr>
      </w:pPr>
    </w:p>
    <w:p>
      <w:pPr>
        <w:pStyle w:val="8"/>
        <w:rPr>
          <w:rFonts w:ascii="Times New Roman"/>
          <w:color w:val="auto"/>
          <w:sz w:val="20"/>
        </w:rPr>
      </w:pPr>
    </w:p>
    <w:p>
      <w:pPr>
        <w:pStyle w:val="8"/>
        <w:spacing w:before="6"/>
        <w:rPr>
          <w:rFonts w:ascii="Times New Roman"/>
          <w:color w:val="auto"/>
          <w:sz w:val="17"/>
        </w:rPr>
      </w:pPr>
    </w:p>
    <w:p>
      <w:pPr>
        <w:spacing w:before="58" w:line="362" w:lineRule="auto"/>
        <w:ind w:left="218" w:right="229" w:firstLine="160"/>
        <w:jc w:val="left"/>
        <w:rPr>
          <w:color w:val="auto"/>
          <w:sz w:val="30"/>
        </w:rPr>
      </w:pPr>
      <w:r>
        <w:rPr>
          <w:b/>
          <w:color w:val="auto"/>
          <w:spacing w:val="1"/>
          <w:sz w:val="30"/>
        </w:rPr>
        <w:t xml:space="preserve">参加政府采购活动前 </w:t>
      </w:r>
      <w:r>
        <w:rPr>
          <w:b/>
          <w:color w:val="auto"/>
          <w:sz w:val="30"/>
        </w:rPr>
        <w:t>3 年内在经营活动中没有重大违法记</w:t>
      </w:r>
      <w:r>
        <w:rPr>
          <w:color w:val="auto"/>
          <w:sz w:val="30"/>
        </w:rPr>
        <w:t>录的书面声明</w:t>
      </w:r>
    </w:p>
    <w:p>
      <w:pPr>
        <w:spacing w:before="91"/>
        <w:ind w:left="870" w:right="1154" w:firstLine="0"/>
        <w:jc w:val="center"/>
        <w:rPr>
          <w:b/>
          <w:color w:val="auto"/>
          <w:sz w:val="44"/>
        </w:rPr>
      </w:pPr>
      <w:r>
        <w:rPr>
          <w:b/>
          <w:color w:val="auto"/>
          <w:spacing w:val="70"/>
          <w:sz w:val="44"/>
        </w:rPr>
        <w:t>声 明</w:t>
      </w:r>
    </w:p>
    <w:p>
      <w:pPr>
        <w:pStyle w:val="6"/>
        <w:spacing w:before="95" w:line="360" w:lineRule="auto"/>
        <w:ind w:right="233" w:firstLine="482"/>
        <w:jc w:val="both"/>
        <w:rPr>
          <w:color w:val="auto"/>
        </w:rPr>
      </w:pPr>
      <w:r>
        <w:rPr>
          <w:color w:val="auto"/>
          <w:spacing w:val="1"/>
        </w:rPr>
        <w:t xml:space="preserve">我单位郑重声明：参加本次政府采购活动前 </w:t>
      </w:r>
      <w:r>
        <w:rPr>
          <w:color w:val="auto"/>
        </w:rPr>
        <w:t>3 年内，我单位在经营活动中没有因</w:t>
      </w:r>
      <w:r>
        <w:rPr>
          <w:color w:val="auto"/>
          <w:spacing w:val="-2"/>
        </w:rPr>
        <w:t>违法经营受到刑事处罚或者责令停产停业、吊销许可证或者执照、较大数额罚款等行政</w:t>
      </w:r>
      <w:r>
        <w:rPr>
          <w:color w:val="auto"/>
        </w:rPr>
        <w:t>处罚。</w:t>
      </w:r>
    </w:p>
    <w:p>
      <w:pPr>
        <w:spacing w:after="0" w:line="360" w:lineRule="auto"/>
        <w:jc w:val="both"/>
        <w:rPr>
          <w:color w:val="auto"/>
        </w:rPr>
        <w:sectPr>
          <w:footerReference r:id="rId39" w:type="default"/>
          <w:pgSz w:w="11910" w:h="16840"/>
          <w:pgMar w:top="1580" w:right="1180" w:bottom="1080" w:left="1200" w:header="0" w:footer="886" w:gutter="0"/>
          <w:cols w:space="720" w:num="1"/>
        </w:sectPr>
      </w:pPr>
    </w:p>
    <w:p>
      <w:pPr>
        <w:spacing w:before="105"/>
        <w:ind w:left="203" w:right="934" w:firstLine="0"/>
        <w:jc w:val="center"/>
        <w:rPr>
          <w:b/>
          <w:color w:val="auto"/>
          <w:sz w:val="32"/>
        </w:rPr>
      </w:pPr>
      <w:r>
        <w:rPr>
          <w:b/>
          <w:color w:val="auto"/>
          <w:sz w:val="32"/>
        </w:rPr>
        <w:t>投标函格式</w:t>
      </w:r>
    </w:p>
    <w:p>
      <w:pPr>
        <w:pStyle w:val="8"/>
        <w:rPr>
          <w:b/>
          <w:color w:val="auto"/>
          <w:sz w:val="37"/>
        </w:rPr>
      </w:pPr>
    </w:p>
    <w:p>
      <w:pPr>
        <w:pStyle w:val="6"/>
        <w:rPr>
          <w:color w:val="auto"/>
        </w:rPr>
      </w:pPr>
      <w:r>
        <w:rPr>
          <w:color w:val="auto"/>
        </w:rPr>
        <w:t>致：南京信息工程大学</w:t>
      </w:r>
    </w:p>
    <w:p>
      <w:pPr>
        <w:pStyle w:val="6"/>
        <w:spacing w:before="160" w:line="364" w:lineRule="auto"/>
        <w:ind w:right="232" w:firstLine="480"/>
        <w:rPr>
          <w:color w:val="auto"/>
        </w:rPr>
      </w:pPr>
      <w:r>
        <w:rPr>
          <w:color w:val="auto"/>
          <w:spacing w:val="2"/>
        </w:rPr>
        <w:t>根据贵方</w:t>
      </w:r>
      <w:r>
        <w:rPr>
          <w:color w:val="auto"/>
          <w:spacing w:val="2"/>
          <w:u w:val="single"/>
        </w:rPr>
        <w:t>（</w:t>
      </w:r>
      <w:r>
        <w:rPr>
          <w:color w:val="auto"/>
          <w:spacing w:val="1"/>
          <w:u w:val="single"/>
        </w:rPr>
        <w:t>项目名称</w:t>
      </w:r>
      <w:r>
        <w:rPr>
          <w:color w:val="auto"/>
          <w:spacing w:val="-120"/>
          <w:u w:val="single"/>
        </w:rPr>
        <w:t>）</w:t>
      </w:r>
      <w:r>
        <w:rPr>
          <w:color w:val="auto"/>
          <w:spacing w:val="2"/>
          <w:u w:val="single"/>
        </w:rPr>
        <w:t>（项目编号</w:t>
      </w:r>
      <w:r>
        <w:rPr>
          <w:color w:val="auto"/>
          <w:spacing w:val="5"/>
          <w:u w:val="single"/>
        </w:rPr>
        <w:t>）</w:t>
      </w:r>
      <w:r>
        <w:rPr>
          <w:color w:val="auto"/>
        </w:rPr>
        <w:t>投标邀请，正式授权下述签字人(姓名和职务)</w:t>
      </w:r>
      <w:r>
        <w:rPr>
          <w:color w:val="auto"/>
          <w:spacing w:val="-1"/>
        </w:rPr>
        <w:t>代表投标人</w:t>
      </w:r>
      <w:r>
        <w:rPr>
          <w:rFonts w:ascii="Times New Roman" w:eastAsia="Times New Roman"/>
          <w:color w:val="auto"/>
          <w:u w:val="single"/>
        </w:rPr>
        <w:t xml:space="preserve">  </w:t>
      </w:r>
      <w:r>
        <w:rPr>
          <w:color w:val="auto"/>
          <w:u w:val="single"/>
        </w:rPr>
        <w:t>（投标人名称</w:t>
      </w:r>
      <w:r>
        <w:rPr>
          <w:color w:val="auto"/>
          <w:spacing w:val="-120"/>
          <w:u w:val="single"/>
        </w:rPr>
        <w:t>）</w:t>
      </w:r>
      <w:r>
        <w:rPr>
          <w:color w:val="auto"/>
        </w:rPr>
        <w:t>，提交投标文件。</w:t>
      </w:r>
    </w:p>
    <w:p>
      <w:pPr>
        <w:pStyle w:val="6"/>
        <w:spacing w:before="2"/>
        <w:ind w:left="698"/>
        <w:rPr>
          <w:color w:val="auto"/>
        </w:rPr>
      </w:pPr>
      <w:r>
        <w:rPr>
          <w:color w:val="auto"/>
        </w:rPr>
        <w:t>据此函，签字人兹宣布声明和承诺如下：</w:t>
      </w:r>
    </w:p>
    <w:p>
      <w:pPr>
        <w:spacing w:before="160" w:line="364" w:lineRule="auto"/>
        <w:ind w:left="218" w:right="236" w:firstLine="480"/>
        <w:jc w:val="left"/>
        <w:rPr>
          <w:color w:val="auto"/>
          <w:sz w:val="24"/>
        </w:rPr>
      </w:pPr>
      <w:r>
        <w:rPr>
          <w:color w:val="auto"/>
          <w:w w:val="95"/>
          <w:sz w:val="24"/>
        </w:rPr>
        <w:t>1、</w:t>
      </w:r>
      <w:r>
        <w:rPr>
          <w:b/>
          <w:color w:val="auto"/>
          <w:w w:val="95"/>
          <w:sz w:val="24"/>
        </w:rPr>
        <w:t>我们的资格条件完全符合政府采购法和本次招标要求</w:t>
      </w:r>
      <w:r>
        <w:rPr>
          <w:color w:val="auto"/>
          <w:w w:val="95"/>
          <w:sz w:val="24"/>
        </w:rPr>
        <w:t>，我们同意并向贵方提供</w:t>
      </w:r>
      <w:r>
        <w:rPr>
          <w:color w:val="auto"/>
          <w:spacing w:val="122"/>
          <w:sz w:val="24"/>
        </w:rPr>
        <w:t xml:space="preserve"> </w:t>
      </w:r>
      <w:r>
        <w:rPr>
          <w:color w:val="auto"/>
          <w:sz w:val="24"/>
        </w:rPr>
        <w:t>了与投标有关的所有证据和资料。</w:t>
      </w:r>
    </w:p>
    <w:p>
      <w:pPr>
        <w:pStyle w:val="6"/>
        <w:tabs>
          <w:tab w:val="left" w:pos="2018"/>
          <w:tab w:val="left" w:pos="8809"/>
        </w:tabs>
        <w:spacing w:before="2" w:line="364" w:lineRule="auto"/>
        <w:ind w:right="232" w:firstLine="480"/>
        <w:rPr>
          <w:color w:val="auto"/>
        </w:rPr>
      </w:pPr>
      <w:r>
        <w:rPr>
          <w:color w:val="auto"/>
        </w:rPr>
        <w:pict>
          <v:rect id="docshape39" o:spid="_x0000_s1027" o:spt="1" style="position:absolute;left:0pt;margin-left:94.9pt;margin-top:37.15pt;height:0.6pt;width:78pt;mso-position-horizontal-relative:page;z-index:-251654144;mso-width-relative:page;mso-height-relative:page;" fillcolor="#000000" filled="t" stroked="f" coordsize="21600,21600">
            <v:path/>
            <v:fill on="t" focussize="0,0"/>
            <v:stroke on="f"/>
            <v:imagedata o:title=""/>
            <o:lock v:ext="edit"/>
            <v:textbox>
              <w:txbxContent>
                <w:p/>
              </w:txbxContent>
            </v:textbox>
          </v:rect>
        </w:pict>
      </w:r>
      <w:r>
        <w:rPr>
          <w:color w:val="auto"/>
        </w:rPr>
        <w:t>2、按招标要求，我们的投标总报价为人民币大写</w:t>
      </w:r>
      <w:r>
        <w:rPr>
          <w:rFonts w:ascii="Times New Roman" w:eastAsia="Times New Roman"/>
          <w:color w:val="auto"/>
          <w:u w:val="single"/>
        </w:rPr>
        <w:tab/>
      </w:r>
      <w:r>
        <w:rPr>
          <w:color w:val="auto"/>
          <w:u w:val="single"/>
        </w:rPr>
        <w:t>，</w:t>
      </w:r>
      <w:r>
        <w:rPr>
          <w:color w:val="auto"/>
        </w:rPr>
        <w:t>小写：￥</w:t>
      </w:r>
      <w:r>
        <w:rPr>
          <w:color w:val="auto"/>
        </w:rPr>
        <w:tab/>
      </w:r>
      <w:r>
        <w:rPr>
          <w:color w:val="auto"/>
        </w:rPr>
        <w:t>。</w:t>
      </w:r>
    </w:p>
    <w:p>
      <w:pPr>
        <w:pStyle w:val="6"/>
        <w:tabs>
          <w:tab w:val="left" w:pos="6459"/>
        </w:tabs>
        <w:spacing w:before="1"/>
        <w:ind w:left="698"/>
        <w:rPr>
          <w:color w:val="auto"/>
        </w:rPr>
      </w:pPr>
      <w:r>
        <w:rPr>
          <w:color w:val="auto"/>
        </w:rPr>
        <w:pict>
          <v:rect id="docshape40" o:spid="_x0000_s1028" o:spt="1" style="position:absolute;left:0pt;margin-left:172.9pt;margin-top:13.7pt;height:0.6pt;width:36pt;mso-position-horizontal-relative:page;z-index:251660288;mso-width-relative:page;mso-height-relative:page;" fillcolor="#000000" filled="t" stroked="f" coordsize="21600,21600">
            <v:path/>
            <v:fill on="t" focussize="0,0"/>
            <v:stroke on="f"/>
            <v:imagedata o:title=""/>
            <o:lock v:ext="edit"/>
            <v:textbox>
              <w:txbxContent>
                <w:p/>
              </w:txbxContent>
            </v:textbox>
          </v:rect>
        </w:pict>
      </w:r>
      <w:r>
        <w:rPr>
          <w:color w:val="auto"/>
        </w:rPr>
        <w:t>3、项目负责人(姓名)，身份证号</w:t>
      </w:r>
      <w:r>
        <w:rPr>
          <w:rFonts w:ascii="Times New Roman" w:eastAsia="Times New Roman"/>
          <w:color w:val="auto"/>
          <w:u w:val="single"/>
        </w:rPr>
        <w:tab/>
      </w:r>
      <w:r>
        <w:rPr>
          <w:color w:val="auto"/>
        </w:rPr>
        <w:t>。</w:t>
      </w:r>
    </w:p>
    <w:p>
      <w:pPr>
        <w:pStyle w:val="6"/>
        <w:spacing w:before="161" w:line="364" w:lineRule="auto"/>
        <w:ind w:right="232" w:firstLine="480"/>
        <w:jc w:val="both"/>
        <w:rPr>
          <w:color w:val="auto"/>
        </w:rPr>
      </w:pPr>
      <w:r>
        <w:rPr>
          <w:color w:val="auto"/>
        </w:rPr>
        <w:t>4、我们已详细审核全部招标文件及其有效补充文件，我们放弃对招标文件任何误</w:t>
      </w:r>
      <w:r>
        <w:rPr>
          <w:color w:val="auto"/>
          <w:spacing w:val="-2"/>
        </w:rPr>
        <w:t>解的权利，提交投标文件后，</w:t>
      </w:r>
      <w:r>
        <w:rPr>
          <w:b/>
          <w:color w:val="auto"/>
          <w:spacing w:val="-2"/>
        </w:rPr>
        <w:t>不对招标文件本身提出质疑</w:t>
      </w:r>
      <w:r>
        <w:rPr>
          <w:color w:val="auto"/>
          <w:spacing w:val="-1"/>
        </w:rPr>
        <w:t>。否则，属于不诚信和故意扰</w:t>
      </w:r>
      <w:r>
        <w:rPr>
          <w:color w:val="auto"/>
        </w:rPr>
        <w:t>乱政府采购活动行为，我们将无条件接受处罚。</w:t>
      </w:r>
    </w:p>
    <w:p>
      <w:pPr>
        <w:pStyle w:val="6"/>
        <w:spacing w:before="1" w:line="364" w:lineRule="auto"/>
        <w:ind w:right="232" w:firstLine="480"/>
        <w:rPr>
          <w:color w:val="auto"/>
        </w:rPr>
      </w:pPr>
      <w:r>
        <w:rPr>
          <w:color w:val="auto"/>
        </w:rPr>
        <w:t>5、我们同意从规定的开标日期起遵循本投标文件，并在规定的投标有效期期满之前均具有约束力。</w:t>
      </w:r>
    </w:p>
    <w:p>
      <w:pPr>
        <w:pStyle w:val="6"/>
        <w:spacing w:before="2" w:line="364" w:lineRule="auto"/>
        <w:ind w:right="232" w:firstLine="480"/>
        <w:rPr>
          <w:color w:val="auto"/>
        </w:rPr>
      </w:pPr>
      <w:r>
        <w:rPr>
          <w:color w:val="auto"/>
        </w:rPr>
        <w:t>6、一旦我方中标，我方将根据招标文件的规定严格履行合同，并保证于承诺的时间完成服务的启动/集成、调试等服务，交付采购人验收、使用。</w:t>
      </w:r>
    </w:p>
    <w:p>
      <w:pPr>
        <w:pStyle w:val="6"/>
        <w:spacing w:before="1" w:line="364" w:lineRule="auto"/>
        <w:ind w:right="117" w:firstLine="480"/>
        <w:rPr>
          <w:color w:val="auto"/>
        </w:rPr>
      </w:pPr>
      <w:r>
        <w:rPr>
          <w:color w:val="auto"/>
          <w:spacing w:val="-2"/>
        </w:rPr>
        <w:t>7、我方决不提供虚假材料谋取中标、决不采取不正当手段诋毁、排挤其他投标人、</w:t>
      </w:r>
      <w:r>
        <w:rPr>
          <w:color w:val="auto"/>
        </w:rPr>
        <w:t>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pStyle w:val="6"/>
        <w:spacing w:before="3" w:line="364" w:lineRule="auto"/>
        <w:ind w:left="698" w:right="4865"/>
        <w:rPr>
          <w:color w:val="auto"/>
        </w:rPr>
      </w:pPr>
      <w:r>
        <w:rPr>
          <w:color w:val="auto"/>
          <w:spacing w:val="-1"/>
        </w:rPr>
        <w:t>8</w:t>
      </w:r>
      <w:r>
        <w:rPr>
          <w:color w:val="auto"/>
        </w:rPr>
        <w:t>、与本投标有关的正式联系方式为：</w:t>
      </w:r>
      <w:r>
        <w:rPr>
          <w:color w:val="auto"/>
          <w:spacing w:val="-117"/>
        </w:rPr>
        <w:t xml:space="preserve"> </w:t>
      </w:r>
      <w:r>
        <w:rPr>
          <w:color w:val="auto"/>
        </w:rPr>
        <w:t>地址：</w:t>
      </w:r>
    </w:p>
    <w:p>
      <w:pPr>
        <w:pStyle w:val="6"/>
        <w:tabs>
          <w:tab w:val="left" w:pos="3939"/>
        </w:tabs>
        <w:spacing w:before="1"/>
        <w:ind w:left="698"/>
        <w:rPr>
          <w:color w:val="auto"/>
        </w:rPr>
      </w:pPr>
      <w:r>
        <w:rPr>
          <w:color w:val="auto"/>
        </w:rPr>
        <w:t>电话：</w:t>
      </w:r>
      <w:r>
        <w:rPr>
          <w:color w:val="auto"/>
        </w:rPr>
        <w:tab/>
      </w:r>
      <w:r>
        <w:rPr>
          <w:color w:val="auto"/>
        </w:rPr>
        <w:t>传真：</w:t>
      </w:r>
    </w:p>
    <w:p>
      <w:pPr>
        <w:pStyle w:val="6"/>
        <w:tabs>
          <w:tab w:val="left" w:pos="3939"/>
        </w:tabs>
        <w:spacing w:before="161" w:line="364" w:lineRule="auto"/>
        <w:ind w:left="698" w:right="4385"/>
        <w:rPr>
          <w:color w:val="auto"/>
        </w:rPr>
      </w:pPr>
      <w:r>
        <w:rPr>
          <w:color w:val="auto"/>
        </w:rPr>
        <w:t>开户银行：</w:t>
      </w:r>
      <w:r>
        <w:rPr>
          <w:color w:val="auto"/>
        </w:rPr>
        <w:tab/>
      </w:r>
      <w:r>
        <w:rPr>
          <w:color w:val="auto"/>
          <w:spacing w:val="-1"/>
        </w:rPr>
        <w:t>银行</w:t>
      </w:r>
      <w:r>
        <w:rPr>
          <w:color w:val="auto"/>
        </w:rPr>
        <w:t>账号：</w:t>
      </w:r>
      <w:r>
        <w:rPr>
          <w:color w:val="auto"/>
          <w:spacing w:val="-117"/>
        </w:rPr>
        <w:t xml:space="preserve"> </w:t>
      </w:r>
      <w:r>
        <w:rPr>
          <w:color w:val="auto"/>
        </w:rPr>
        <w:t>投标人法定代表人姓名（签字</w:t>
      </w:r>
      <w:r>
        <w:rPr>
          <w:color w:val="auto"/>
          <w:spacing w:val="-120"/>
        </w:rPr>
        <w:t>）</w:t>
      </w:r>
      <w:r>
        <w:rPr>
          <w:color w:val="auto"/>
        </w:rPr>
        <w:t>：</w:t>
      </w:r>
    </w:p>
    <w:p>
      <w:pPr>
        <w:pStyle w:val="6"/>
        <w:spacing w:before="1"/>
        <w:ind w:left="698"/>
        <w:rPr>
          <w:color w:val="auto"/>
        </w:rPr>
      </w:pPr>
      <w:r>
        <w:rPr>
          <w:color w:val="auto"/>
          <w:spacing w:val="-20"/>
        </w:rPr>
        <w:t>投标人名称：</w:t>
      </w:r>
      <w:r>
        <w:rPr>
          <w:color w:val="auto"/>
        </w:rPr>
        <w:t>（盖章）</w:t>
      </w:r>
    </w:p>
    <w:p>
      <w:pPr>
        <w:pStyle w:val="6"/>
        <w:tabs>
          <w:tab w:val="left" w:pos="2018"/>
          <w:tab w:val="left" w:pos="2619"/>
          <w:tab w:val="left" w:pos="3339"/>
        </w:tabs>
        <w:spacing w:before="160"/>
        <w:ind w:left="698"/>
        <w:rPr>
          <w:color w:val="auto"/>
        </w:rPr>
      </w:pPr>
      <w:r>
        <w:rPr>
          <w:color w:val="auto"/>
        </w:rPr>
        <w:t>日期：</w:t>
      </w:r>
      <w:r>
        <w:rPr>
          <w:color w:val="auto"/>
        </w:rPr>
        <w:tab/>
      </w:r>
      <w:r>
        <w:rPr>
          <w:color w:val="auto"/>
        </w:rPr>
        <w:t>年</w:t>
      </w:r>
      <w:r>
        <w:rPr>
          <w:color w:val="auto"/>
        </w:rPr>
        <w:tab/>
      </w:r>
      <w:r>
        <w:rPr>
          <w:color w:val="auto"/>
        </w:rPr>
        <w:t>月</w:t>
      </w:r>
      <w:r>
        <w:rPr>
          <w:color w:val="auto"/>
        </w:rPr>
        <w:tab/>
      </w:r>
      <w:r>
        <w:rPr>
          <w:color w:val="auto"/>
        </w:rPr>
        <w:t>日</w:t>
      </w:r>
    </w:p>
    <w:p>
      <w:pPr>
        <w:spacing w:after="0"/>
        <w:rPr>
          <w:color w:val="auto"/>
        </w:rPr>
        <w:sectPr>
          <w:footerReference r:id="rId40" w:type="default"/>
          <w:pgSz w:w="11910" w:h="16840"/>
          <w:pgMar w:top="1580" w:right="1180" w:bottom="1080" w:left="1200" w:header="0" w:footer="886" w:gutter="0"/>
          <w:cols w:space="720" w:num="1"/>
        </w:sectPr>
      </w:pPr>
    </w:p>
    <w:p>
      <w:pPr>
        <w:spacing w:before="30"/>
        <w:ind w:left="3418" w:right="0" w:firstLine="0"/>
        <w:jc w:val="left"/>
        <w:rPr>
          <w:b/>
          <w:color w:val="auto"/>
          <w:sz w:val="32"/>
        </w:rPr>
      </w:pPr>
      <w:r>
        <w:rPr>
          <w:rFonts w:hint="eastAsia"/>
          <w:b/>
          <w:color w:val="auto"/>
          <w:sz w:val="32"/>
          <w:lang w:val="en-US" w:eastAsia="zh-CN"/>
        </w:rPr>
        <w:t>三</w:t>
      </w:r>
      <w:r>
        <w:rPr>
          <w:b/>
          <w:color w:val="auto"/>
          <w:sz w:val="32"/>
        </w:rPr>
        <w:t>、投标产品配置及分项报价表</w:t>
      </w:r>
    </w:p>
    <w:p>
      <w:pPr>
        <w:pStyle w:val="8"/>
        <w:spacing w:before="8" w:after="1"/>
        <w:rPr>
          <w:b/>
          <w:color w:val="auto"/>
          <w:sz w:val="26"/>
        </w:rPr>
      </w:pPr>
    </w:p>
    <w:tbl>
      <w:tblPr>
        <w:tblStyle w:val="1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70"/>
        <w:gridCol w:w="1382"/>
        <w:gridCol w:w="811"/>
        <w:gridCol w:w="1334"/>
        <w:gridCol w:w="957"/>
        <w:gridCol w:w="1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770" w:type="dxa"/>
          </w:tcPr>
          <w:p>
            <w:pPr>
              <w:pStyle w:val="23"/>
              <w:spacing w:before="117"/>
              <w:ind w:left="9"/>
              <w:jc w:val="center"/>
              <w:rPr>
                <w:color w:val="auto"/>
                <w:sz w:val="24"/>
              </w:rPr>
            </w:pPr>
            <w:r>
              <w:rPr>
                <w:color w:val="auto"/>
                <w:sz w:val="24"/>
              </w:rPr>
              <w:t>1</w:t>
            </w:r>
          </w:p>
        </w:tc>
        <w:tc>
          <w:tcPr>
            <w:tcW w:w="1382" w:type="dxa"/>
          </w:tcPr>
          <w:p>
            <w:pPr>
              <w:pStyle w:val="23"/>
              <w:spacing w:before="117"/>
              <w:ind w:left="10"/>
              <w:jc w:val="center"/>
              <w:rPr>
                <w:color w:val="auto"/>
                <w:sz w:val="24"/>
              </w:rPr>
            </w:pPr>
            <w:r>
              <w:rPr>
                <w:color w:val="auto"/>
                <w:sz w:val="24"/>
              </w:rPr>
              <w:t>2</w:t>
            </w:r>
          </w:p>
        </w:tc>
        <w:tc>
          <w:tcPr>
            <w:tcW w:w="811" w:type="dxa"/>
          </w:tcPr>
          <w:p>
            <w:pPr>
              <w:pStyle w:val="23"/>
              <w:spacing w:before="117"/>
              <w:ind w:left="6"/>
              <w:jc w:val="center"/>
              <w:rPr>
                <w:color w:val="auto"/>
                <w:sz w:val="24"/>
              </w:rPr>
            </w:pPr>
            <w:r>
              <w:rPr>
                <w:color w:val="auto"/>
                <w:sz w:val="24"/>
              </w:rPr>
              <w:t>3</w:t>
            </w:r>
          </w:p>
        </w:tc>
        <w:tc>
          <w:tcPr>
            <w:tcW w:w="1334" w:type="dxa"/>
          </w:tcPr>
          <w:p>
            <w:pPr>
              <w:pStyle w:val="23"/>
              <w:spacing w:before="117"/>
              <w:ind w:left="12"/>
              <w:jc w:val="center"/>
              <w:rPr>
                <w:color w:val="auto"/>
                <w:sz w:val="24"/>
              </w:rPr>
            </w:pPr>
            <w:r>
              <w:rPr>
                <w:color w:val="auto"/>
                <w:sz w:val="24"/>
              </w:rPr>
              <w:t>4</w:t>
            </w:r>
          </w:p>
        </w:tc>
        <w:tc>
          <w:tcPr>
            <w:tcW w:w="957" w:type="dxa"/>
          </w:tcPr>
          <w:p>
            <w:pPr>
              <w:pStyle w:val="23"/>
              <w:spacing w:before="117"/>
              <w:ind w:left="10"/>
              <w:jc w:val="center"/>
              <w:rPr>
                <w:color w:val="auto"/>
                <w:sz w:val="24"/>
              </w:rPr>
            </w:pPr>
            <w:r>
              <w:rPr>
                <w:color w:val="auto"/>
                <w:sz w:val="24"/>
              </w:rPr>
              <w:t>5</w:t>
            </w:r>
          </w:p>
        </w:tc>
        <w:tc>
          <w:tcPr>
            <w:tcW w:w="1620" w:type="dxa"/>
          </w:tcPr>
          <w:p>
            <w:pPr>
              <w:pStyle w:val="23"/>
              <w:spacing w:before="117"/>
              <w:ind w:left="7"/>
              <w:jc w:val="center"/>
              <w:rPr>
                <w:color w:val="auto"/>
                <w:sz w:val="24"/>
              </w:rPr>
            </w:pPr>
            <w:r>
              <w:rPr>
                <w:color w:val="auto"/>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770" w:type="dxa"/>
          </w:tcPr>
          <w:p>
            <w:pPr>
              <w:pStyle w:val="23"/>
              <w:spacing w:before="2"/>
              <w:ind w:left="94" w:right="85"/>
              <w:jc w:val="center"/>
              <w:rPr>
                <w:color w:val="auto"/>
                <w:sz w:val="24"/>
              </w:rPr>
            </w:pPr>
            <w:r>
              <w:rPr>
                <w:color w:val="auto"/>
                <w:spacing w:val="-9"/>
                <w:sz w:val="24"/>
              </w:rPr>
              <w:t>产品名称及品牌、规格型</w:t>
            </w:r>
          </w:p>
          <w:p>
            <w:pPr>
              <w:pStyle w:val="23"/>
              <w:spacing w:before="4" w:line="289" w:lineRule="exact"/>
              <w:ind w:left="9"/>
              <w:jc w:val="center"/>
              <w:rPr>
                <w:color w:val="auto"/>
                <w:sz w:val="24"/>
              </w:rPr>
            </w:pPr>
            <w:r>
              <w:rPr>
                <w:color w:val="auto"/>
                <w:sz w:val="24"/>
              </w:rPr>
              <w:t>号</w:t>
            </w:r>
          </w:p>
        </w:tc>
        <w:tc>
          <w:tcPr>
            <w:tcW w:w="1382" w:type="dxa"/>
          </w:tcPr>
          <w:p>
            <w:pPr>
              <w:pStyle w:val="23"/>
              <w:spacing w:before="158"/>
              <w:ind w:left="431" w:right="421"/>
              <w:jc w:val="center"/>
              <w:rPr>
                <w:color w:val="auto"/>
                <w:sz w:val="24"/>
              </w:rPr>
            </w:pPr>
            <w:r>
              <w:rPr>
                <w:color w:val="auto"/>
                <w:sz w:val="24"/>
              </w:rPr>
              <w:t>数量</w:t>
            </w:r>
          </w:p>
        </w:tc>
        <w:tc>
          <w:tcPr>
            <w:tcW w:w="811" w:type="dxa"/>
          </w:tcPr>
          <w:p>
            <w:pPr>
              <w:pStyle w:val="23"/>
              <w:spacing w:before="158"/>
              <w:ind w:left="143" w:right="137"/>
              <w:jc w:val="center"/>
              <w:rPr>
                <w:color w:val="auto"/>
                <w:sz w:val="24"/>
              </w:rPr>
            </w:pPr>
            <w:r>
              <w:rPr>
                <w:color w:val="auto"/>
                <w:sz w:val="24"/>
              </w:rPr>
              <w:t>产地</w:t>
            </w:r>
          </w:p>
        </w:tc>
        <w:tc>
          <w:tcPr>
            <w:tcW w:w="1334" w:type="dxa"/>
          </w:tcPr>
          <w:p>
            <w:pPr>
              <w:pStyle w:val="23"/>
              <w:spacing w:before="158"/>
              <w:ind w:left="288" w:right="276"/>
              <w:jc w:val="center"/>
              <w:rPr>
                <w:color w:val="auto"/>
                <w:sz w:val="24"/>
              </w:rPr>
            </w:pPr>
            <w:r>
              <w:rPr>
                <w:color w:val="auto"/>
                <w:sz w:val="24"/>
              </w:rPr>
              <w:t>交付期</w:t>
            </w:r>
          </w:p>
        </w:tc>
        <w:tc>
          <w:tcPr>
            <w:tcW w:w="957" w:type="dxa"/>
          </w:tcPr>
          <w:p>
            <w:pPr>
              <w:pStyle w:val="23"/>
              <w:spacing w:before="158"/>
              <w:ind w:left="218" w:right="208"/>
              <w:jc w:val="center"/>
              <w:rPr>
                <w:color w:val="auto"/>
                <w:sz w:val="24"/>
              </w:rPr>
            </w:pPr>
            <w:r>
              <w:rPr>
                <w:color w:val="auto"/>
                <w:sz w:val="24"/>
              </w:rPr>
              <w:t>单价</w:t>
            </w:r>
          </w:p>
        </w:tc>
        <w:tc>
          <w:tcPr>
            <w:tcW w:w="1620" w:type="dxa"/>
          </w:tcPr>
          <w:p>
            <w:pPr>
              <w:pStyle w:val="23"/>
              <w:spacing w:before="158"/>
              <w:ind w:left="548" w:right="541"/>
              <w:jc w:val="center"/>
              <w:rPr>
                <w:color w:val="auto"/>
                <w:sz w:val="24"/>
              </w:rPr>
            </w:pPr>
            <w:r>
              <w:rPr>
                <w:color w:val="auto"/>
                <w:sz w:val="24"/>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2770" w:type="dxa"/>
          </w:tcPr>
          <w:p>
            <w:pPr>
              <w:pStyle w:val="23"/>
              <w:rPr>
                <w:rFonts w:ascii="Times New Roman"/>
                <w:color w:val="auto"/>
                <w:sz w:val="26"/>
              </w:rPr>
            </w:pPr>
          </w:p>
        </w:tc>
        <w:tc>
          <w:tcPr>
            <w:tcW w:w="1382" w:type="dxa"/>
          </w:tcPr>
          <w:p>
            <w:pPr>
              <w:pStyle w:val="23"/>
              <w:rPr>
                <w:rFonts w:ascii="Times New Roman"/>
                <w:color w:val="auto"/>
                <w:sz w:val="26"/>
              </w:rPr>
            </w:pPr>
          </w:p>
        </w:tc>
        <w:tc>
          <w:tcPr>
            <w:tcW w:w="811" w:type="dxa"/>
          </w:tcPr>
          <w:p>
            <w:pPr>
              <w:pStyle w:val="23"/>
              <w:rPr>
                <w:rFonts w:ascii="Times New Roman"/>
                <w:color w:val="auto"/>
                <w:sz w:val="26"/>
              </w:rPr>
            </w:pPr>
          </w:p>
        </w:tc>
        <w:tc>
          <w:tcPr>
            <w:tcW w:w="1334" w:type="dxa"/>
          </w:tcPr>
          <w:p>
            <w:pPr>
              <w:pStyle w:val="23"/>
              <w:rPr>
                <w:rFonts w:ascii="Times New Roman"/>
                <w:color w:val="auto"/>
                <w:sz w:val="26"/>
              </w:rPr>
            </w:pPr>
          </w:p>
        </w:tc>
        <w:tc>
          <w:tcPr>
            <w:tcW w:w="957" w:type="dxa"/>
          </w:tcPr>
          <w:p>
            <w:pPr>
              <w:pStyle w:val="23"/>
              <w:rPr>
                <w:rFonts w:ascii="Times New Roman"/>
                <w:color w:val="auto"/>
                <w:sz w:val="26"/>
              </w:rPr>
            </w:pPr>
          </w:p>
        </w:tc>
        <w:tc>
          <w:tcPr>
            <w:tcW w:w="1620" w:type="dxa"/>
          </w:tcPr>
          <w:p>
            <w:pPr>
              <w:pStyle w:val="23"/>
              <w:rPr>
                <w:rFonts w:ascii="Times New Roman"/>
                <w:color w:val="auto"/>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2770" w:type="dxa"/>
          </w:tcPr>
          <w:p>
            <w:pPr>
              <w:pStyle w:val="23"/>
              <w:rPr>
                <w:rFonts w:ascii="Times New Roman"/>
                <w:color w:val="auto"/>
                <w:sz w:val="26"/>
              </w:rPr>
            </w:pPr>
          </w:p>
        </w:tc>
        <w:tc>
          <w:tcPr>
            <w:tcW w:w="1382" w:type="dxa"/>
          </w:tcPr>
          <w:p>
            <w:pPr>
              <w:pStyle w:val="23"/>
              <w:rPr>
                <w:rFonts w:ascii="Times New Roman"/>
                <w:color w:val="auto"/>
                <w:sz w:val="26"/>
              </w:rPr>
            </w:pPr>
          </w:p>
        </w:tc>
        <w:tc>
          <w:tcPr>
            <w:tcW w:w="811" w:type="dxa"/>
          </w:tcPr>
          <w:p>
            <w:pPr>
              <w:pStyle w:val="23"/>
              <w:rPr>
                <w:rFonts w:ascii="Times New Roman"/>
                <w:color w:val="auto"/>
                <w:sz w:val="26"/>
              </w:rPr>
            </w:pPr>
          </w:p>
        </w:tc>
        <w:tc>
          <w:tcPr>
            <w:tcW w:w="1334" w:type="dxa"/>
          </w:tcPr>
          <w:p>
            <w:pPr>
              <w:pStyle w:val="23"/>
              <w:rPr>
                <w:rFonts w:ascii="Times New Roman"/>
                <w:color w:val="auto"/>
                <w:sz w:val="26"/>
              </w:rPr>
            </w:pPr>
          </w:p>
        </w:tc>
        <w:tc>
          <w:tcPr>
            <w:tcW w:w="957" w:type="dxa"/>
          </w:tcPr>
          <w:p>
            <w:pPr>
              <w:pStyle w:val="23"/>
              <w:rPr>
                <w:rFonts w:ascii="Times New Roman"/>
                <w:color w:val="auto"/>
                <w:sz w:val="26"/>
              </w:rPr>
            </w:pPr>
          </w:p>
        </w:tc>
        <w:tc>
          <w:tcPr>
            <w:tcW w:w="1620" w:type="dxa"/>
          </w:tcPr>
          <w:p>
            <w:pPr>
              <w:pStyle w:val="23"/>
              <w:rPr>
                <w:rFonts w:ascii="Times New Roman"/>
                <w:color w:val="auto"/>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2770" w:type="dxa"/>
          </w:tcPr>
          <w:p>
            <w:pPr>
              <w:pStyle w:val="23"/>
              <w:rPr>
                <w:rFonts w:ascii="Times New Roman"/>
                <w:color w:val="auto"/>
                <w:sz w:val="26"/>
              </w:rPr>
            </w:pPr>
          </w:p>
        </w:tc>
        <w:tc>
          <w:tcPr>
            <w:tcW w:w="1382" w:type="dxa"/>
          </w:tcPr>
          <w:p>
            <w:pPr>
              <w:pStyle w:val="23"/>
              <w:rPr>
                <w:rFonts w:ascii="Times New Roman"/>
                <w:color w:val="auto"/>
                <w:sz w:val="26"/>
              </w:rPr>
            </w:pPr>
          </w:p>
        </w:tc>
        <w:tc>
          <w:tcPr>
            <w:tcW w:w="811" w:type="dxa"/>
          </w:tcPr>
          <w:p>
            <w:pPr>
              <w:pStyle w:val="23"/>
              <w:rPr>
                <w:rFonts w:ascii="Times New Roman"/>
                <w:color w:val="auto"/>
                <w:sz w:val="26"/>
              </w:rPr>
            </w:pPr>
          </w:p>
        </w:tc>
        <w:tc>
          <w:tcPr>
            <w:tcW w:w="1334" w:type="dxa"/>
          </w:tcPr>
          <w:p>
            <w:pPr>
              <w:pStyle w:val="23"/>
              <w:rPr>
                <w:rFonts w:ascii="Times New Roman"/>
                <w:color w:val="auto"/>
                <w:sz w:val="26"/>
              </w:rPr>
            </w:pPr>
          </w:p>
        </w:tc>
        <w:tc>
          <w:tcPr>
            <w:tcW w:w="957" w:type="dxa"/>
          </w:tcPr>
          <w:p>
            <w:pPr>
              <w:pStyle w:val="23"/>
              <w:rPr>
                <w:rFonts w:ascii="Times New Roman"/>
                <w:color w:val="auto"/>
                <w:sz w:val="26"/>
              </w:rPr>
            </w:pPr>
          </w:p>
        </w:tc>
        <w:tc>
          <w:tcPr>
            <w:tcW w:w="1620" w:type="dxa"/>
          </w:tcPr>
          <w:p>
            <w:pPr>
              <w:pStyle w:val="23"/>
              <w:rPr>
                <w:rFonts w:ascii="Times New Roman"/>
                <w:color w:val="auto"/>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770" w:type="dxa"/>
          </w:tcPr>
          <w:p>
            <w:pPr>
              <w:pStyle w:val="23"/>
              <w:rPr>
                <w:rFonts w:ascii="Times New Roman"/>
                <w:color w:val="auto"/>
                <w:sz w:val="26"/>
              </w:rPr>
            </w:pPr>
          </w:p>
        </w:tc>
        <w:tc>
          <w:tcPr>
            <w:tcW w:w="1382" w:type="dxa"/>
          </w:tcPr>
          <w:p>
            <w:pPr>
              <w:pStyle w:val="23"/>
              <w:rPr>
                <w:rFonts w:ascii="Times New Roman"/>
                <w:color w:val="auto"/>
                <w:sz w:val="26"/>
              </w:rPr>
            </w:pPr>
          </w:p>
        </w:tc>
        <w:tc>
          <w:tcPr>
            <w:tcW w:w="811" w:type="dxa"/>
          </w:tcPr>
          <w:p>
            <w:pPr>
              <w:pStyle w:val="23"/>
              <w:rPr>
                <w:rFonts w:ascii="Times New Roman"/>
                <w:color w:val="auto"/>
                <w:sz w:val="26"/>
              </w:rPr>
            </w:pPr>
          </w:p>
        </w:tc>
        <w:tc>
          <w:tcPr>
            <w:tcW w:w="1334" w:type="dxa"/>
          </w:tcPr>
          <w:p>
            <w:pPr>
              <w:pStyle w:val="23"/>
              <w:rPr>
                <w:rFonts w:ascii="Times New Roman"/>
                <w:color w:val="auto"/>
                <w:sz w:val="26"/>
              </w:rPr>
            </w:pPr>
          </w:p>
        </w:tc>
        <w:tc>
          <w:tcPr>
            <w:tcW w:w="957" w:type="dxa"/>
          </w:tcPr>
          <w:p>
            <w:pPr>
              <w:pStyle w:val="23"/>
              <w:rPr>
                <w:rFonts w:ascii="Times New Roman"/>
                <w:color w:val="auto"/>
                <w:sz w:val="26"/>
              </w:rPr>
            </w:pPr>
          </w:p>
        </w:tc>
        <w:tc>
          <w:tcPr>
            <w:tcW w:w="1620" w:type="dxa"/>
          </w:tcPr>
          <w:p>
            <w:pPr>
              <w:pStyle w:val="23"/>
              <w:rPr>
                <w:rFonts w:ascii="Times New Roman"/>
                <w:color w:val="auto"/>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2770" w:type="dxa"/>
          </w:tcPr>
          <w:p>
            <w:pPr>
              <w:pStyle w:val="23"/>
              <w:spacing w:before="3"/>
              <w:rPr>
                <w:b/>
                <w:color w:val="auto"/>
                <w:sz w:val="28"/>
              </w:rPr>
            </w:pPr>
          </w:p>
          <w:p>
            <w:pPr>
              <w:pStyle w:val="23"/>
              <w:ind w:left="94" w:right="85"/>
              <w:jc w:val="center"/>
              <w:rPr>
                <w:color w:val="auto"/>
                <w:sz w:val="24"/>
              </w:rPr>
            </w:pPr>
            <w:r>
              <w:rPr>
                <w:color w:val="auto"/>
                <w:sz w:val="24"/>
              </w:rPr>
              <w:t>合计</w:t>
            </w:r>
          </w:p>
        </w:tc>
        <w:tc>
          <w:tcPr>
            <w:tcW w:w="6104" w:type="dxa"/>
            <w:gridSpan w:val="5"/>
          </w:tcPr>
          <w:p>
            <w:pPr>
              <w:pStyle w:val="23"/>
              <w:rPr>
                <w:rFonts w:ascii="Times New Roman"/>
                <w:color w:val="auto"/>
                <w:sz w:val="26"/>
              </w:rPr>
            </w:pPr>
          </w:p>
        </w:tc>
      </w:tr>
    </w:tbl>
    <w:p>
      <w:pPr>
        <w:spacing w:after="0"/>
        <w:rPr>
          <w:rFonts w:ascii="Times New Roman"/>
          <w:color w:val="auto"/>
          <w:sz w:val="26"/>
        </w:rPr>
        <w:sectPr>
          <w:footerReference r:id="rId41" w:type="default"/>
          <w:pgSz w:w="11910" w:h="16840"/>
          <w:pgMar w:top="1480" w:right="1180" w:bottom="1080" w:left="1200" w:header="0" w:footer="886" w:gutter="0"/>
          <w:cols w:space="720" w:num="1"/>
        </w:sectPr>
      </w:pPr>
    </w:p>
    <w:p>
      <w:pPr>
        <w:spacing w:before="30"/>
        <w:ind w:left="2138" w:right="0" w:firstLine="0"/>
        <w:jc w:val="left"/>
        <w:rPr>
          <w:b/>
          <w:color w:val="auto"/>
          <w:sz w:val="32"/>
        </w:rPr>
      </w:pPr>
      <w:r>
        <w:rPr>
          <w:rFonts w:hint="eastAsia"/>
          <w:b/>
          <w:color w:val="auto"/>
          <w:sz w:val="32"/>
          <w:lang w:val="en-US" w:eastAsia="zh-CN"/>
        </w:rPr>
        <w:t>四</w:t>
      </w:r>
      <w:r>
        <w:rPr>
          <w:b/>
          <w:color w:val="auto"/>
          <w:sz w:val="32"/>
        </w:rPr>
        <w:t>、技术参数响应及偏离表</w:t>
      </w:r>
    </w:p>
    <w:p>
      <w:pPr>
        <w:pStyle w:val="8"/>
        <w:spacing w:before="8" w:after="1"/>
        <w:rPr>
          <w:b/>
          <w:color w:val="auto"/>
          <w:sz w:val="26"/>
        </w:rPr>
      </w:pPr>
    </w:p>
    <w:tbl>
      <w:tblPr>
        <w:tblStyle w:val="1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2852"/>
        <w:gridCol w:w="2854"/>
        <w:gridCol w:w="1309"/>
        <w:gridCol w:w="11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84" w:type="dxa"/>
          </w:tcPr>
          <w:p>
            <w:pPr>
              <w:pStyle w:val="23"/>
              <w:spacing w:before="158"/>
              <w:ind w:left="251"/>
              <w:rPr>
                <w:color w:val="auto"/>
                <w:sz w:val="24"/>
              </w:rPr>
            </w:pPr>
            <w:r>
              <w:rPr>
                <w:color w:val="auto"/>
                <w:sz w:val="24"/>
              </w:rPr>
              <w:t>序号</w:t>
            </w:r>
          </w:p>
        </w:tc>
        <w:tc>
          <w:tcPr>
            <w:tcW w:w="2852" w:type="dxa"/>
          </w:tcPr>
          <w:p>
            <w:pPr>
              <w:pStyle w:val="23"/>
              <w:spacing w:before="158"/>
              <w:ind w:left="945"/>
              <w:rPr>
                <w:color w:val="auto"/>
                <w:sz w:val="24"/>
              </w:rPr>
            </w:pPr>
            <w:r>
              <w:rPr>
                <w:color w:val="auto"/>
                <w:sz w:val="24"/>
              </w:rPr>
              <w:t>招标要求</w:t>
            </w:r>
          </w:p>
        </w:tc>
        <w:tc>
          <w:tcPr>
            <w:tcW w:w="2854" w:type="dxa"/>
          </w:tcPr>
          <w:p>
            <w:pPr>
              <w:pStyle w:val="23"/>
              <w:spacing w:before="158"/>
              <w:ind w:left="945"/>
              <w:rPr>
                <w:color w:val="auto"/>
                <w:sz w:val="24"/>
              </w:rPr>
            </w:pPr>
            <w:r>
              <w:rPr>
                <w:color w:val="auto"/>
                <w:sz w:val="24"/>
              </w:rPr>
              <w:t>投标响应</w:t>
            </w:r>
          </w:p>
        </w:tc>
        <w:tc>
          <w:tcPr>
            <w:tcW w:w="1309" w:type="dxa"/>
          </w:tcPr>
          <w:p>
            <w:pPr>
              <w:pStyle w:val="23"/>
              <w:spacing w:before="2"/>
              <w:ind w:left="86" w:right="83"/>
              <w:jc w:val="center"/>
              <w:rPr>
                <w:color w:val="auto"/>
                <w:sz w:val="24"/>
              </w:rPr>
            </w:pPr>
            <w:r>
              <w:rPr>
                <w:color w:val="auto"/>
                <w:spacing w:val="-22"/>
                <w:sz w:val="24"/>
              </w:rPr>
              <w:t>超出、符合</w:t>
            </w:r>
          </w:p>
          <w:p>
            <w:pPr>
              <w:pStyle w:val="23"/>
              <w:spacing w:before="4" w:line="289" w:lineRule="exact"/>
              <w:ind w:left="83" w:right="83"/>
              <w:jc w:val="center"/>
              <w:rPr>
                <w:color w:val="auto"/>
                <w:sz w:val="24"/>
              </w:rPr>
            </w:pPr>
            <w:r>
              <w:rPr>
                <w:color w:val="auto"/>
                <w:sz w:val="24"/>
              </w:rPr>
              <w:t>或偏离</w:t>
            </w:r>
          </w:p>
        </w:tc>
        <w:tc>
          <w:tcPr>
            <w:tcW w:w="1172" w:type="dxa"/>
          </w:tcPr>
          <w:p>
            <w:pPr>
              <w:pStyle w:val="23"/>
              <w:spacing w:before="2"/>
              <w:ind w:left="222"/>
              <w:rPr>
                <w:color w:val="auto"/>
                <w:sz w:val="24"/>
              </w:rPr>
            </w:pPr>
            <w:r>
              <w:rPr>
                <w:color w:val="auto"/>
                <w:sz w:val="24"/>
              </w:rPr>
              <w:t>证明材</w:t>
            </w:r>
          </w:p>
          <w:p>
            <w:pPr>
              <w:pStyle w:val="23"/>
              <w:spacing w:before="4" w:line="289" w:lineRule="exact"/>
              <w:ind w:left="222"/>
              <w:rPr>
                <w:color w:val="auto"/>
                <w:sz w:val="24"/>
              </w:rPr>
            </w:pPr>
            <w:r>
              <w:rPr>
                <w:color w:val="auto"/>
                <w:sz w:val="24"/>
              </w:rPr>
              <w:t>料页码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984" w:type="dxa"/>
          </w:tcPr>
          <w:p>
            <w:pPr>
              <w:pStyle w:val="23"/>
              <w:rPr>
                <w:rFonts w:ascii="Times New Roman"/>
                <w:color w:val="auto"/>
                <w:sz w:val="24"/>
              </w:rPr>
            </w:pPr>
          </w:p>
        </w:tc>
        <w:tc>
          <w:tcPr>
            <w:tcW w:w="2852" w:type="dxa"/>
          </w:tcPr>
          <w:p>
            <w:pPr>
              <w:pStyle w:val="23"/>
              <w:rPr>
                <w:rFonts w:ascii="Times New Roman"/>
                <w:color w:val="auto"/>
                <w:sz w:val="24"/>
              </w:rPr>
            </w:pPr>
          </w:p>
        </w:tc>
        <w:tc>
          <w:tcPr>
            <w:tcW w:w="2854" w:type="dxa"/>
          </w:tcPr>
          <w:p>
            <w:pPr>
              <w:pStyle w:val="23"/>
              <w:rPr>
                <w:rFonts w:ascii="Times New Roman"/>
                <w:color w:val="auto"/>
                <w:sz w:val="24"/>
              </w:rPr>
            </w:pPr>
          </w:p>
        </w:tc>
        <w:tc>
          <w:tcPr>
            <w:tcW w:w="1309" w:type="dxa"/>
          </w:tcPr>
          <w:p>
            <w:pPr>
              <w:pStyle w:val="23"/>
              <w:rPr>
                <w:rFonts w:ascii="Times New Roman"/>
                <w:color w:val="auto"/>
                <w:sz w:val="24"/>
              </w:rPr>
            </w:pPr>
          </w:p>
        </w:tc>
        <w:tc>
          <w:tcPr>
            <w:tcW w:w="1172" w:type="dxa"/>
          </w:tcPr>
          <w:p>
            <w:pPr>
              <w:pStyle w:val="23"/>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984" w:type="dxa"/>
          </w:tcPr>
          <w:p>
            <w:pPr>
              <w:pStyle w:val="23"/>
              <w:rPr>
                <w:rFonts w:ascii="Times New Roman"/>
                <w:color w:val="auto"/>
                <w:sz w:val="24"/>
              </w:rPr>
            </w:pPr>
          </w:p>
        </w:tc>
        <w:tc>
          <w:tcPr>
            <w:tcW w:w="2852" w:type="dxa"/>
          </w:tcPr>
          <w:p>
            <w:pPr>
              <w:pStyle w:val="23"/>
              <w:rPr>
                <w:rFonts w:ascii="Times New Roman"/>
                <w:color w:val="auto"/>
                <w:sz w:val="24"/>
              </w:rPr>
            </w:pPr>
          </w:p>
        </w:tc>
        <w:tc>
          <w:tcPr>
            <w:tcW w:w="2854" w:type="dxa"/>
          </w:tcPr>
          <w:p>
            <w:pPr>
              <w:pStyle w:val="23"/>
              <w:rPr>
                <w:rFonts w:ascii="Times New Roman"/>
                <w:color w:val="auto"/>
                <w:sz w:val="24"/>
              </w:rPr>
            </w:pPr>
          </w:p>
        </w:tc>
        <w:tc>
          <w:tcPr>
            <w:tcW w:w="1309" w:type="dxa"/>
          </w:tcPr>
          <w:p>
            <w:pPr>
              <w:pStyle w:val="23"/>
              <w:rPr>
                <w:rFonts w:ascii="Times New Roman"/>
                <w:color w:val="auto"/>
                <w:sz w:val="24"/>
              </w:rPr>
            </w:pPr>
          </w:p>
        </w:tc>
        <w:tc>
          <w:tcPr>
            <w:tcW w:w="1172" w:type="dxa"/>
          </w:tcPr>
          <w:p>
            <w:pPr>
              <w:pStyle w:val="23"/>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984" w:type="dxa"/>
          </w:tcPr>
          <w:p>
            <w:pPr>
              <w:pStyle w:val="23"/>
              <w:rPr>
                <w:rFonts w:ascii="Times New Roman"/>
                <w:color w:val="auto"/>
                <w:sz w:val="24"/>
              </w:rPr>
            </w:pPr>
          </w:p>
        </w:tc>
        <w:tc>
          <w:tcPr>
            <w:tcW w:w="2852" w:type="dxa"/>
          </w:tcPr>
          <w:p>
            <w:pPr>
              <w:pStyle w:val="23"/>
              <w:rPr>
                <w:rFonts w:ascii="Times New Roman"/>
                <w:color w:val="auto"/>
                <w:sz w:val="24"/>
              </w:rPr>
            </w:pPr>
          </w:p>
        </w:tc>
        <w:tc>
          <w:tcPr>
            <w:tcW w:w="2854" w:type="dxa"/>
          </w:tcPr>
          <w:p>
            <w:pPr>
              <w:pStyle w:val="23"/>
              <w:rPr>
                <w:rFonts w:ascii="Times New Roman"/>
                <w:color w:val="auto"/>
                <w:sz w:val="24"/>
              </w:rPr>
            </w:pPr>
          </w:p>
        </w:tc>
        <w:tc>
          <w:tcPr>
            <w:tcW w:w="1309" w:type="dxa"/>
          </w:tcPr>
          <w:p>
            <w:pPr>
              <w:pStyle w:val="23"/>
              <w:rPr>
                <w:rFonts w:ascii="Times New Roman"/>
                <w:color w:val="auto"/>
                <w:sz w:val="24"/>
              </w:rPr>
            </w:pPr>
          </w:p>
        </w:tc>
        <w:tc>
          <w:tcPr>
            <w:tcW w:w="1172" w:type="dxa"/>
          </w:tcPr>
          <w:p>
            <w:pPr>
              <w:pStyle w:val="23"/>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984" w:type="dxa"/>
          </w:tcPr>
          <w:p>
            <w:pPr>
              <w:pStyle w:val="23"/>
              <w:rPr>
                <w:rFonts w:ascii="Times New Roman"/>
                <w:color w:val="auto"/>
                <w:sz w:val="24"/>
              </w:rPr>
            </w:pPr>
          </w:p>
        </w:tc>
        <w:tc>
          <w:tcPr>
            <w:tcW w:w="2852" w:type="dxa"/>
          </w:tcPr>
          <w:p>
            <w:pPr>
              <w:pStyle w:val="23"/>
              <w:rPr>
                <w:rFonts w:ascii="Times New Roman"/>
                <w:color w:val="auto"/>
                <w:sz w:val="24"/>
              </w:rPr>
            </w:pPr>
          </w:p>
        </w:tc>
        <w:tc>
          <w:tcPr>
            <w:tcW w:w="2854" w:type="dxa"/>
          </w:tcPr>
          <w:p>
            <w:pPr>
              <w:pStyle w:val="23"/>
              <w:rPr>
                <w:rFonts w:ascii="Times New Roman"/>
                <w:color w:val="auto"/>
                <w:sz w:val="24"/>
              </w:rPr>
            </w:pPr>
          </w:p>
        </w:tc>
        <w:tc>
          <w:tcPr>
            <w:tcW w:w="1309" w:type="dxa"/>
          </w:tcPr>
          <w:p>
            <w:pPr>
              <w:pStyle w:val="23"/>
              <w:rPr>
                <w:rFonts w:ascii="Times New Roman"/>
                <w:color w:val="auto"/>
                <w:sz w:val="24"/>
              </w:rPr>
            </w:pPr>
          </w:p>
        </w:tc>
        <w:tc>
          <w:tcPr>
            <w:tcW w:w="1172" w:type="dxa"/>
          </w:tcPr>
          <w:p>
            <w:pPr>
              <w:pStyle w:val="23"/>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984" w:type="dxa"/>
          </w:tcPr>
          <w:p>
            <w:pPr>
              <w:pStyle w:val="23"/>
              <w:rPr>
                <w:rFonts w:ascii="Times New Roman"/>
                <w:color w:val="auto"/>
                <w:sz w:val="24"/>
              </w:rPr>
            </w:pPr>
          </w:p>
        </w:tc>
        <w:tc>
          <w:tcPr>
            <w:tcW w:w="2852" w:type="dxa"/>
          </w:tcPr>
          <w:p>
            <w:pPr>
              <w:pStyle w:val="23"/>
              <w:rPr>
                <w:rFonts w:ascii="Times New Roman"/>
                <w:color w:val="auto"/>
                <w:sz w:val="24"/>
              </w:rPr>
            </w:pPr>
          </w:p>
        </w:tc>
        <w:tc>
          <w:tcPr>
            <w:tcW w:w="2854" w:type="dxa"/>
          </w:tcPr>
          <w:p>
            <w:pPr>
              <w:pStyle w:val="23"/>
              <w:rPr>
                <w:rFonts w:ascii="Times New Roman"/>
                <w:color w:val="auto"/>
                <w:sz w:val="24"/>
              </w:rPr>
            </w:pPr>
          </w:p>
        </w:tc>
        <w:tc>
          <w:tcPr>
            <w:tcW w:w="1309" w:type="dxa"/>
          </w:tcPr>
          <w:p>
            <w:pPr>
              <w:pStyle w:val="23"/>
              <w:rPr>
                <w:rFonts w:ascii="Times New Roman"/>
                <w:color w:val="auto"/>
                <w:sz w:val="24"/>
              </w:rPr>
            </w:pPr>
          </w:p>
        </w:tc>
        <w:tc>
          <w:tcPr>
            <w:tcW w:w="1172" w:type="dxa"/>
          </w:tcPr>
          <w:p>
            <w:pPr>
              <w:pStyle w:val="23"/>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984" w:type="dxa"/>
          </w:tcPr>
          <w:p>
            <w:pPr>
              <w:pStyle w:val="23"/>
              <w:rPr>
                <w:rFonts w:ascii="Times New Roman"/>
                <w:color w:val="auto"/>
                <w:sz w:val="24"/>
              </w:rPr>
            </w:pPr>
          </w:p>
        </w:tc>
        <w:tc>
          <w:tcPr>
            <w:tcW w:w="2852" w:type="dxa"/>
          </w:tcPr>
          <w:p>
            <w:pPr>
              <w:pStyle w:val="23"/>
              <w:rPr>
                <w:rFonts w:ascii="Times New Roman"/>
                <w:color w:val="auto"/>
                <w:sz w:val="24"/>
              </w:rPr>
            </w:pPr>
          </w:p>
        </w:tc>
        <w:tc>
          <w:tcPr>
            <w:tcW w:w="2854" w:type="dxa"/>
          </w:tcPr>
          <w:p>
            <w:pPr>
              <w:pStyle w:val="23"/>
              <w:rPr>
                <w:rFonts w:ascii="Times New Roman"/>
                <w:color w:val="auto"/>
                <w:sz w:val="24"/>
              </w:rPr>
            </w:pPr>
          </w:p>
        </w:tc>
        <w:tc>
          <w:tcPr>
            <w:tcW w:w="1309" w:type="dxa"/>
          </w:tcPr>
          <w:p>
            <w:pPr>
              <w:pStyle w:val="23"/>
              <w:rPr>
                <w:rFonts w:ascii="Times New Roman"/>
                <w:color w:val="auto"/>
                <w:sz w:val="24"/>
              </w:rPr>
            </w:pPr>
          </w:p>
        </w:tc>
        <w:tc>
          <w:tcPr>
            <w:tcW w:w="1172" w:type="dxa"/>
          </w:tcPr>
          <w:p>
            <w:pPr>
              <w:pStyle w:val="23"/>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984" w:type="dxa"/>
          </w:tcPr>
          <w:p>
            <w:pPr>
              <w:pStyle w:val="23"/>
              <w:rPr>
                <w:rFonts w:ascii="Times New Roman"/>
                <w:color w:val="auto"/>
                <w:sz w:val="24"/>
              </w:rPr>
            </w:pPr>
          </w:p>
        </w:tc>
        <w:tc>
          <w:tcPr>
            <w:tcW w:w="2852" w:type="dxa"/>
          </w:tcPr>
          <w:p>
            <w:pPr>
              <w:pStyle w:val="23"/>
              <w:rPr>
                <w:rFonts w:ascii="Times New Roman"/>
                <w:color w:val="auto"/>
                <w:sz w:val="24"/>
              </w:rPr>
            </w:pPr>
          </w:p>
        </w:tc>
        <w:tc>
          <w:tcPr>
            <w:tcW w:w="2854" w:type="dxa"/>
          </w:tcPr>
          <w:p>
            <w:pPr>
              <w:pStyle w:val="23"/>
              <w:rPr>
                <w:rFonts w:ascii="Times New Roman"/>
                <w:color w:val="auto"/>
                <w:sz w:val="24"/>
              </w:rPr>
            </w:pPr>
          </w:p>
        </w:tc>
        <w:tc>
          <w:tcPr>
            <w:tcW w:w="1309" w:type="dxa"/>
          </w:tcPr>
          <w:p>
            <w:pPr>
              <w:pStyle w:val="23"/>
              <w:rPr>
                <w:rFonts w:ascii="Times New Roman"/>
                <w:color w:val="auto"/>
                <w:sz w:val="24"/>
              </w:rPr>
            </w:pPr>
          </w:p>
        </w:tc>
        <w:tc>
          <w:tcPr>
            <w:tcW w:w="1172" w:type="dxa"/>
          </w:tcPr>
          <w:p>
            <w:pPr>
              <w:pStyle w:val="23"/>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984" w:type="dxa"/>
          </w:tcPr>
          <w:p>
            <w:pPr>
              <w:pStyle w:val="23"/>
              <w:rPr>
                <w:rFonts w:ascii="Times New Roman"/>
                <w:color w:val="auto"/>
                <w:sz w:val="24"/>
              </w:rPr>
            </w:pPr>
          </w:p>
        </w:tc>
        <w:tc>
          <w:tcPr>
            <w:tcW w:w="2852" w:type="dxa"/>
          </w:tcPr>
          <w:p>
            <w:pPr>
              <w:pStyle w:val="23"/>
              <w:rPr>
                <w:rFonts w:ascii="Times New Roman"/>
                <w:color w:val="auto"/>
                <w:sz w:val="24"/>
              </w:rPr>
            </w:pPr>
          </w:p>
        </w:tc>
        <w:tc>
          <w:tcPr>
            <w:tcW w:w="2854" w:type="dxa"/>
          </w:tcPr>
          <w:p>
            <w:pPr>
              <w:pStyle w:val="23"/>
              <w:rPr>
                <w:rFonts w:ascii="Times New Roman"/>
                <w:color w:val="auto"/>
                <w:sz w:val="24"/>
              </w:rPr>
            </w:pPr>
          </w:p>
        </w:tc>
        <w:tc>
          <w:tcPr>
            <w:tcW w:w="1309" w:type="dxa"/>
          </w:tcPr>
          <w:p>
            <w:pPr>
              <w:pStyle w:val="23"/>
              <w:rPr>
                <w:rFonts w:ascii="Times New Roman"/>
                <w:color w:val="auto"/>
                <w:sz w:val="24"/>
              </w:rPr>
            </w:pPr>
          </w:p>
        </w:tc>
        <w:tc>
          <w:tcPr>
            <w:tcW w:w="1172" w:type="dxa"/>
          </w:tcPr>
          <w:p>
            <w:pPr>
              <w:pStyle w:val="23"/>
              <w:rPr>
                <w:rFonts w:ascii="Times New Roman"/>
                <w:color w:val="auto"/>
                <w:sz w:val="24"/>
              </w:rPr>
            </w:pPr>
          </w:p>
        </w:tc>
      </w:tr>
    </w:tbl>
    <w:p>
      <w:pPr>
        <w:pStyle w:val="6"/>
        <w:spacing w:before="140"/>
        <w:ind w:left="203" w:right="5329"/>
        <w:jc w:val="center"/>
        <w:rPr>
          <w:color w:val="auto"/>
        </w:rPr>
      </w:pPr>
      <w:r>
        <w:rPr>
          <w:color w:val="auto"/>
          <w:spacing w:val="-1"/>
        </w:rPr>
        <w:t>注：</w:t>
      </w:r>
      <w:r>
        <w:rPr>
          <w:color w:val="auto"/>
        </w:rPr>
        <w:t>1、按照基本技术要求详细填列。</w:t>
      </w:r>
    </w:p>
    <w:p>
      <w:pPr>
        <w:pStyle w:val="8"/>
        <w:spacing w:before="5"/>
        <w:rPr>
          <w:color w:val="auto"/>
        </w:rPr>
      </w:pPr>
    </w:p>
    <w:p>
      <w:pPr>
        <w:pStyle w:val="6"/>
        <w:ind w:left="203" w:right="5329"/>
        <w:jc w:val="center"/>
        <w:rPr>
          <w:color w:val="auto"/>
        </w:rPr>
      </w:pPr>
      <w:r>
        <w:rPr>
          <w:color w:val="auto"/>
        </w:rPr>
        <w:t>2、行数不够，可自行添加。</w:t>
      </w:r>
    </w:p>
    <w:p>
      <w:pPr>
        <w:spacing w:after="0"/>
        <w:jc w:val="center"/>
        <w:rPr>
          <w:color w:val="auto"/>
        </w:rPr>
        <w:sectPr>
          <w:footerReference r:id="rId42" w:type="default"/>
          <w:pgSz w:w="11910" w:h="16840"/>
          <w:pgMar w:top="1480" w:right="1180" w:bottom="1080" w:left="1200" w:header="0" w:footer="886" w:gutter="0"/>
          <w:cols w:space="720" w:num="1"/>
        </w:sectPr>
      </w:pPr>
    </w:p>
    <w:p>
      <w:pPr>
        <w:spacing w:before="30"/>
        <w:ind w:left="3418" w:right="0" w:firstLine="0"/>
        <w:jc w:val="left"/>
        <w:rPr>
          <w:b/>
          <w:color w:val="auto"/>
          <w:sz w:val="32"/>
        </w:rPr>
      </w:pPr>
      <w:r>
        <w:rPr>
          <w:rFonts w:hint="eastAsia"/>
          <w:b/>
          <w:color w:val="auto"/>
          <w:sz w:val="32"/>
          <w:lang w:val="en-US" w:eastAsia="zh-CN"/>
        </w:rPr>
        <w:t>五</w:t>
      </w:r>
      <w:r>
        <w:rPr>
          <w:b/>
          <w:color w:val="auto"/>
          <w:sz w:val="32"/>
        </w:rPr>
        <w:t>、商务条款响应及偏离表</w:t>
      </w:r>
    </w:p>
    <w:p>
      <w:pPr>
        <w:pStyle w:val="8"/>
        <w:spacing w:before="8" w:after="1"/>
        <w:rPr>
          <w:b/>
          <w:color w:val="auto"/>
          <w:sz w:val="26"/>
        </w:rPr>
      </w:pPr>
    </w:p>
    <w:tbl>
      <w:tblPr>
        <w:tblStyle w:val="12"/>
        <w:tblW w:w="0" w:type="auto"/>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9"/>
        <w:gridCol w:w="2501"/>
        <w:gridCol w:w="1836"/>
        <w:gridCol w:w="29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639" w:type="dxa"/>
          </w:tcPr>
          <w:p>
            <w:pPr>
              <w:pStyle w:val="23"/>
              <w:spacing w:before="146"/>
              <w:ind w:left="318" w:right="311"/>
              <w:jc w:val="center"/>
              <w:rPr>
                <w:color w:val="auto"/>
                <w:sz w:val="24"/>
              </w:rPr>
            </w:pPr>
            <w:r>
              <w:rPr>
                <w:color w:val="auto"/>
                <w:sz w:val="24"/>
              </w:rPr>
              <w:t>项目</w:t>
            </w:r>
          </w:p>
        </w:tc>
        <w:tc>
          <w:tcPr>
            <w:tcW w:w="2501" w:type="dxa"/>
          </w:tcPr>
          <w:p>
            <w:pPr>
              <w:pStyle w:val="23"/>
              <w:spacing w:before="146"/>
              <w:ind w:left="507" w:right="503"/>
              <w:jc w:val="center"/>
              <w:rPr>
                <w:color w:val="auto"/>
                <w:sz w:val="24"/>
              </w:rPr>
            </w:pPr>
            <w:r>
              <w:rPr>
                <w:color w:val="auto"/>
                <w:sz w:val="24"/>
              </w:rPr>
              <w:t>招标文件要求</w:t>
            </w:r>
          </w:p>
        </w:tc>
        <w:tc>
          <w:tcPr>
            <w:tcW w:w="1836" w:type="dxa"/>
          </w:tcPr>
          <w:p>
            <w:pPr>
              <w:pStyle w:val="23"/>
              <w:spacing w:before="146"/>
              <w:ind w:left="437"/>
              <w:rPr>
                <w:color w:val="auto"/>
                <w:sz w:val="24"/>
              </w:rPr>
            </w:pPr>
            <w:r>
              <w:rPr>
                <w:color w:val="auto"/>
                <w:sz w:val="24"/>
              </w:rPr>
              <w:t>是否响应</w:t>
            </w:r>
          </w:p>
        </w:tc>
        <w:tc>
          <w:tcPr>
            <w:tcW w:w="2983" w:type="dxa"/>
          </w:tcPr>
          <w:p>
            <w:pPr>
              <w:pStyle w:val="23"/>
              <w:spacing w:before="146"/>
              <w:ind w:left="411"/>
              <w:rPr>
                <w:color w:val="auto"/>
                <w:sz w:val="24"/>
              </w:rPr>
            </w:pPr>
            <w:r>
              <w:rPr>
                <w:color w:val="auto"/>
                <w:sz w:val="24"/>
              </w:rPr>
              <w:t>投标人的承诺或说明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39" w:type="dxa"/>
          </w:tcPr>
          <w:p>
            <w:pPr>
              <w:pStyle w:val="23"/>
              <w:spacing w:before="146" w:line="301" w:lineRule="exact"/>
              <w:ind w:left="318" w:right="311"/>
              <w:jc w:val="center"/>
              <w:rPr>
                <w:color w:val="auto"/>
                <w:sz w:val="24"/>
              </w:rPr>
            </w:pPr>
            <w:r>
              <w:rPr>
                <w:color w:val="auto"/>
                <w:sz w:val="24"/>
              </w:rPr>
              <w:t>质保期</w:t>
            </w:r>
          </w:p>
        </w:tc>
        <w:tc>
          <w:tcPr>
            <w:tcW w:w="2501" w:type="dxa"/>
          </w:tcPr>
          <w:p>
            <w:pPr>
              <w:pStyle w:val="23"/>
              <w:rPr>
                <w:rFonts w:ascii="Times New Roman"/>
                <w:color w:val="auto"/>
                <w:sz w:val="24"/>
              </w:rPr>
            </w:pPr>
          </w:p>
        </w:tc>
        <w:tc>
          <w:tcPr>
            <w:tcW w:w="1836" w:type="dxa"/>
          </w:tcPr>
          <w:p>
            <w:pPr>
              <w:pStyle w:val="23"/>
              <w:rPr>
                <w:rFonts w:ascii="Times New Roman"/>
                <w:color w:val="auto"/>
                <w:sz w:val="24"/>
              </w:rPr>
            </w:pPr>
          </w:p>
        </w:tc>
        <w:tc>
          <w:tcPr>
            <w:tcW w:w="2983" w:type="dxa"/>
          </w:tcPr>
          <w:p>
            <w:pPr>
              <w:pStyle w:val="23"/>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1639" w:type="dxa"/>
          </w:tcPr>
          <w:p>
            <w:pPr>
              <w:pStyle w:val="23"/>
              <w:spacing w:before="130" w:line="310" w:lineRule="atLeast"/>
              <w:ind w:left="458" w:right="208" w:hanging="240"/>
              <w:rPr>
                <w:color w:val="auto"/>
                <w:sz w:val="24"/>
              </w:rPr>
            </w:pPr>
            <w:r>
              <w:rPr>
                <w:color w:val="auto"/>
                <w:spacing w:val="-1"/>
                <w:sz w:val="24"/>
              </w:rPr>
              <w:t>售后技术服</w:t>
            </w:r>
            <w:r>
              <w:rPr>
                <w:color w:val="auto"/>
                <w:sz w:val="24"/>
              </w:rPr>
              <w:t>务要求</w:t>
            </w:r>
          </w:p>
        </w:tc>
        <w:tc>
          <w:tcPr>
            <w:tcW w:w="2501" w:type="dxa"/>
          </w:tcPr>
          <w:p>
            <w:pPr>
              <w:pStyle w:val="23"/>
              <w:rPr>
                <w:rFonts w:ascii="Times New Roman"/>
                <w:color w:val="auto"/>
                <w:sz w:val="24"/>
              </w:rPr>
            </w:pPr>
          </w:p>
        </w:tc>
        <w:tc>
          <w:tcPr>
            <w:tcW w:w="1836" w:type="dxa"/>
          </w:tcPr>
          <w:p>
            <w:pPr>
              <w:pStyle w:val="23"/>
              <w:rPr>
                <w:rFonts w:ascii="Times New Roman"/>
                <w:color w:val="auto"/>
                <w:sz w:val="24"/>
              </w:rPr>
            </w:pPr>
          </w:p>
        </w:tc>
        <w:tc>
          <w:tcPr>
            <w:tcW w:w="2983" w:type="dxa"/>
          </w:tcPr>
          <w:p>
            <w:pPr>
              <w:pStyle w:val="23"/>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639" w:type="dxa"/>
          </w:tcPr>
          <w:p>
            <w:pPr>
              <w:pStyle w:val="23"/>
              <w:spacing w:before="146"/>
              <w:ind w:left="318" w:right="311"/>
              <w:jc w:val="center"/>
              <w:rPr>
                <w:color w:val="auto"/>
                <w:sz w:val="24"/>
              </w:rPr>
            </w:pPr>
            <w:r>
              <w:rPr>
                <w:color w:val="auto"/>
                <w:sz w:val="24"/>
              </w:rPr>
              <w:t>交付时间</w:t>
            </w:r>
          </w:p>
        </w:tc>
        <w:tc>
          <w:tcPr>
            <w:tcW w:w="2501" w:type="dxa"/>
          </w:tcPr>
          <w:p>
            <w:pPr>
              <w:pStyle w:val="23"/>
              <w:rPr>
                <w:rFonts w:ascii="Times New Roman"/>
                <w:color w:val="auto"/>
                <w:sz w:val="24"/>
              </w:rPr>
            </w:pPr>
          </w:p>
        </w:tc>
        <w:tc>
          <w:tcPr>
            <w:tcW w:w="1836" w:type="dxa"/>
          </w:tcPr>
          <w:p>
            <w:pPr>
              <w:pStyle w:val="23"/>
              <w:rPr>
                <w:rFonts w:ascii="Times New Roman"/>
                <w:color w:val="auto"/>
                <w:sz w:val="24"/>
              </w:rPr>
            </w:pPr>
          </w:p>
        </w:tc>
        <w:tc>
          <w:tcPr>
            <w:tcW w:w="2983" w:type="dxa"/>
          </w:tcPr>
          <w:p>
            <w:pPr>
              <w:pStyle w:val="23"/>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639" w:type="dxa"/>
          </w:tcPr>
          <w:p>
            <w:pPr>
              <w:pStyle w:val="23"/>
              <w:spacing w:before="146" w:line="292" w:lineRule="exact"/>
              <w:ind w:left="318" w:right="311"/>
              <w:jc w:val="center"/>
              <w:rPr>
                <w:color w:val="auto"/>
                <w:sz w:val="24"/>
              </w:rPr>
            </w:pPr>
            <w:r>
              <w:rPr>
                <w:color w:val="auto"/>
                <w:sz w:val="24"/>
              </w:rPr>
              <w:t>交货方式</w:t>
            </w:r>
          </w:p>
        </w:tc>
        <w:tc>
          <w:tcPr>
            <w:tcW w:w="2501" w:type="dxa"/>
          </w:tcPr>
          <w:p>
            <w:pPr>
              <w:pStyle w:val="23"/>
              <w:rPr>
                <w:rFonts w:ascii="Times New Roman"/>
                <w:color w:val="auto"/>
                <w:sz w:val="24"/>
              </w:rPr>
            </w:pPr>
          </w:p>
        </w:tc>
        <w:tc>
          <w:tcPr>
            <w:tcW w:w="1836" w:type="dxa"/>
          </w:tcPr>
          <w:p>
            <w:pPr>
              <w:pStyle w:val="23"/>
              <w:rPr>
                <w:rFonts w:ascii="Times New Roman"/>
                <w:color w:val="auto"/>
                <w:sz w:val="24"/>
              </w:rPr>
            </w:pPr>
          </w:p>
        </w:tc>
        <w:tc>
          <w:tcPr>
            <w:tcW w:w="2983" w:type="dxa"/>
          </w:tcPr>
          <w:p>
            <w:pPr>
              <w:pStyle w:val="23"/>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639" w:type="dxa"/>
          </w:tcPr>
          <w:p>
            <w:pPr>
              <w:pStyle w:val="23"/>
              <w:spacing w:before="147" w:line="292" w:lineRule="exact"/>
              <w:ind w:left="318" w:right="311"/>
              <w:jc w:val="center"/>
              <w:rPr>
                <w:color w:val="auto"/>
                <w:sz w:val="24"/>
              </w:rPr>
            </w:pPr>
            <w:r>
              <w:rPr>
                <w:color w:val="auto"/>
                <w:sz w:val="24"/>
              </w:rPr>
              <w:t>交货地点</w:t>
            </w:r>
          </w:p>
        </w:tc>
        <w:tc>
          <w:tcPr>
            <w:tcW w:w="2501" w:type="dxa"/>
          </w:tcPr>
          <w:p>
            <w:pPr>
              <w:pStyle w:val="23"/>
              <w:rPr>
                <w:rFonts w:ascii="Times New Roman"/>
                <w:color w:val="auto"/>
                <w:sz w:val="24"/>
              </w:rPr>
            </w:pPr>
          </w:p>
        </w:tc>
        <w:tc>
          <w:tcPr>
            <w:tcW w:w="1836" w:type="dxa"/>
          </w:tcPr>
          <w:p>
            <w:pPr>
              <w:pStyle w:val="23"/>
              <w:rPr>
                <w:rFonts w:ascii="Times New Roman"/>
                <w:color w:val="auto"/>
                <w:sz w:val="24"/>
              </w:rPr>
            </w:pPr>
          </w:p>
        </w:tc>
        <w:tc>
          <w:tcPr>
            <w:tcW w:w="2983" w:type="dxa"/>
          </w:tcPr>
          <w:p>
            <w:pPr>
              <w:pStyle w:val="23"/>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639" w:type="dxa"/>
          </w:tcPr>
          <w:p>
            <w:pPr>
              <w:pStyle w:val="23"/>
              <w:spacing w:before="148" w:line="289" w:lineRule="exact"/>
              <w:ind w:left="318" w:right="311"/>
              <w:jc w:val="center"/>
              <w:rPr>
                <w:color w:val="auto"/>
                <w:sz w:val="24"/>
              </w:rPr>
            </w:pPr>
            <w:r>
              <w:rPr>
                <w:color w:val="auto"/>
                <w:sz w:val="24"/>
              </w:rPr>
              <w:t>付款方式</w:t>
            </w:r>
          </w:p>
        </w:tc>
        <w:tc>
          <w:tcPr>
            <w:tcW w:w="2501" w:type="dxa"/>
          </w:tcPr>
          <w:p>
            <w:pPr>
              <w:pStyle w:val="23"/>
              <w:rPr>
                <w:rFonts w:ascii="Times New Roman"/>
                <w:color w:val="auto"/>
                <w:sz w:val="24"/>
              </w:rPr>
            </w:pPr>
          </w:p>
        </w:tc>
        <w:tc>
          <w:tcPr>
            <w:tcW w:w="1836" w:type="dxa"/>
          </w:tcPr>
          <w:p>
            <w:pPr>
              <w:pStyle w:val="23"/>
              <w:rPr>
                <w:rFonts w:ascii="Times New Roman"/>
                <w:color w:val="auto"/>
                <w:sz w:val="24"/>
              </w:rPr>
            </w:pPr>
          </w:p>
        </w:tc>
        <w:tc>
          <w:tcPr>
            <w:tcW w:w="2983" w:type="dxa"/>
          </w:tcPr>
          <w:p>
            <w:pPr>
              <w:pStyle w:val="23"/>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639" w:type="dxa"/>
          </w:tcPr>
          <w:p>
            <w:pPr>
              <w:pStyle w:val="23"/>
              <w:spacing w:before="146" w:line="292" w:lineRule="exact"/>
              <w:ind w:left="318" w:right="311"/>
              <w:jc w:val="center"/>
              <w:rPr>
                <w:color w:val="auto"/>
                <w:sz w:val="24"/>
              </w:rPr>
            </w:pPr>
            <w:r>
              <w:rPr>
                <w:color w:val="auto"/>
                <w:sz w:val="24"/>
              </w:rPr>
              <w:t>培训要求</w:t>
            </w:r>
          </w:p>
        </w:tc>
        <w:tc>
          <w:tcPr>
            <w:tcW w:w="2501" w:type="dxa"/>
          </w:tcPr>
          <w:p>
            <w:pPr>
              <w:pStyle w:val="23"/>
              <w:rPr>
                <w:rFonts w:ascii="Times New Roman"/>
                <w:color w:val="auto"/>
                <w:sz w:val="24"/>
              </w:rPr>
            </w:pPr>
          </w:p>
        </w:tc>
        <w:tc>
          <w:tcPr>
            <w:tcW w:w="1836" w:type="dxa"/>
          </w:tcPr>
          <w:p>
            <w:pPr>
              <w:pStyle w:val="23"/>
              <w:rPr>
                <w:rFonts w:ascii="Times New Roman"/>
                <w:color w:val="auto"/>
                <w:sz w:val="24"/>
              </w:rPr>
            </w:pPr>
          </w:p>
        </w:tc>
        <w:tc>
          <w:tcPr>
            <w:tcW w:w="2983" w:type="dxa"/>
          </w:tcPr>
          <w:p>
            <w:pPr>
              <w:pStyle w:val="23"/>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639" w:type="dxa"/>
          </w:tcPr>
          <w:p>
            <w:pPr>
              <w:pStyle w:val="23"/>
              <w:spacing w:before="127" w:line="310" w:lineRule="atLeast"/>
              <w:ind w:left="218" w:right="208"/>
              <w:rPr>
                <w:color w:val="auto"/>
                <w:sz w:val="24"/>
              </w:rPr>
            </w:pPr>
            <w:r>
              <w:rPr>
                <w:color w:val="auto"/>
                <w:spacing w:val="-1"/>
                <w:sz w:val="24"/>
              </w:rPr>
              <w:t>备品备件及耗材等要求</w:t>
            </w:r>
          </w:p>
        </w:tc>
        <w:tc>
          <w:tcPr>
            <w:tcW w:w="2501" w:type="dxa"/>
          </w:tcPr>
          <w:p>
            <w:pPr>
              <w:pStyle w:val="23"/>
              <w:rPr>
                <w:rFonts w:ascii="Times New Roman"/>
                <w:color w:val="auto"/>
                <w:sz w:val="24"/>
              </w:rPr>
            </w:pPr>
          </w:p>
        </w:tc>
        <w:tc>
          <w:tcPr>
            <w:tcW w:w="1836" w:type="dxa"/>
          </w:tcPr>
          <w:p>
            <w:pPr>
              <w:pStyle w:val="23"/>
              <w:rPr>
                <w:rFonts w:ascii="Times New Roman"/>
                <w:color w:val="auto"/>
                <w:sz w:val="24"/>
              </w:rPr>
            </w:pPr>
          </w:p>
        </w:tc>
        <w:tc>
          <w:tcPr>
            <w:tcW w:w="2983" w:type="dxa"/>
          </w:tcPr>
          <w:p>
            <w:pPr>
              <w:pStyle w:val="23"/>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639" w:type="dxa"/>
          </w:tcPr>
          <w:p>
            <w:pPr>
              <w:pStyle w:val="23"/>
              <w:spacing w:before="146" w:line="292" w:lineRule="exact"/>
              <w:ind w:left="318" w:right="311"/>
              <w:jc w:val="center"/>
              <w:rPr>
                <w:color w:val="auto"/>
                <w:sz w:val="24"/>
              </w:rPr>
            </w:pPr>
            <w:r>
              <w:rPr>
                <w:color w:val="auto"/>
                <w:sz w:val="24"/>
              </w:rPr>
              <w:t>其他</w:t>
            </w:r>
          </w:p>
        </w:tc>
        <w:tc>
          <w:tcPr>
            <w:tcW w:w="2501" w:type="dxa"/>
          </w:tcPr>
          <w:p>
            <w:pPr>
              <w:pStyle w:val="23"/>
              <w:spacing w:before="146" w:line="292" w:lineRule="exact"/>
              <w:ind w:left="507" w:right="501"/>
              <w:jc w:val="center"/>
              <w:rPr>
                <w:color w:val="auto"/>
                <w:sz w:val="24"/>
              </w:rPr>
            </w:pPr>
            <w:r>
              <w:rPr>
                <w:color w:val="auto"/>
                <w:sz w:val="24"/>
              </w:rPr>
              <w:t>……</w:t>
            </w:r>
          </w:p>
        </w:tc>
        <w:tc>
          <w:tcPr>
            <w:tcW w:w="1836" w:type="dxa"/>
          </w:tcPr>
          <w:p>
            <w:pPr>
              <w:pStyle w:val="23"/>
              <w:rPr>
                <w:rFonts w:ascii="Times New Roman"/>
                <w:color w:val="auto"/>
                <w:sz w:val="24"/>
              </w:rPr>
            </w:pPr>
          </w:p>
        </w:tc>
        <w:tc>
          <w:tcPr>
            <w:tcW w:w="2983" w:type="dxa"/>
          </w:tcPr>
          <w:p>
            <w:pPr>
              <w:pStyle w:val="23"/>
              <w:rPr>
                <w:rFonts w:ascii="Times New Roman"/>
                <w:color w:val="auto"/>
                <w:sz w:val="24"/>
              </w:rPr>
            </w:pPr>
          </w:p>
        </w:tc>
      </w:tr>
    </w:tbl>
    <w:p>
      <w:pPr>
        <w:pStyle w:val="8"/>
        <w:rPr>
          <w:b/>
          <w:color w:val="auto"/>
          <w:sz w:val="20"/>
        </w:rPr>
      </w:pPr>
    </w:p>
    <w:p>
      <w:pPr>
        <w:pStyle w:val="8"/>
        <w:rPr>
          <w:b/>
          <w:color w:val="auto"/>
          <w:sz w:val="20"/>
        </w:rPr>
      </w:pPr>
    </w:p>
    <w:p>
      <w:pPr>
        <w:pStyle w:val="8"/>
        <w:rPr>
          <w:b/>
          <w:color w:val="auto"/>
          <w:sz w:val="20"/>
        </w:rPr>
      </w:pPr>
    </w:p>
    <w:p>
      <w:pPr>
        <w:pStyle w:val="8"/>
        <w:rPr>
          <w:b/>
          <w:color w:val="auto"/>
          <w:sz w:val="20"/>
        </w:rPr>
      </w:pPr>
    </w:p>
    <w:p>
      <w:pPr>
        <w:pStyle w:val="8"/>
        <w:rPr>
          <w:b/>
          <w:color w:val="auto"/>
          <w:sz w:val="20"/>
        </w:rPr>
      </w:pPr>
    </w:p>
    <w:p>
      <w:pPr>
        <w:pStyle w:val="8"/>
        <w:rPr>
          <w:b/>
          <w:color w:val="auto"/>
          <w:sz w:val="20"/>
        </w:rPr>
      </w:pPr>
    </w:p>
    <w:p>
      <w:pPr>
        <w:pStyle w:val="8"/>
        <w:rPr>
          <w:b/>
          <w:color w:val="auto"/>
          <w:sz w:val="20"/>
        </w:rPr>
      </w:pPr>
    </w:p>
    <w:p>
      <w:pPr>
        <w:pStyle w:val="8"/>
        <w:rPr>
          <w:b/>
          <w:color w:val="auto"/>
          <w:sz w:val="20"/>
        </w:rPr>
      </w:pPr>
    </w:p>
    <w:p>
      <w:pPr>
        <w:pStyle w:val="8"/>
        <w:rPr>
          <w:b/>
          <w:color w:val="auto"/>
          <w:sz w:val="20"/>
        </w:rPr>
      </w:pPr>
    </w:p>
    <w:p>
      <w:pPr>
        <w:pStyle w:val="8"/>
        <w:rPr>
          <w:b/>
          <w:color w:val="auto"/>
          <w:sz w:val="20"/>
        </w:rPr>
      </w:pPr>
    </w:p>
    <w:p>
      <w:pPr>
        <w:pStyle w:val="8"/>
        <w:rPr>
          <w:b/>
          <w:color w:val="auto"/>
          <w:sz w:val="20"/>
        </w:rPr>
      </w:pPr>
    </w:p>
    <w:p>
      <w:pPr>
        <w:pStyle w:val="8"/>
        <w:rPr>
          <w:b/>
          <w:color w:val="auto"/>
          <w:sz w:val="20"/>
        </w:rPr>
      </w:pPr>
    </w:p>
    <w:p>
      <w:pPr>
        <w:pStyle w:val="8"/>
        <w:rPr>
          <w:b/>
          <w:color w:val="auto"/>
          <w:sz w:val="20"/>
        </w:rPr>
      </w:pPr>
    </w:p>
    <w:p>
      <w:pPr>
        <w:pStyle w:val="8"/>
        <w:spacing w:before="5"/>
        <w:rPr>
          <w:b/>
          <w:color w:val="auto"/>
          <w:sz w:val="17"/>
        </w:rPr>
      </w:pPr>
    </w:p>
    <w:p>
      <w:pPr>
        <w:spacing w:before="67"/>
        <w:ind w:left="218" w:right="0" w:firstLine="0"/>
        <w:jc w:val="left"/>
        <w:rPr>
          <w:color w:val="auto"/>
          <w:sz w:val="24"/>
        </w:rPr>
      </w:pPr>
      <w:r>
        <w:rPr>
          <w:color w:val="auto"/>
          <w:sz w:val="24"/>
        </w:rPr>
        <w:t>.</w:t>
      </w:r>
    </w:p>
    <w:p>
      <w:pPr>
        <w:spacing w:after="0"/>
        <w:jc w:val="left"/>
        <w:rPr>
          <w:color w:val="auto"/>
          <w:sz w:val="24"/>
        </w:rPr>
        <w:sectPr>
          <w:footerReference r:id="rId43" w:type="default"/>
          <w:pgSz w:w="11910" w:h="16840"/>
          <w:pgMar w:top="1480" w:right="1180" w:bottom="1080" w:left="1200" w:header="0" w:footer="886" w:gutter="0"/>
          <w:cols w:space="720" w:num="1"/>
        </w:sectPr>
      </w:pPr>
    </w:p>
    <w:p>
      <w:pPr>
        <w:spacing w:before="30"/>
        <w:ind w:left="62" w:right="510" w:firstLine="0"/>
        <w:jc w:val="center"/>
        <w:rPr>
          <w:b/>
          <w:color w:val="auto"/>
          <w:sz w:val="32"/>
        </w:rPr>
      </w:pPr>
      <w:r>
        <w:rPr>
          <w:rFonts w:hint="eastAsia"/>
          <w:b/>
          <w:color w:val="auto"/>
          <w:sz w:val="32"/>
          <w:lang w:val="en-US" w:eastAsia="zh-CN"/>
        </w:rPr>
        <w:t>六</w:t>
      </w:r>
      <w:bookmarkStart w:id="5" w:name="_GoBack"/>
      <w:bookmarkEnd w:id="5"/>
      <w:r>
        <w:rPr>
          <w:b/>
          <w:color w:val="auto"/>
          <w:sz w:val="32"/>
        </w:rPr>
        <w:t>、开标一览表</w:t>
      </w:r>
    </w:p>
    <w:p>
      <w:pPr>
        <w:pStyle w:val="8"/>
        <w:spacing w:before="4"/>
        <w:rPr>
          <w:b/>
          <w:color w:val="auto"/>
          <w:sz w:val="37"/>
        </w:rPr>
      </w:pPr>
    </w:p>
    <w:p>
      <w:pPr>
        <w:pStyle w:val="6"/>
        <w:spacing w:line="453" w:lineRule="auto"/>
        <w:ind w:left="698" w:right="6065"/>
        <w:rPr>
          <w:color w:val="auto"/>
        </w:rPr>
      </w:pPr>
      <w:r>
        <w:rPr>
          <w:color w:val="auto"/>
        </w:rPr>
        <w:t>投标人全称（加盖公章</w:t>
      </w:r>
      <w:r>
        <w:rPr>
          <w:color w:val="auto"/>
          <w:spacing w:val="-129"/>
        </w:rPr>
        <w:t>）</w:t>
      </w:r>
      <w:r>
        <w:rPr>
          <w:color w:val="auto"/>
          <w:spacing w:val="-9"/>
        </w:rPr>
        <w:t>：</w:t>
      </w:r>
      <w:r>
        <w:rPr>
          <w:color w:val="auto"/>
        </w:rPr>
        <w:t>项目名称：</w:t>
      </w:r>
    </w:p>
    <w:p>
      <w:pPr>
        <w:pStyle w:val="6"/>
        <w:tabs>
          <w:tab w:val="left" w:pos="6099"/>
        </w:tabs>
        <w:spacing w:line="304" w:lineRule="exact"/>
        <w:ind w:left="698"/>
        <w:rPr>
          <w:color w:val="auto"/>
        </w:rPr>
      </w:pPr>
      <w:r>
        <w:rPr>
          <w:color w:val="auto"/>
        </w:rPr>
        <w:t>项目编号：</w:t>
      </w:r>
      <w:r>
        <w:rPr>
          <w:color w:val="auto"/>
        </w:rPr>
        <w:tab/>
      </w:r>
      <w:r>
        <w:rPr>
          <w:color w:val="auto"/>
        </w:rPr>
        <w:t>分包号：</w:t>
      </w:r>
    </w:p>
    <w:p>
      <w:pPr>
        <w:pStyle w:val="8"/>
        <w:spacing w:before="9"/>
        <w:rPr>
          <w:color w:val="auto"/>
          <w:sz w:val="10"/>
        </w:rPr>
      </w:pPr>
    </w:p>
    <w:tbl>
      <w:tblPr>
        <w:tblStyle w:val="12"/>
        <w:tblW w:w="0" w:type="auto"/>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82"/>
        <w:gridCol w:w="64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trPr>
        <w:tc>
          <w:tcPr>
            <w:tcW w:w="2482" w:type="dxa"/>
          </w:tcPr>
          <w:p>
            <w:pPr>
              <w:pStyle w:val="23"/>
              <w:spacing w:before="11"/>
              <w:rPr>
                <w:color w:val="auto"/>
                <w:sz w:val="27"/>
              </w:rPr>
            </w:pPr>
          </w:p>
          <w:p>
            <w:pPr>
              <w:pStyle w:val="23"/>
              <w:ind w:left="347"/>
              <w:rPr>
                <w:color w:val="auto"/>
                <w:sz w:val="24"/>
              </w:rPr>
            </w:pPr>
            <w:r>
              <w:rPr>
                <w:color w:val="auto"/>
                <w:sz w:val="24"/>
              </w:rPr>
              <w:t>投标货物名称</w:t>
            </w:r>
          </w:p>
        </w:tc>
        <w:tc>
          <w:tcPr>
            <w:tcW w:w="6406" w:type="dxa"/>
          </w:tcPr>
          <w:p>
            <w:pPr>
              <w:pStyle w:val="23"/>
              <w:spacing w:before="11"/>
              <w:rPr>
                <w:color w:val="auto"/>
                <w:sz w:val="30"/>
              </w:rPr>
            </w:pPr>
          </w:p>
          <w:p>
            <w:pPr>
              <w:pStyle w:val="23"/>
              <w:ind w:left="2728" w:right="2428"/>
              <w:jc w:val="center"/>
              <w:rPr>
                <w:color w:val="auto"/>
                <w:sz w:val="24"/>
              </w:rPr>
            </w:pPr>
            <w:r>
              <w:rPr>
                <w:color w:val="auto"/>
                <w:sz w:val="24"/>
              </w:rPr>
              <w:t>投标总报价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7" w:hRule="atLeast"/>
        </w:trPr>
        <w:tc>
          <w:tcPr>
            <w:tcW w:w="2482" w:type="dxa"/>
          </w:tcPr>
          <w:p>
            <w:pPr>
              <w:pStyle w:val="23"/>
              <w:rPr>
                <w:rFonts w:ascii="Times New Roman"/>
                <w:color w:val="auto"/>
                <w:sz w:val="24"/>
              </w:rPr>
            </w:pPr>
          </w:p>
        </w:tc>
        <w:tc>
          <w:tcPr>
            <w:tcW w:w="6406" w:type="dxa"/>
          </w:tcPr>
          <w:p>
            <w:pPr>
              <w:pStyle w:val="23"/>
              <w:spacing w:before="8"/>
              <w:rPr>
                <w:color w:val="auto"/>
                <w:sz w:val="31"/>
              </w:rPr>
            </w:pPr>
          </w:p>
          <w:p>
            <w:pPr>
              <w:pStyle w:val="23"/>
              <w:spacing w:before="1"/>
              <w:ind w:left="107"/>
              <w:rPr>
                <w:color w:val="auto"/>
                <w:sz w:val="24"/>
              </w:rPr>
            </w:pPr>
            <w:r>
              <w:rPr>
                <w:color w:val="auto"/>
                <w:sz w:val="24"/>
              </w:rPr>
              <w:t>大写：</w:t>
            </w:r>
          </w:p>
          <w:p>
            <w:pPr>
              <w:pStyle w:val="23"/>
              <w:spacing w:before="8"/>
              <w:rPr>
                <w:color w:val="auto"/>
                <w:sz w:val="18"/>
              </w:rPr>
            </w:pPr>
          </w:p>
          <w:p>
            <w:pPr>
              <w:pStyle w:val="23"/>
              <w:tabs>
                <w:tab w:val="left" w:pos="4308"/>
              </w:tabs>
              <w:spacing w:before="1"/>
              <w:ind w:left="107"/>
              <w:rPr>
                <w:color w:val="auto"/>
                <w:sz w:val="24"/>
              </w:rPr>
            </w:pPr>
            <w:r>
              <w:rPr>
                <w:color w:val="auto"/>
                <w:sz w:val="24"/>
              </w:rPr>
              <w:t>小写：</w:t>
            </w:r>
            <w:r>
              <w:rPr>
                <w:color w:val="auto"/>
                <w:sz w:val="24"/>
              </w:rPr>
              <w:tab/>
            </w:r>
            <w:r>
              <w:rPr>
                <w:color w:val="auto"/>
                <w:sz w:val="24"/>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trPr>
        <w:tc>
          <w:tcPr>
            <w:tcW w:w="2482" w:type="dxa"/>
          </w:tcPr>
          <w:p>
            <w:pPr>
              <w:pStyle w:val="23"/>
              <w:rPr>
                <w:color w:val="auto"/>
                <w:sz w:val="24"/>
              </w:rPr>
            </w:pPr>
          </w:p>
          <w:p>
            <w:pPr>
              <w:pStyle w:val="23"/>
              <w:spacing w:before="179"/>
              <w:ind w:left="107"/>
              <w:rPr>
                <w:color w:val="auto"/>
                <w:sz w:val="24"/>
              </w:rPr>
            </w:pPr>
            <w:r>
              <w:rPr>
                <w:color w:val="auto"/>
                <w:sz w:val="24"/>
              </w:rPr>
              <w:t>核心产品品牌</w:t>
            </w:r>
          </w:p>
        </w:tc>
        <w:tc>
          <w:tcPr>
            <w:tcW w:w="6406" w:type="dxa"/>
          </w:tcPr>
          <w:p>
            <w:pPr>
              <w:pStyle w:val="23"/>
              <w:rPr>
                <w:rFonts w:ascii="Times New Roman"/>
                <w:color w:val="auto"/>
                <w:sz w:val="24"/>
              </w:rPr>
            </w:pPr>
          </w:p>
        </w:tc>
      </w:tr>
    </w:tbl>
    <w:p>
      <w:pPr>
        <w:pStyle w:val="8"/>
        <w:rPr>
          <w:color w:val="auto"/>
          <w:sz w:val="24"/>
        </w:rPr>
      </w:pPr>
    </w:p>
    <w:p>
      <w:pPr>
        <w:pStyle w:val="8"/>
        <w:spacing w:before="1"/>
        <w:rPr>
          <w:color w:val="auto"/>
          <w:sz w:val="32"/>
        </w:rPr>
      </w:pPr>
    </w:p>
    <w:p>
      <w:pPr>
        <w:pStyle w:val="6"/>
        <w:tabs>
          <w:tab w:val="left" w:pos="7179"/>
          <w:tab w:val="left" w:pos="7780"/>
          <w:tab w:val="left" w:pos="8380"/>
          <w:tab w:val="left" w:pos="8980"/>
        </w:tabs>
        <w:ind w:left="6219"/>
        <w:rPr>
          <w:color w:val="auto"/>
        </w:rPr>
      </w:pPr>
      <w:r>
        <w:rPr>
          <w:color w:val="auto"/>
        </w:rPr>
        <w:t>日期：</w:t>
      </w:r>
      <w:r>
        <w:rPr>
          <w:color w:val="auto"/>
        </w:rPr>
        <w:tab/>
      </w:r>
      <w:r>
        <w:rPr>
          <w:rFonts w:ascii="Times New Roman" w:eastAsia="Times New Roman"/>
          <w:color w:val="auto"/>
          <w:u w:val="single"/>
        </w:rPr>
        <w:t xml:space="preserve"> </w:t>
      </w:r>
      <w:r>
        <w:rPr>
          <w:rFonts w:ascii="Times New Roman" w:eastAsia="Times New Roman"/>
          <w:color w:val="auto"/>
          <w:u w:val="single"/>
        </w:rPr>
        <w:tab/>
      </w:r>
      <w:r>
        <w:rPr>
          <w:color w:val="auto"/>
        </w:rPr>
        <w:t>年</w:t>
      </w:r>
      <w:r>
        <w:rPr>
          <w:rFonts w:ascii="Times New Roman" w:eastAsia="Times New Roman"/>
          <w:color w:val="auto"/>
          <w:u w:val="single"/>
        </w:rPr>
        <w:tab/>
      </w:r>
      <w:r>
        <w:rPr>
          <w:color w:val="auto"/>
        </w:rPr>
        <w:t>月</w:t>
      </w:r>
      <w:r>
        <w:rPr>
          <w:rFonts w:ascii="Times New Roman" w:eastAsia="Times New Roman"/>
          <w:color w:val="auto"/>
          <w:u w:val="single"/>
        </w:rPr>
        <w:tab/>
      </w:r>
      <w:r>
        <w:rPr>
          <w:color w:val="auto"/>
        </w:rPr>
        <w:t>日</w:t>
      </w:r>
    </w:p>
    <w:p>
      <w:pPr>
        <w:spacing w:after="0"/>
        <w:rPr>
          <w:color w:val="auto"/>
        </w:rPr>
        <w:sectPr>
          <w:footerReference r:id="rId44" w:type="default"/>
          <w:pgSz w:w="11910" w:h="16840"/>
          <w:pgMar w:top="1480" w:right="1180" w:bottom="1080" w:left="1200" w:header="0" w:footer="886" w:gutter="0"/>
          <w:cols w:space="720" w:num="1"/>
        </w:sectPr>
      </w:pPr>
    </w:p>
    <w:p>
      <w:pPr>
        <w:spacing w:before="27"/>
        <w:ind w:left="203" w:right="219" w:firstLine="0"/>
        <w:jc w:val="center"/>
        <w:rPr>
          <w:b/>
          <w:color w:val="auto"/>
          <w:sz w:val="32"/>
        </w:rPr>
      </w:pPr>
      <w:r>
        <w:rPr>
          <w:b/>
          <w:color w:val="auto"/>
          <w:sz w:val="32"/>
        </w:rPr>
        <w:t>质疑函范本</w:t>
      </w:r>
    </w:p>
    <w:p>
      <w:pPr>
        <w:pStyle w:val="8"/>
        <w:spacing w:before="7"/>
        <w:rPr>
          <w:b/>
          <w:color w:val="auto"/>
          <w:sz w:val="29"/>
        </w:rPr>
      </w:pPr>
    </w:p>
    <w:p>
      <w:pPr>
        <w:pStyle w:val="6"/>
        <w:rPr>
          <w:color w:val="auto"/>
        </w:rPr>
      </w:pPr>
      <w:r>
        <w:rPr>
          <w:color w:val="auto"/>
        </w:rPr>
        <w:t>一、质疑供应商基本信息</w:t>
      </w:r>
    </w:p>
    <w:p>
      <w:pPr>
        <w:pStyle w:val="6"/>
        <w:tabs>
          <w:tab w:val="left" w:pos="3819"/>
          <w:tab w:val="left" w:pos="3939"/>
          <w:tab w:val="left" w:pos="4419"/>
          <w:tab w:val="left" w:pos="9155"/>
          <w:tab w:val="left" w:pos="9275"/>
          <w:tab w:val="left" w:pos="9344"/>
        </w:tabs>
        <w:spacing w:before="158" w:line="364" w:lineRule="auto"/>
        <w:ind w:right="179"/>
        <w:rPr>
          <w:color w:val="auto"/>
        </w:rPr>
      </w:pPr>
      <w:r>
        <w:rPr>
          <w:color w:val="auto"/>
          <w:spacing w:val="-1"/>
        </w:rPr>
        <w:t>质</w:t>
      </w:r>
      <w:r>
        <w:rPr>
          <w:color w:val="auto"/>
        </w:rPr>
        <w:t>疑供应商：</w:t>
      </w:r>
      <w:r>
        <w:rPr>
          <w:rFonts w:ascii="Times New Roman" w:eastAsia="Times New Roman"/>
          <w:color w:val="auto"/>
          <w:u w:val="dotted"/>
        </w:rPr>
        <w:t xml:space="preserve"> </w:t>
      </w:r>
      <w:r>
        <w:rPr>
          <w:rFonts w:ascii="Times New Roman" w:eastAsia="Times New Roman"/>
          <w:color w:val="auto"/>
          <w:u w:val="dotted"/>
        </w:rPr>
        <w:tab/>
      </w:r>
      <w:r>
        <w:rPr>
          <w:rFonts w:ascii="Times New Roman" w:eastAsia="Times New Roman"/>
          <w:color w:val="auto"/>
          <w:u w:val="dotted"/>
        </w:rPr>
        <w:tab/>
      </w:r>
      <w:r>
        <w:rPr>
          <w:rFonts w:ascii="Times New Roman" w:eastAsia="Times New Roman"/>
          <w:color w:val="auto"/>
          <w:u w:val="dotted"/>
        </w:rPr>
        <w:tab/>
      </w:r>
      <w:r>
        <w:rPr>
          <w:rFonts w:ascii="Times New Roman" w:eastAsia="Times New Roman"/>
          <w:color w:val="auto"/>
          <w:u w:val="dotted"/>
        </w:rPr>
        <w:tab/>
      </w:r>
      <w:r>
        <w:rPr>
          <w:color w:val="auto"/>
          <w:u w:val="dotted"/>
        </w:rPr>
        <w:t xml:space="preserve"> </w:t>
      </w:r>
      <w:r>
        <w:rPr>
          <w:color w:val="auto"/>
        </w:rPr>
        <w:t>地址：</w:t>
      </w:r>
      <w:r>
        <w:rPr>
          <w:rFonts w:ascii="Times New Roman" w:eastAsia="Times New Roman"/>
          <w:color w:val="auto"/>
          <w:u w:val="dotted"/>
        </w:rPr>
        <w:tab/>
      </w:r>
      <w:r>
        <w:rPr>
          <w:rFonts w:ascii="Times New Roman" w:eastAsia="Times New Roman"/>
          <w:color w:val="auto"/>
          <w:u w:val="dotted"/>
        </w:rPr>
        <w:tab/>
      </w:r>
      <w:r>
        <w:rPr>
          <w:rFonts w:ascii="Times New Roman" w:eastAsia="Times New Roman"/>
          <w:color w:val="auto"/>
          <w:u w:val="dotted"/>
        </w:rPr>
        <w:tab/>
      </w:r>
      <w:r>
        <w:rPr>
          <w:color w:val="auto"/>
        </w:rPr>
        <w:t>邮编：</w:t>
      </w:r>
      <w:r>
        <w:rPr>
          <w:rFonts w:ascii="Times New Roman" w:eastAsia="Times New Roman"/>
          <w:color w:val="auto"/>
          <w:u w:val="dotted"/>
        </w:rPr>
        <w:t xml:space="preserve"> </w:t>
      </w:r>
      <w:r>
        <w:rPr>
          <w:rFonts w:ascii="Times New Roman" w:eastAsia="Times New Roman"/>
          <w:color w:val="auto"/>
          <w:u w:val="dotted"/>
        </w:rPr>
        <w:tab/>
      </w:r>
      <w:r>
        <w:rPr>
          <w:rFonts w:ascii="Times New Roman" w:eastAsia="Times New Roman"/>
          <w:color w:val="auto"/>
          <w:u w:val="dotted"/>
        </w:rPr>
        <w:tab/>
      </w:r>
      <w:r>
        <w:rPr>
          <w:rFonts w:ascii="Times New Roman" w:eastAsia="Times New Roman"/>
          <w:color w:val="auto"/>
          <w:u w:val="dotted"/>
        </w:rPr>
        <w:tab/>
      </w:r>
      <w:r>
        <w:rPr>
          <w:color w:val="auto"/>
          <w:u w:val="dotted"/>
        </w:rPr>
        <w:t xml:space="preserve"> </w:t>
      </w:r>
      <w:r>
        <w:rPr>
          <w:color w:val="auto"/>
        </w:rPr>
        <w:t>联系人：</w:t>
      </w:r>
      <w:r>
        <w:rPr>
          <w:rFonts w:ascii="Times New Roman" w:eastAsia="Times New Roman"/>
          <w:color w:val="auto"/>
          <w:u w:val="dotted"/>
        </w:rPr>
        <w:tab/>
      </w:r>
      <w:r>
        <w:rPr>
          <w:color w:val="auto"/>
        </w:rPr>
        <w:t>联系电话：</w:t>
      </w:r>
      <w:r>
        <w:rPr>
          <w:rFonts w:ascii="Times New Roman" w:eastAsia="Times New Roman"/>
          <w:color w:val="auto"/>
          <w:u w:val="dotted"/>
        </w:rPr>
        <w:t xml:space="preserve"> </w:t>
      </w:r>
      <w:r>
        <w:rPr>
          <w:rFonts w:ascii="Times New Roman" w:eastAsia="Times New Roman"/>
          <w:color w:val="auto"/>
          <w:u w:val="dotted"/>
        </w:rPr>
        <w:tab/>
      </w:r>
      <w:r>
        <w:rPr>
          <w:rFonts w:ascii="Times New Roman" w:eastAsia="Times New Roman"/>
          <w:color w:val="auto"/>
          <w:u w:val="dotted"/>
        </w:rPr>
        <w:tab/>
      </w:r>
      <w:r>
        <w:rPr>
          <w:rFonts w:ascii="Times New Roman" w:eastAsia="Times New Roman"/>
          <w:color w:val="auto"/>
          <w:u w:val="dotted"/>
        </w:rPr>
        <w:tab/>
      </w:r>
      <w:r>
        <w:rPr>
          <w:color w:val="auto"/>
          <w:spacing w:val="-1"/>
          <w:u w:val="dotted"/>
        </w:rPr>
        <w:t xml:space="preserve">                                  </w:t>
      </w:r>
      <w:r>
        <w:rPr>
          <w:color w:val="auto"/>
          <w:spacing w:val="34"/>
          <w:u w:val="dotted"/>
        </w:rPr>
        <w:t xml:space="preserve"> </w:t>
      </w:r>
      <w:r>
        <w:rPr>
          <w:color w:val="auto"/>
          <w:spacing w:val="-1"/>
        </w:rPr>
        <w:t>授</w:t>
      </w:r>
      <w:r>
        <w:rPr>
          <w:color w:val="auto"/>
        </w:rPr>
        <w:t>权代表：</w:t>
      </w:r>
      <w:r>
        <w:rPr>
          <w:rFonts w:ascii="Times New Roman" w:eastAsia="Times New Roman"/>
          <w:color w:val="auto"/>
          <w:u w:val="dotted"/>
        </w:rPr>
        <w:t xml:space="preserve"> </w:t>
      </w:r>
      <w:r>
        <w:rPr>
          <w:rFonts w:ascii="Times New Roman" w:eastAsia="Times New Roman"/>
          <w:color w:val="auto"/>
          <w:u w:val="dotted"/>
        </w:rPr>
        <w:tab/>
      </w:r>
      <w:r>
        <w:rPr>
          <w:rFonts w:ascii="Times New Roman" w:eastAsia="Times New Roman"/>
          <w:color w:val="auto"/>
          <w:u w:val="dotted"/>
        </w:rPr>
        <w:tab/>
      </w:r>
      <w:r>
        <w:rPr>
          <w:rFonts w:ascii="Times New Roman" w:eastAsia="Times New Roman"/>
          <w:color w:val="auto"/>
          <w:u w:val="dotted"/>
        </w:rPr>
        <w:tab/>
      </w:r>
      <w:r>
        <w:rPr>
          <w:rFonts w:ascii="Times New Roman" w:eastAsia="Times New Roman"/>
          <w:color w:val="auto"/>
          <w:u w:val="dotted"/>
        </w:rPr>
        <w:tab/>
      </w:r>
      <w:r>
        <w:rPr>
          <w:rFonts w:ascii="Times New Roman" w:eastAsia="Times New Roman"/>
          <w:color w:val="auto"/>
          <w:u w:val="dotted"/>
        </w:rPr>
        <w:tab/>
      </w:r>
      <w:r>
        <w:rPr>
          <w:color w:val="auto"/>
          <w:spacing w:val="-1"/>
          <w:u w:val="dotted"/>
        </w:rPr>
        <w:t xml:space="preserve">                                                                </w:t>
      </w:r>
      <w:r>
        <w:rPr>
          <w:color w:val="auto"/>
          <w:spacing w:val="64"/>
          <w:u w:val="dotted"/>
        </w:rPr>
        <w:t xml:space="preserve"> </w:t>
      </w:r>
      <w:r>
        <w:rPr>
          <w:color w:val="auto"/>
          <w:spacing w:val="-1"/>
        </w:rPr>
        <w:t>联</w:t>
      </w:r>
      <w:r>
        <w:rPr>
          <w:color w:val="auto"/>
        </w:rPr>
        <w:t>系电话：</w:t>
      </w:r>
      <w:r>
        <w:rPr>
          <w:rFonts w:ascii="Times New Roman" w:eastAsia="Times New Roman"/>
          <w:color w:val="auto"/>
          <w:u w:val="dotted"/>
        </w:rPr>
        <w:t xml:space="preserve"> </w:t>
      </w:r>
      <w:r>
        <w:rPr>
          <w:rFonts w:ascii="Times New Roman" w:eastAsia="Times New Roman"/>
          <w:color w:val="auto"/>
          <w:u w:val="dotted"/>
        </w:rPr>
        <w:tab/>
      </w:r>
      <w:r>
        <w:rPr>
          <w:rFonts w:ascii="Times New Roman" w:eastAsia="Times New Roman"/>
          <w:color w:val="auto"/>
          <w:u w:val="dotted"/>
        </w:rPr>
        <w:tab/>
      </w:r>
      <w:r>
        <w:rPr>
          <w:rFonts w:ascii="Times New Roman" w:eastAsia="Times New Roman"/>
          <w:color w:val="auto"/>
          <w:u w:val="dotted"/>
        </w:rPr>
        <w:tab/>
      </w:r>
      <w:r>
        <w:rPr>
          <w:rFonts w:ascii="Times New Roman" w:eastAsia="Times New Roman"/>
          <w:color w:val="auto"/>
          <w:u w:val="dotted"/>
        </w:rPr>
        <w:tab/>
      </w:r>
      <w:r>
        <w:rPr>
          <w:color w:val="auto"/>
          <w:u w:val="dotted"/>
        </w:rPr>
        <w:t xml:space="preserve"> </w:t>
      </w:r>
      <w:r>
        <w:rPr>
          <w:color w:val="auto"/>
        </w:rPr>
        <w:t>地址：</w:t>
      </w:r>
      <w:r>
        <w:rPr>
          <w:rFonts w:ascii="Times New Roman" w:eastAsia="Times New Roman"/>
          <w:color w:val="auto"/>
          <w:u w:val="dotted"/>
        </w:rPr>
        <w:tab/>
      </w:r>
      <w:r>
        <w:rPr>
          <w:rFonts w:ascii="Times New Roman" w:eastAsia="Times New Roman"/>
          <w:color w:val="auto"/>
          <w:u w:val="dotted"/>
        </w:rPr>
        <w:tab/>
      </w:r>
      <w:r>
        <w:rPr>
          <w:color w:val="auto"/>
        </w:rPr>
        <w:t>邮编：</w:t>
      </w:r>
      <w:r>
        <w:rPr>
          <w:rFonts w:ascii="Times New Roman" w:eastAsia="Times New Roman"/>
          <w:color w:val="auto"/>
          <w:u w:val="dotted"/>
        </w:rPr>
        <w:t xml:space="preserve"> </w:t>
      </w:r>
      <w:r>
        <w:rPr>
          <w:rFonts w:ascii="Times New Roman" w:eastAsia="Times New Roman"/>
          <w:color w:val="auto"/>
          <w:u w:val="dotted"/>
        </w:rPr>
        <w:tab/>
      </w:r>
      <w:r>
        <w:rPr>
          <w:color w:val="auto"/>
          <w:u w:val="dotted"/>
        </w:rPr>
        <w:t xml:space="preserve"> </w:t>
      </w:r>
      <w:r>
        <w:rPr>
          <w:color w:val="auto"/>
        </w:rPr>
        <w:t>二、质疑项目基本情况</w:t>
      </w:r>
    </w:p>
    <w:p>
      <w:pPr>
        <w:pStyle w:val="6"/>
        <w:tabs>
          <w:tab w:val="left" w:pos="5139"/>
          <w:tab w:val="left" w:pos="9136"/>
        </w:tabs>
        <w:spacing w:before="5" w:line="364" w:lineRule="auto"/>
        <w:ind w:right="369"/>
        <w:jc w:val="both"/>
        <w:rPr>
          <w:color w:val="auto"/>
        </w:rPr>
      </w:pPr>
      <w:r>
        <w:rPr>
          <w:color w:val="auto"/>
          <w:spacing w:val="-1"/>
        </w:rPr>
        <w:t>质</w:t>
      </w:r>
      <w:r>
        <w:rPr>
          <w:color w:val="auto"/>
        </w:rPr>
        <w:t>疑项目的名称：</w:t>
      </w:r>
      <w:r>
        <w:rPr>
          <w:rFonts w:ascii="Times New Roman" w:eastAsia="Times New Roman"/>
          <w:color w:val="auto"/>
          <w:u w:val="dotted"/>
        </w:rPr>
        <w:t xml:space="preserve"> </w:t>
      </w:r>
      <w:r>
        <w:rPr>
          <w:rFonts w:ascii="Times New Roman" w:eastAsia="Times New Roman"/>
          <w:color w:val="auto"/>
          <w:u w:val="dotted"/>
        </w:rPr>
        <w:tab/>
      </w:r>
      <w:r>
        <w:rPr>
          <w:rFonts w:ascii="Times New Roman" w:eastAsia="Times New Roman"/>
          <w:color w:val="auto"/>
          <w:u w:val="dotted"/>
        </w:rPr>
        <w:tab/>
      </w:r>
      <w:r>
        <w:rPr>
          <w:color w:val="auto"/>
          <w:u w:val="dotted"/>
        </w:rPr>
        <w:t xml:space="preserve"> </w:t>
      </w:r>
      <w:r>
        <w:rPr>
          <w:color w:val="auto"/>
        </w:rPr>
        <w:t>质疑项目的编号：</w:t>
      </w:r>
      <w:r>
        <w:rPr>
          <w:rFonts w:ascii="Times New Roman" w:eastAsia="Times New Roman"/>
          <w:color w:val="auto"/>
          <w:u w:val="dotted"/>
        </w:rPr>
        <w:tab/>
      </w:r>
      <w:r>
        <w:rPr>
          <w:color w:val="auto"/>
        </w:rPr>
        <w:t>包号：</w:t>
      </w:r>
      <w:r>
        <w:rPr>
          <w:rFonts w:ascii="Times New Roman" w:eastAsia="Times New Roman"/>
          <w:color w:val="auto"/>
          <w:u w:val="dotted"/>
        </w:rPr>
        <w:t xml:space="preserve"> </w:t>
      </w:r>
      <w:r>
        <w:rPr>
          <w:rFonts w:ascii="Times New Roman" w:eastAsia="Times New Roman"/>
          <w:color w:val="auto"/>
          <w:u w:val="dotted"/>
        </w:rPr>
        <w:tab/>
      </w:r>
      <w:r>
        <w:rPr>
          <w:rFonts w:ascii="Times New Roman" w:eastAsia="Times New Roman"/>
          <w:color w:val="auto"/>
          <w:w w:val="31"/>
          <w:u w:val="dotted"/>
        </w:rPr>
        <w:t xml:space="preserve"> </w:t>
      </w:r>
      <w:r>
        <w:rPr>
          <w:color w:val="auto"/>
          <w:spacing w:val="-1"/>
          <w:u w:val="dotted"/>
        </w:rPr>
        <w:t xml:space="preserve">                         </w:t>
      </w:r>
      <w:r>
        <w:rPr>
          <w:color w:val="auto"/>
          <w:spacing w:val="25"/>
          <w:u w:val="dotted"/>
        </w:rPr>
        <w:t xml:space="preserve"> </w:t>
      </w:r>
      <w:r>
        <w:rPr>
          <w:color w:val="auto"/>
          <w:spacing w:val="-1"/>
        </w:rPr>
        <w:t>采</w:t>
      </w:r>
      <w:r>
        <w:rPr>
          <w:color w:val="auto"/>
        </w:rPr>
        <w:t>购人名称：</w:t>
      </w:r>
      <w:r>
        <w:rPr>
          <w:rFonts w:ascii="Times New Roman" w:eastAsia="Times New Roman"/>
          <w:color w:val="auto"/>
          <w:u w:val="dotted"/>
        </w:rPr>
        <w:t xml:space="preserve"> </w:t>
      </w:r>
      <w:r>
        <w:rPr>
          <w:rFonts w:ascii="Times New Roman" w:eastAsia="Times New Roman"/>
          <w:color w:val="auto"/>
          <w:u w:val="dotted"/>
        </w:rPr>
        <w:tab/>
      </w:r>
      <w:r>
        <w:rPr>
          <w:rFonts w:ascii="Times New Roman" w:eastAsia="Times New Roman"/>
          <w:color w:val="auto"/>
          <w:u w:val="dotted"/>
        </w:rPr>
        <w:tab/>
      </w:r>
      <w:r>
        <w:rPr>
          <w:rFonts w:ascii="Times New Roman" w:eastAsia="Times New Roman"/>
          <w:color w:val="auto"/>
          <w:w w:val="1"/>
          <w:u w:val="dotted"/>
        </w:rPr>
        <w:t xml:space="preserve"> </w:t>
      </w:r>
      <w:r>
        <w:rPr>
          <w:color w:val="auto"/>
          <w:spacing w:val="-1"/>
          <w:u w:val="dotted"/>
        </w:rPr>
        <w:t xml:space="preserve">                                                            </w:t>
      </w:r>
      <w:r>
        <w:rPr>
          <w:color w:val="auto"/>
          <w:spacing w:val="60"/>
          <w:u w:val="dotted"/>
        </w:rPr>
        <w:t xml:space="preserve"> </w:t>
      </w:r>
      <w:r>
        <w:rPr>
          <w:color w:val="auto"/>
          <w:spacing w:val="-1"/>
        </w:rPr>
        <w:t>采</w:t>
      </w:r>
      <w:r>
        <w:rPr>
          <w:color w:val="auto"/>
        </w:rPr>
        <w:t>购文件获取日期：</w:t>
      </w:r>
      <w:r>
        <w:rPr>
          <w:rFonts w:ascii="Times New Roman" w:eastAsia="Times New Roman"/>
          <w:color w:val="auto"/>
          <w:u w:val="dotted"/>
        </w:rPr>
        <w:t xml:space="preserve"> </w:t>
      </w:r>
      <w:r>
        <w:rPr>
          <w:rFonts w:ascii="Times New Roman" w:eastAsia="Times New Roman"/>
          <w:color w:val="auto"/>
          <w:u w:val="dotted"/>
        </w:rPr>
        <w:tab/>
      </w:r>
      <w:r>
        <w:rPr>
          <w:rFonts w:ascii="Times New Roman" w:eastAsia="Times New Roman"/>
          <w:color w:val="auto"/>
          <w:u w:val="dotted"/>
        </w:rPr>
        <w:tab/>
      </w:r>
      <w:r>
        <w:rPr>
          <w:rFonts w:ascii="Times New Roman" w:eastAsia="Times New Roman"/>
          <w:color w:val="auto"/>
          <w:w w:val="15"/>
          <w:u w:val="dotted"/>
        </w:rPr>
        <w:t xml:space="preserve"> </w:t>
      </w:r>
      <w:r>
        <w:rPr>
          <w:color w:val="auto"/>
        </w:rPr>
        <w:t>三、质疑事项具体内容</w:t>
      </w:r>
    </w:p>
    <w:p>
      <w:pPr>
        <w:pStyle w:val="6"/>
        <w:tabs>
          <w:tab w:val="left" w:pos="9095"/>
        </w:tabs>
        <w:spacing w:before="3"/>
        <w:jc w:val="both"/>
        <w:rPr>
          <w:rFonts w:ascii="Times New Roman" w:eastAsia="Times New Roman"/>
          <w:color w:val="auto"/>
        </w:rPr>
      </w:pPr>
      <w:r>
        <w:rPr>
          <w:color w:val="auto"/>
          <w:w w:val="95"/>
        </w:rPr>
        <w:t>质疑事项</w:t>
      </w:r>
      <w:r>
        <w:rPr>
          <w:color w:val="auto"/>
          <w:spacing w:val="10"/>
          <w:w w:val="95"/>
        </w:rPr>
        <w:t xml:space="preserve"> </w:t>
      </w:r>
      <w:r>
        <w:rPr>
          <w:color w:val="auto"/>
          <w:w w:val="95"/>
        </w:rPr>
        <w:t>1：</w:t>
      </w:r>
      <w:r>
        <w:rPr>
          <w:rFonts w:ascii="Times New Roman" w:eastAsia="Times New Roman"/>
          <w:color w:val="auto"/>
          <w:w w:val="95"/>
          <w:u w:val="dotted"/>
        </w:rPr>
        <w:t xml:space="preserve"> </w:t>
      </w:r>
      <w:r>
        <w:rPr>
          <w:rFonts w:ascii="Times New Roman" w:eastAsia="Times New Roman"/>
          <w:color w:val="auto"/>
          <w:w w:val="95"/>
          <w:u w:val="dotted"/>
        </w:rPr>
        <w:tab/>
      </w:r>
    </w:p>
    <w:p>
      <w:pPr>
        <w:pStyle w:val="6"/>
        <w:tabs>
          <w:tab w:val="left" w:pos="9155"/>
        </w:tabs>
        <w:spacing w:before="161"/>
        <w:rPr>
          <w:rFonts w:ascii="Times New Roman" w:eastAsia="Times New Roman"/>
          <w:color w:val="auto"/>
        </w:rPr>
      </w:pPr>
      <w:r>
        <w:rPr>
          <w:color w:val="auto"/>
          <w:spacing w:val="-1"/>
        </w:rPr>
        <w:t>事</w:t>
      </w:r>
      <w:r>
        <w:rPr>
          <w:color w:val="auto"/>
        </w:rPr>
        <w:t>实依据：</w:t>
      </w:r>
      <w:r>
        <w:rPr>
          <w:rFonts w:ascii="Times New Roman" w:eastAsia="Times New Roman"/>
          <w:color w:val="auto"/>
          <w:u w:val="dotted"/>
        </w:rPr>
        <w:t xml:space="preserve"> </w:t>
      </w:r>
      <w:r>
        <w:rPr>
          <w:rFonts w:ascii="Times New Roman" w:eastAsia="Times New Roman"/>
          <w:color w:val="auto"/>
          <w:u w:val="dotted"/>
        </w:rPr>
        <w:tab/>
      </w:r>
    </w:p>
    <w:p>
      <w:pPr>
        <w:pStyle w:val="8"/>
        <w:rPr>
          <w:rFonts w:ascii="Times New Roman"/>
          <w:color w:val="auto"/>
          <w:sz w:val="20"/>
        </w:rPr>
      </w:pPr>
    </w:p>
    <w:p>
      <w:pPr>
        <w:pStyle w:val="8"/>
        <w:spacing w:before="1"/>
        <w:rPr>
          <w:rFonts w:ascii="Times New Roman"/>
          <w:color w:val="auto"/>
          <w:sz w:val="16"/>
        </w:rPr>
      </w:pPr>
      <w:r>
        <w:rPr>
          <w:color w:val="auto"/>
        </w:rPr>
        <w:pict>
          <v:shape id="docshape46" o:spid="_x0000_s1029" style="position:absolute;left:0pt;margin-left:70.9pt;margin-top:10.45pt;height:0.1pt;width:450.1pt;mso-position-horizontal-relative:page;mso-wrap-distance-bottom:0pt;mso-wrap-distance-top:0pt;z-index:-251632640;mso-width-relative:page;mso-height-relative:page;" filled="f" stroked="t" coordorigin="1419,210" coordsize="9002,0" path="m1419,210l10420,210e">
            <v:path arrowok="t"/>
            <v:fill on="f" focussize="0,0"/>
            <v:stroke weight="0.6pt" color="#000000"/>
            <v:imagedata o:title=""/>
            <o:lock v:ext="edit"/>
            <w10:wrap type="topAndBottom"/>
          </v:shape>
        </w:pict>
      </w:r>
    </w:p>
    <w:p>
      <w:pPr>
        <w:pStyle w:val="8"/>
        <w:spacing w:before="5"/>
        <w:rPr>
          <w:rFonts w:ascii="Times New Roman"/>
          <w:color w:val="auto"/>
          <w:sz w:val="9"/>
        </w:rPr>
      </w:pPr>
    </w:p>
    <w:p>
      <w:pPr>
        <w:pStyle w:val="6"/>
        <w:tabs>
          <w:tab w:val="left" w:pos="9275"/>
        </w:tabs>
        <w:spacing w:before="74"/>
        <w:rPr>
          <w:rFonts w:ascii="Times New Roman" w:eastAsia="Times New Roman"/>
          <w:color w:val="auto"/>
        </w:rPr>
      </w:pPr>
      <w:r>
        <w:rPr>
          <w:color w:val="auto"/>
          <w:spacing w:val="-1"/>
        </w:rPr>
        <w:t>法</w:t>
      </w:r>
      <w:r>
        <w:rPr>
          <w:color w:val="auto"/>
        </w:rPr>
        <w:t>律依据：</w:t>
      </w:r>
      <w:r>
        <w:rPr>
          <w:rFonts w:ascii="Times New Roman" w:eastAsia="Times New Roman"/>
          <w:color w:val="auto"/>
          <w:u w:val="dotted"/>
        </w:rPr>
        <w:t xml:space="preserve"> </w:t>
      </w:r>
      <w:r>
        <w:rPr>
          <w:rFonts w:ascii="Times New Roman" w:eastAsia="Times New Roman"/>
          <w:color w:val="auto"/>
          <w:u w:val="dotted"/>
        </w:rPr>
        <w:tab/>
      </w:r>
    </w:p>
    <w:p>
      <w:pPr>
        <w:pStyle w:val="8"/>
        <w:rPr>
          <w:rFonts w:ascii="Times New Roman"/>
          <w:color w:val="auto"/>
          <w:sz w:val="20"/>
        </w:rPr>
      </w:pPr>
    </w:p>
    <w:p>
      <w:pPr>
        <w:pStyle w:val="8"/>
        <w:spacing w:before="2"/>
        <w:rPr>
          <w:rFonts w:ascii="Times New Roman"/>
          <w:color w:val="auto"/>
          <w:sz w:val="16"/>
        </w:rPr>
      </w:pPr>
      <w:r>
        <w:rPr>
          <w:color w:val="auto"/>
        </w:rPr>
        <w:pict>
          <v:shape id="docshape47" o:spid="_x0000_s1030" style="position:absolute;left:0pt;margin-left:70.9pt;margin-top:10.5pt;height:0.1pt;width:450.1pt;mso-position-horizontal-relative:page;mso-wrap-distance-bottom:0pt;mso-wrap-distance-top:0pt;z-index:-251631616;mso-width-relative:page;mso-height-relative:page;" filled="f" stroked="t" coordorigin="1419,210" coordsize="9002,0" path="m1419,210l10420,210e">
            <v:path arrowok="t"/>
            <v:fill on="f" focussize="0,0"/>
            <v:stroke weight="0.6pt" color="#000000"/>
            <v:imagedata o:title=""/>
            <o:lock v:ext="edit"/>
            <w10:wrap type="topAndBottom"/>
          </v:shape>
        </w:pict>
      </w:r>
    </w:p>
    <w:p>
      <w:pPr>
        <w:pStyle w:val="8"/>
        <w:spacing w:before="1"/>
        <w:rPr>
          <w:rFonts w:ascii="Times New Roman"/>
          <w:color w:val="auto"/>
          <w:sz w:val="10"/>
        </w:rPr>
      </w:pPr>
    </w:p>
    <w:p>
      <w:pPr>
        <w:pStyle w:val="6"/>
        <w:spacing w:before="66"/>
        <w:rPr>
          <w:color w:val="auto"/>
        </w:rPr>
      </w:pPr>
      <w:r>
        <w:rPr>
          <w:color w:val="auto"/>
          <w:spacing w:val="-1"/>
          <w:w w:val="95"/>
        </w:rPr>
        <w:t xml:space="preserve">质疑事项 </w:t>
      </w:r>
      <w:r>
        <w:rPr>
          <w:color w:val="auto"/>
          <w:w w:val="95"/>
        </w:rPr>
        <w:t>2</w:t>
      </w:r>
    </w:p>
    <w:p>
      <w:pPr>
        <w:spacing w:before="161"/>
        <w:ind w:left="218" w:right="0" w:firstLine="0"/>
        <w:jc w:val="left"/>
        <w:rPr>
          <w:color w:val="auto"/>
          <w:sz w:val="24"/>
        </w:rPr>
      </w:pPr>
      <w:r>
        <w:rPr>
          <w:color w:val="auto"/>
          <w:sz w:val="24"/>
        </w:rPr>
        <w:t>……</w:t>
      </w:r>
    </w:p>
    <w:p>
      <w:pPr>
        <w:pStyle w:val="6"/>
        <w:spacing w:before="160"/>
        <w:rPr>
          <w:color w:val="auto"/>
        </w:rPr>
      </w:pPr>
      <w:r>
        <w:rPr>
          <w:color w:val="auto"/>
        </w:rPr>
        <w:t>四、与质疑事项相关的质疑请求</w:t>
      </w:r>
    </w:p>
    <w:p>
      <w:pPr>
        <w:pStyle w:val="6"/>
        <w:tabs>
          <w:tab w:val="left" w:pos="9260"/>
        </w:tabs>
        <w:spacing w:before="161"/>
        <w:rPr>
          <w:rFonts w:ascii="Times New Roman" w:eastAsia="Times New Roman"/>
          <w:color w:val="auto"/>
        </w:rPr>
      </w:pPr>
      <w:r>
        <w:rPr>
          <w:color w:val="auto"/>
          <w:spacing w:val="-1"/>
        </w:rPr>
        <w:t>请</w:t>
      </w:r>
      <w:r>
        <w:rPr>
          <w:color w:val="auto"/>
        </w:rPr>
        <w:t>求：</w:t>
      </w:r>
      <w:r>
        <w:rPr>
          <w:rFonts w:ascii="Times New Roman" w:eastAsia="Times New Roman"/>
          <w:color w:val="auto"/>
          <w:u w:val="dotted"/>
        </w:rPr>
        <w:t xml:space="preserve"> </w:t>
      </w:r>
      <w:r>
        <w:rPr>
          <w:rFonts w:ascii="Times New Roman" w:eastAsia="Times New Roman"/>
          <w:color w:val="auto"/>
          <w:u w:val="dotted"/>
        </w:rPr>
        <w:tab/>
      </w:r>
    </w:p>
    <w:p>
      <w:pPr>
        <w:pStyle w:val="8"/>
        <w:spacing w:before="10"/>
        <w:rPr>
          <w:rFonts w:ascii="Times New Roman"/>
          <w:color w:val="auto"/>
          <w:sz w:val="19"/>
        </w:rPr>
      </w:pPr>
    </w:p>
    <w:p>
      <w:pPr>
        <w:pStyle w:val="6"/>
        <w:tabs>
          <w:tab w:val="left" w:pos="3939"/>
        </w:tabs>
        <w:spacing w:before="67"/>
        <w:rPr>
          <w:color w:val="auto"/>
        </w:rPr>
      </w:pPr>
      <w:r>
        <w:rPr>
          <w:color w:val="auto"/>
        </w:rPr>
        <w:t>签字(签章)：</w:t>
      </w:r>
      <w:r>
        <w:rPr>
          <w:color w:val="auto"/>
        </w:rPr>
        <w:tab/>
      </w:r>
      <w:r>
        <w:rPr>
          <w:color w:val="auto"/>
        </w:rPr>
        <w:t>公章：</w:t>
      </w:r>
    </w:p>
    <w:p>
      <w:pPr>
        <w:pStyle w:val="8"/>
        <w:spacing w:before="4"/>
        <w:rPr>
          <w:color w:val="auto"/>
        </w:rPr>
      </w:pPr>
    </w:p>
    <w:p>
      <w:pPr>
        <w:pStyle w:val="6"/>
        <w:rPr>
          <w:color w:val="auto"/>
        </w:rPr>
      </w:pPr>
      <w:r>
        <w:rPr>
          <w:color w:val="auto"/>
        </w:rPr>
        <w:t>日期：</w:t>
      </w:r>
    </w:p>
    <w:p>
      <w:pPr>
        <w:pStyle w:val="5"/>
        <w:spacing w:before="216"/>
        <w:ind w:left="218"/>
        <w:rPr>
          <w:color w:val="auto"/>
        </w:rPr>
      </w:pPr>
      <w:r>
        <w:rPr>
          <w:color w:val="auto"/>
          <w:w w:val="95"/>
        </w:rPr>
        <w:t>质疑函制作说明：</w:t>
      </w:r>
    </w:p>
    <w:p>
      <w:pPr>
        <w:pStyle w:val="6"/>
        <w:numPr>
          <w:ilvl w:val="0"/>
          <w:numId w:val="54"/>
        </w:numPr>
        <w:tabs>
          <w:tab w:val="left" w:pos="940"/>
        </w:tabs>
        <w:spacing w:before="93" w:after="0" w:line="240" w:lineRule="auto"/>
        <w:ind w:left="939" w:right="0" w:hanging="242"/>
        <w:jc w:val="left"/>
        <w:rPr>
          <w:color w:val="auto"/>
        </w:rPr>
      </w:pPr>
      <w:r>
        <w:rPr>
          <w:color w:val="auto"/>
        </w:rPr>
        <w:t>供应商提出质疑时，应提交质疑函和必要的证明材料。</w:t>
      </w:r>
    </w:p>
    <w:p>
      <w:pPr>
        <w:spacing w:after="0" w:line="240" w:lineRule="auto"/>
        <w:jc w:val="left"/>
        <w:rPr>
          <w:color w:val="auto"/>
        </w:rPr>
        <w:sectPr>
          <w:footerReference r:id="rId45" w:type="default"/>
          <w:pgSz w:w="11910" w:h="16840"/>
          <w:pgMar w:top="1480" w:right="1180" w:bottom="1080" w:left="1200" w:header="0" w:footer="886" w:gutter="0"/>
          <w:cols w:space="720" w:num="1"/>
        </w:sectPr>
      </w:pPr>
    </w:p>
    <w:p>
      <w:pPr>
        <w:pStyle w:val="6"/>
        <w:numPr>
          <w:ilvl w:val="0"/>
          <w:numId w:val="54"/>
        </w:numPr>
        <w:tabs>
          <w:tab w:val="left" w:pos="940"/>
        </w:tabs>
        <w:spacing w:before="43" w:after="0" w:line="312" w:lineRule="auto"/>
        <w:ind w:left="218" w:right="234" w:firstLine="480"/>
        <w:jc w:val="both"/>
        <w:rPr>
          <w:color w:val="auto"/>
        </w:rPr>
      </w:pPr>
      <w:r>
        <w:rPr>
          <w:color w:val="auto"/>
          <w:spacing w:val="-2"/>
        </w:rPr>
        <w:t>质疑供应商若委托代理人进行质疑的，质疑函应按要求列明“授权代表”的有关内容，并在附件中提交由质疑供应商签署的授权委托书。授权委托书应载明代理人的姓</w:t>
      </w:r>
      <w:r>
        <w:rPr>
          <w:color w:val="auto"/>
        </w:rPr>
        <w:t>名或者名称、代理事项、具体权限、期限和相关事项。</w:t>
      </w:r>
    </w:p>
    <w:p>
      <w:pPr>
        <w:pStyle w:val="6"/>
        <w:numPr>
          <w:ilvl w:val="0"/>
          <w:numId w:val="54"/>
        </w:numPr>
        <w:tabs>
          <w:tab w:val="left" w:pos="940"/>
        </w:tabs>
        <w:spacing w:before="1" w:after="0" w:line="240" w:lineRule="auto"/>
        <w:ind w:left="939" w:right="0" w:hanging="242"/>
        <w:jc w:val="left"/>
        <w:rPr>
          <w:color w:val="auto"/>
        </w:rPr>
      </w:pPr>
      <w:r>
        <w:rPr>
          <w:color w:val="auto"/>
        </w:rPr>
        <w:t>质疑供应商若对项目的某一分包进行质疑，质疑函中应列明具体分包号。</w:t>
      </w:r>
    </w:p>
    <w:p>
      <w:pPr>
        <w:pStyle w:val="6"/>
        <w:numPr>
          <w:ilvl w:val="0"/>
          <w:numId w:val="54"/>
        </w:numPr>
        <w:tabs>
          <w:tab w:val="left" w:pos="940"/>
        </w:tabs>
        <w:spacing w:before="91" w:after="0" w:line="240" w:lineRule="auto"/>
        <w:ind w:left="939" w:right="0" w:hanging="242"/>
        <w:jc w:val="left"/>
        <w:rPr>
          <w:color w:val="auto"/>
        </w:rPr>
      </w:pPr>
      <w:r>
        <w:rPr>
          <w:color w:val="auto"/>
        </w:rPr>
        <w:t>质疑函的质疑事项应具体、明确，并有必要的事实依据和法律依据。</w:t>
      </w:r>
    </w:p>
    <w:p>
      <w:pPr>
        <w:pStyle w:val="6"/>
        <w:numPr>
          <w:ilvl w:val="0"/>
          <w:numId w:val="54"/>
        </w:numPr>
        <w:tabs>
          <w:tab w:val="left" w:pos="940"/>
        </w:tabs>
        <w:spacing w:before="93" w:after="0" w:line="240" w:lineRule="auto"/>
        <w:ind w:left="939" w:right="0" w:hanging="242"/>
        <w:jc w:val="left"/>
        <w:rPr>
          <w:color w:val="auto"/>
        </w:rPr>
      </w:pPr>
      <w:r>
        <w:rPr>
          <w:color w:val="auto"/>
        </w:rPr>
        <w:t>质疑函的质疑请求应与质疑事项相关。</w:t>
      </w:r>
    </w:p>
    <w:p>
      <w:pPr>
        <w:pStyle w:val="6"/>
        <w:numPr>
          <w:ilvl w:val="0"/>
          <w:numId w:val="54"/>
        </w:numPr>
        <w:tabs>
          <w:tab w:val="left" w:pos="940"/>
        </w:tabs>
        <w:spacing w:before="94" w:after="0" w:line="312" w:lineRule="auto"/>
        <w:ind w:left="218" w:right="116" w:firstLine="480"/>
        <w:jc w:val="left"/>
        <w:rPr>
          <w:color w:val="auto"/>
        </w:rPr>
      </w:pPr>
      <w:r>
        <w:rPr>
          <w:color w:val="auto"/>
        </w:rPr>
        <w:t>质疑供应商为自然人的，质疑函应由本人签字；质疑供应商为法人或者其他组织</w:t>
      </w:r>
      <w:r>
        <w:rPr>
          <w:color w:val="auto"/>
          <w:spacing w:val="-14"/>
        </w:rPr>
        <w:t>的，质疑函应由法定代表人、主要负责人，或者其授权代表签字或者盖章，并加盖公章。</w:t>
      </w:r>
    </w:p>
    <w:sectPr>
      <w:footerReference r:id="rId46" w:type="default"/>
      <w:pgSz w:w="11910" w:h="16840"/>
      <w:pgMar w:top="1460" w:right="1180" w:bottom="1080" w:left="1200" w:header="0" w:footer="8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1" o:spid="_x0000_s2049" o:spt="202" type="#_x0000_t202" style="position:absolute;left:0pt;margin-left:292.2pt;margin-top:786.6pt;height:11pt;width:11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１</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11" o:spid="_x0000_s2058" o:spt="202" type="#_x0000_t202" style="position:absolute;left:0pt;margin-left:287.6pt;margin-top:786.6pt;height:11pt;width:20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１０</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12" o:spid="_x0000_s2059" o:spt="202" type="#_x0000_t202" style="position:absolute;left:0pt;margin-left:287.6pt;margin-top:786.6pt;height:11pt;width:20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１１</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13" o:spid="_x0000_s2060" o:spt="202" type="#_x0000_t202" style="position:absolute;left:0pt;margin-left:287.6pt;margin-top:786.6pt;height:11pt;width:20pt;mso-position-horizontal-relative:page;mso-position-vertical-relative:page;z-index:-251649024;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１２</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14" o:spid="_x0000_s2061" o:spt="202" type="#_x0000_t202" style="position:absolute;left:0pt;margin-left:287.6pt;margin-top:786.6pt;height:11pt;width:20pt;mso-position-horizontal-relative:page;mso-position-vertical-relative:page;z-index:-251649024;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１３</w:t>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15" o:spid="_x0000_s2062" o:spt="202" type="#_x0000_t202" style="position:absolute;left:0pt;margin-left:287.6pt;margin-top:786.6pt;height:11pt;width:20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１４</w:t>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16" o:spid="_x0000_s2063" o:spt="202" type="#_x0000_t202" style="position:absolute;left:0pt;margin-left:287.6pt;margin-top:786.6pt;height:11pt;width:20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１５</w:t>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17" o:spid="_x0000_s2064" o:spt="202" type="#_x0000_t202" style="position:absolute;left:0pt;margin-left:287.6pt;margin-top:786.6pt;height:11pt;width:20pt;mso-position-horizontal-relative:page;mso-position-vertical-relative:page;z-index:-251646976;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１６</w:t>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18" o:spid="_x0000_s2065" o:spt="202" type="#_x0000_t202" style="position:absolute;left:0pt;margin-left:287.6pt;margin-top:786.6pt;height:11pt;width:20pt;mso-position-horizontal-relative:page;mso-position-vertical-relative:page;z-index:-251646976;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１７</w:t>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19" o:spid="_x0000_s2066" o:spt="202" type="#_x0000_t202" style="position:absolute;left:0pt;margin-left:287.6pt;margin-top:786.6pt;height:11pt;width:20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１８</w:t>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20" o:spid="_x0000_s2067" o:spt="202" type="#_x0000_t202" style="position:absolute;left:0pt;margin-left:287.6pt;margin-top:786.6pt;height:11pt;width:20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１９</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2" o:spid="_x0000_s2050" o:spt="202" type="#_x0000_t202" style="position:absolute;left:0pt;margin-left:292.2pt;margin-top:786.6pt;height:11pt;width:1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２</w:t>
                </w:r>
              </w:p>
            </w:txbxContent>
          </v:textbox>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21" o:spid="_x0000_s2068" o:spt="202" type="#_x0000_t202" style="position:absolute;left:0pt;margin-left:287.6pt;margin-top:786.6pt;height:11pt;width:20pt;mso-position-horizontal-relative:page;mso-position-vertical-relative:page;z-index:-251644928;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２０</w:t>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22" o:spid="_x0000_s2069" o:spt="202" type="#_x0000_t202" style="position:absolute;left:0pt;margin-left:287.6pt;margin-top:786.6pt;height:11pt;width:20pt;mso-position-horizontal-relative:page;mso-position-vertical-relative:page;z-index:-251644928;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２１</w:t>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23" o:spid="_x0000_s2070" o:spt="202" type="#_x0000_t202" style="position:absolute;left:0pt;margin-left:287.6pt;margin-top:786.6pt;height:11pt;width:20pt;mso-position-horizontal-relative:page;mso-position-vertical-relative:page;z-index:-251643904;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２２</w:t>
                </w:r>
              </w:p>
            </w:txbxContent>
          </v:textbox>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24" o:spid="_x0000_s2071" o:spt="202" type="#_x0000_t202" style="position:absolute;left:0pt;margin-left:287.6pt;margin-top:786.6pt;height:11pt;width:20pt;mso-position-horizontal-relative:page;mso-position-vertical-relative:page;z-index:-251643904;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２３</w:t>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25" o:spid="_x0000_s2072" o:spt="202" type="#_x0000_t202" style="position:absolute;left:0pt;margin-left:287.6pt;margin-top:786.6pt;height:11pt;width:20pt;mso-position-horizontal-relative:page;mso-position-vertical-relative:page;z-index:-251642880;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２４</w:t>
                </w:r>
              </w:p>
            </w:txbxContent>
          </v:textbox>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26" o:spid="_x0000_s2073" o:spt="202" type="#_x0000_t202" style="position:absolute;left:0pt;margin-left:287.6pt;margin-top:786.6pt;height:11pt;width:20pt;mso-position-horizontal-relative:page;mso-position-vertical-relative:page;z-index:-251642880;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２５</w:t>
                </w: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27" o:spid="_x0000_s2074" o:spt="202" type="#_x0000_t202" style="position:absolute;left:0pt;margin-left:287.6pt;margin-top:786.6pt;height:11pt;width:20pt;mso-position-horizontal-relative:page;mso-position-vertical-relative:page;z-index:-251641856;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２６</w:t>
                </w:r>
              </w:p>
            </w:txbxContent>
          </v:textbox>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28" o:spid="_x0000_s2075" o:spt="202" type="#_x0000_t202" style="position:absolute;left:0pt;margin-left:287.6pt;margin-top:786.6pt;height:11pt;width:20pt;mso-position-horizontal-relative:page;mso-position-vertical-relative:page;z-index:-251641856;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２７</w:t>
                </w:r>
              </w:p>
            </w:txbxContent>
          </v:textbox>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29" o:spid="_x0000_s2076" o:spt="202" type="#_x0000_t202" style="position:absolute;left:0pt;margin-left:287.6pt;margin-top:786.6pt;height:11pt;width:20pt;mso-position-horizontal-relative:page;mso-position-vertical-relative:page;z-index:-251640832;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２８</w:t>
                </w:r>
              </w:p>
            </w:txbxContent>
          </v:textbox>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30" o:spid="_x0000_s2077" o:spt="202" type="#_x0000_t202" style="position:absolute;left:0pt;margin-left:287.6pt;margin-top:786.6pt;height:11pt;width:20pt;mso-position-horizontal-relative:page;mso-position-vertical-relative:page;z-index:-251640832;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２９</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3" o:spid="_x0000_s2051" o:spt="202" type="#_x0000_t202" style="position:absolute;left:0pt;margin-left:292.2pt;margin-top:786.6pt;height:11pt;width:1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３</w:t>
                </w:r>
              </w:p>
            </w:txbxContent>
          </v:textbox>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31" o:spid="_x0000_s2078" o:spt="202" type="#_x0000_t202" style="position:absolute;left:0pt;margin-left:287.6pt;margin-top:786.6pt;height:11pt;width:20pt;mso-position-horizontal-relative:page;mso-position-vertical-relative:page;z-index:-251639808;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３０</w:t>
                </w:r>
              </w:p>
            </w:txbxContent>
          </v:textbox>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32" o:spid="_x0000_s2079" o:spt="202" type="#_x0000_t202" style="position:absolute;left:0pt;margin-left:287.6pt;margin-top:786.6pt;height:11pt;width:20pt;mso-position-horizontal-relative:page;mso-position-vertical-relative:page;z-index:-251639808;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３１</w:t>
                </w:r>
              </w:p>
            </w:txbxContent>
          </v:textbox>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33" o:spid="_x0000_s2080" o:spt="202" type="#_x0000_t202" style="position:absolute;left:0pt;margin-left:287.6pt;margin-top:786.6pt;height:11pt;width:20pt;mso-position-horizontal-relative:page;mso-position-vertical-relative:page;z-index:-251638784;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３２</w:t>
                </w:r>
              </w:p>
            </w:txbxContent>
          </v:textbox>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35" o:spid="_x0000_s2082" o:spt="202" type="#_x0000_t202" style="position:absolute;left:0pt;margin-left:287.6pt;margin-top:786.6pt;height:11pt;width:20pt;mso-position-horizontal-relative:page;mso-position-vertical-relative:page;z-index:-251637760;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３４</w:t>
                </w:r>
              </w:p>
            </w:txbxContent>
          </v:textbox>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36" o:spid="_x0000_s2083" o:spt="202" type="#_x0000_t202" style="position:absolute;left:0pt;margin-left:287.6pt;margin-top:786.6pt;height:11pt;width:20pt;mso-position-horizontal-relative:page;mso-position-vertical-relative:page;z-index:-251637760;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３５</w:t>
                </w:r>
              </w:p>
            </w:txbxContent>
          </v:textbox>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37" o:spid="_x0000_s2084" o:spt="202" type="#_x0000_t202" style="position:absolute;left:0pt;margin-left:287.6pt;margin-top:786.6pt;height:11pt;width:20pt;mso-position-horizontal-relative:page;mso-position-vertical-relative:page;z-index:-251636736;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３６</w:t>
                </w:r>
              </w:p>
            </w:txbxContent>
          </v:textbox>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38" o:spid="_x0000_s2085" o:spt="202" type="#_x0000_t202" style="position:absolute;left:0pt;margin-left:287.6pt;margin-top:786.6pt;height:11pt;width:20pt;mso-position-horizontal-relative:page;mso-position-vertical-relative:page;z-index:-251636736;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３７</w:t>
                </w:r>
              </w:p>
            </w:txbxContent>
          </v:textbox>
        </v:shape>
      </w:pic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41" o:spid="_x0000_s2086" o:spt="202" type="#_x0000_t202" style="position:absolute;left:0pt;margin-left:287.6pt;margin-top:786.6pt;height:11pt;width:20pt;mso-position-horizontal-relative:page;mso-position-vertical-relative:page;z-index:-251635712;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３８</w:t>
                </w:r>
              </w:p>
            </w:txbxContent>
          </v:textbox>
        </v:shape>
      </w:pic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42" o:spid="_x0000_s2087" o:spt="202" type="#_x0000_t202" style="position:absolute;left:0pt;margin-left:287.6pt;margin-top:786.6pt;height:11pt;width:20pt;mso-position-horizontal-relative:page;mso-position-vertical-relative:page;z-index:-251635712;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３９</w:t>
                </w:r>
              </w:p>
            </w:txbxContent>
          </v:textbox>
        </v:shape>
      </w:pic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43" o:spid="_x0000_s2088" o:spt="202" type="#_x0000_t202" style="position:absolute;left:0pt;margin-left:287.6pt;margin-top:786.6pt;height:11pt;width:20pt;mso-position-horizontal-relative:page;mso-position-vertical-relative:page;z-index:-251634688;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４０</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5" o:spid="_x0000_s2052" o:spt="202" type="#_x0000_t202" style="position:absolute;left:0pt;margin-left:292.2pt;margin-top:786.6pt;height:11pt;width:11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４</w:t>
                </w:r>
              </w:p>
            </w:txbxContent>
          </v:textbox>
        </v:shape>
      </w:pic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44" o:spid="_x0000_s2089" o:spt="202" type="#_x0000_t202" style="position:absolute;left:0pt;margin-left:287.6pt;margin-top:786.6pt;height:11pt;width:20pt;mso-position-horizontal-relative:page;mso-position-vertical-relative:page;z-index:-251634688;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４１</w:t>
                </w:r>
              </w:p>
            </w:txbxContent>
          </v:textbox>
        </v:shape>
      </w:pic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45" o:spid="_x0000_s2090" o:spt="202" type="#_x0000_t202" style="position:absolute;left:0pt;margin-left:287.6pt;margin-top:786.6pt;height:11pt;width:20pt;mso-position-horizontal-relative:page;mso-position-vertical-relative:page;z-index:-251633664;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４２</w:t>
                </w:r>
              </w:p>
            </w:txbxContent>
          </v:textbox>
        </v:shape>
      </w:pic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48" o:spid="_x0000_s2091" o:spt="202" type="#_x0000_t202" style="position:absolute;left:0pt;margin-left:287.6pt;margin-top:786.6pt;height:11pt;width:20pt;mso-position-horizontal-relative:page;mso-position-vertical-relative:page;z-index:-251633664;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４３</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6" o:spid="_x0000_s2053" o:spt="202" type="#_x0000_t202" style="position:absolute;left:0pt;margin-left:292.2pt;margin-top:786.6pt;height:11pt;width:11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５</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7" o:spid="_x0000_s2054" o:spt="202" type="#_x0000_t202" style="position:absolute;left:0pt;margin-left:292.2pt;margin-top:786.6pt;height:11pt;width:11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６</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8" o:spid="_x0000_s2055" o:spt="202" type="#_x0000_t202" style="position:absolute;left:0pt;margin-left:292.2pt;margin-top:786.6pt;height:11pt;width:11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７</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9" o:spid="_x0000_s2056" o:spt="202" type="#_x0000_t202" style="position:absolute;left:0pt;margin-left:292.2pt;margin-top:786.6pt;height:11pt;width:11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８</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docshape10" o:spid="_x0000_s2057" o:spt="202" type="#_x0000_t202" style="position:absolute;left:0pt;margin-left:292.2pt;margin-top:786.6pt;height:11pt;width:11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９</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641" w:hanging="423"/>
        <w:jc w:val="left"/>
      </w:pPr>
      <w:rPr>
        <w:rFonts w:hint="default"/>
        <w:lang w:val="en-US" w:eastAsia="zh-CN" w:bidi="ar-SA"/>
      </w:rPr>
    </w:lvl>
    <w:lvl w:ilvl="1" w:tentative="0">
      <w:start w:val="1"/>
      <w:numFmt w:val="decimal"/>
      <w:lvlText w:val="%1.%2"/>
      <w:lvlJc w:val="left"/>
      <w:pPr>
        <w:ind w:left="641" w:hanging="423"/>
        <w:jc w:val="left"/>
      </w:pPr>
      <w:rPr>
        <w:rFonts w:hint="default" w:ascii="宋体" w:hAnsi="宋体" w:eastAsia="宋体" w:cs="宋体"/>
        <w:b w:val="0"/>
        <w:bCs w:val="0"/>
        <w:i w:val="0"/>
        <w:iCs w:val="0"/>
        <w:w w:val="100"/>
        <w:sz w:val="21"/>
        <w:szCs w:val="21"/>
        <w:lang w:val="en-US" w:eastAsia="zh-CN" w:bidi="ar-SA"/>
      </w:rPr>
    </w:lvl>
    <w:lvl w:ilvl="2" w:tentative="0">
      <w:start w:val="0"/>
      <w:numFmt w:val="bullet"/>
      <w:lvlText w:val="•"/>
      <w:lvlJc w:val="left"/>
      <w:pPr>
        <w:ind w:left="2417" w:hanging="423"/>
      </w:pPr>
      <w:rPr>
        <w:rFonts w:hint="default"/>
        <w:lang w:val="en-US" w:eastAsia="zh-CN" w:bidi="ar-SA"/>
      </w:rPr>
    </w:lvl>
    <w:lvl w:ilvl="3" w:tentative="0">
      <w:start w:val="0"/>
      <w:numFmt w:val="bullet"/>
      <w:lvlText w:val="•"/>
      <w:lvlJc w:val="left"/>
      <w:pPr>
        <w:ind w:left="3305" w:hanging="423"/>
      </w:pPr>
      <w:rPr>
        <w:rFonts w:hint="default"/>
        <w:lang w:val="en-US" w:eastAsia="zh-CN" w:bidi="ar-SA"/>
      </w:rPr>
    </w:lvl>
    <w:lvl w:ilvl="4" w:tentative="0">
      <w:start w:val="0"/>
      <w:numFmt w:val="bullet"/>
      <w:lvlText w:val="•"/>
      <w:lvlJc w:val="left"/>
      <w:pPr>
        <w:ind w:left="4194" w:hanging="423"/>
      </w:pPr>
      <w:rPr>
        <w:rFonts w:hint="default"/>
        <w:lang w:val="en-US" w:eastAsia="zh-CN" w:bidi="ar-SA"/>
      </w:rPr>
    </w:lvl>
    <w:lvl w:ilvl="5" w:tentative="0">
      <w:start w:val="0"/>
      <w:numFmt w:val="bullet"/>
      <w:lvlText w:val="•"/>
      <w:lvlJc w:val="left"/>
      <w:pPr>
        <w:ind w:left="5083" w:hanging="423"/>
      </w:pPr>
      <w:rPr>
        <w:rFonts w:hint="default"/>
        <w:lang w:val="en-US" w:eastAsia="zh-CN" w:bidi="ar-SA"/>
      </w:rPr>
    </w:lvl>
    <w:lvl w:ilvl="6" w:tentative="0">
      <w:start w:val="0"/>
      <w:numFmt w:val="bullet"/>
      <w:lvlText w:val="•"/>
      <w:lvlJc w:val="left"/>
      <w:pPr>
        <w:ind w:left="5971" w:hanging="423"/>
      </w:pPr>
      <w:rPr>
        <w:rFonts w:hint="default"/>
        <w:lang w:val="en-US" w:eastAsia="zh-CN" w:bidi="ar-SA"/>
      </w:rPr>
    </w:lvl>
    <w:lvl w:ilvl="7" w:tentative="0">
      <w:start w:val="0"/>
      <w:numFmt w:val="bullet"/>
      <w:lvlText w:val="•"/>
      <w:lvlJc w:val="left"/>
      <w:pPr>
        <w:ind w:left="6860" w:hanging="423"/>
      </w:pPr>
      <w:rPr>
        <w:rFonts w:hint="default"/>
        <w:lang w:val="en-US" w:eastAsia="zh-CN" w:bidi="ar-SA"/>
      </w:rPr>
    </w:lvl>
    <w:lvl w:ilvl="8" w:tentative="0">
      <w:start w:val="0"/>
      <w:numFmt w:val="bullet"/>
      <w:lvlText w:val="•"/>
      <w:lvlJc w:val="left"/>
      <w:pPr>
        <w:ind w:left="7749" w:hanging="423"/>
      </w:pPr>
      <w:rPr>
        <w:rFonts w:hint="default"/>
        <w:lang w:val="en-US" w:eastAsia="zh-CN" w:bidi="ar-SA"/>
      </w:rPr>
    </w:lvl>
  </w:abstractNum>
  <w:abstractNum w:abstractNumId="1">
    <w:nsid w:val="845B5372"/>
    <w:multiLevelType w:val="multilevel"/>
    <w:tmpl w:val="845B5372"/>
    <w:lvl w:ilvl="0" w:tentative="0">
      <w:start w:val="1"/>
      <w:numFmt w:val="decimal"/>
      <w:lvlText w:val="（%1）"/>
      <w:lvlJc w:val="left"/>
      <w:pPr>
        <w:ind w:left="1407" w:hanging="529"/>
        <w:jc w:val="left"/>
      </w:pPr>
      <w:rPr>
        <w:rFonts w:hint="default" w:ascii="宋体" w:hAnsi="宋体" w:eastAsia="宋体" w:cs="宋体"/>
        <w:b w:val="0"/>
        <w:bCs w:val="0"/>
        <w:i w:val="0"/>
        <w:iCs w:val="0"/>
        <w:spacing w:val="-3"/>
        <w:w w:val="100"/>
        <w:sz w:val="19"/>
        <w:szCs w:val="19"/>
        <w:lang w:val="en-US" w:eastAsia="zh-CN" w:bidi="ar-SA"/>
      </w:rPr>
    </w:lvl>
    <w:lvl w:ilvl="1" w:tentative="0">
      <w:start w:val="0"/>
      <w:numFmt w:val="bullet"/>
      <w:lvlText w:val="•"/>
      <w:lvlJc w:val="left"/>
      <w:pPr>
        <w:ind w:left="2212" w:hanging="529"/>
      </w:pPr>
      <w:rPr>
        <w:rFonts w:hint="default"/>
        <w:lang w:val="en-US" w:eastAsia="zh-CN" w:bidi="ar-SA"/>
      </w:rPr>
    </w:lvl>
    <w:lvl w:ilvl="2" w:tentative="0">
      <w:start w:val="0"/>
      <w:numFmt w:val="bullet"/>
      <w:lvlText w:val="•"/>
      <w:lvlJc w:val="left"/>
      <w:pPr>
        <w:ind w:left="3025" w:hanging="529"/>
      </w:pPr>
      <w:rPr>
        <w:rFonts w:hint="default"/>
        <w:lang w:val="en-US" w:eastAsia="zh-CN" w:bidi="ar-SA"/>
      </w:rPr>
    </w:lvl>
    <w:lvl w:ilvl="3" w:tentative="0">
      <w:start w:val="0"/>
      <w:numFmt w:val="bullet"/>
      <w:lvlText w:val="•"/>
      <w:lvlJc w:val="left"/>
      <w:pPr>
        <w:ind w:left="3837" w:hanging="529"/>
      </w:pPr>
      <w:rPr>
        <w:rFonts w:hint="default"/>
        <w:lang w:val="en-US" w:eastAsia="zh-CN" w:bidi="ar-SA"/>
      </w:rPr>
    </w:lvl>
    <w:lvl w:ilvl="4" w:tentative="0">
      <w:start w:val="0"/>
      <w:numFmt w:val="bullet"/>
      <w:lvlText w:val="•"/>
      <w:lvlJc w:val="left"/>
      <w:pPr>
        <w:ind w:left="4650" w:hanging="529"/>
      </w:pPr>
      <w:rPr>
        <w:rFonts w:hint="default"/>
        <w:lang w:val="en-US" w:eastAsia="zh-CN" w:bidi="ar-SA"/>
      </w:rPr>
    </w:lvl>
    <w:lvl w:ilvl="5" w:tentative="0">
      <w:start w:val="0"/>
      <w:numFmt w:val="bullet"/>
      <w:lvlText w:val="•"/>
      <w:lvlJc w:val="left"/>
      <w:pPr>
        <w:ind w:left="5463" w:hanging="529"/>
      </w:pPr>
      <w:rPr>
        <w:rFonts w:hint="default"/>
        <w:lang w:val="en-US" w:eastAsia="zh-CN" w:bidi="ar-SA"/>
      </w:rPr>
    </w:lvl>
    <w:lvl w:ilvl="6" w:tentative="0">
      <w:start w:val="0"/>
      <w:numFmt w:val="bullet"/>
      <w:lvlText w:val="•"/>
      <w:lvlJc w:val="left"/>
      <w:pPr>
        <w:ind w:left="6275" w:hanging="529"/>
      </w:pPr>
      <w:rPr>
        <w:rFonts w:hint="default"/>
        <w:lang w:val="en-US" w:eastAsia="zh-CN" w:bidi="ar-SA"/>
      </w:rPr>
    </w:lvl>
    <w:lvl w:ilvl="7" w:tentative="0">
      <w:start w:val="0"/>
      <w:numFmt w:val="bullet"/>
      <w:lvlText w:val="•"/>
      <w:lvlJc w:val="left"/>
      <w:pPr>
        <w:ind w:left="7088" w:hanging="529"/>
      </w:pPr>
      <w:rPr>
        <w:rFonts w:hint="default"/>
        <w:lang w:val="en-US" w:eastAsia="zh-CN" w:bidi="ar-SA"/>
      </w:rPr>
    </w:lvl>
    <w:lvl w:ilvl="8" w:tentative="0">
      <w:start w:val="0"/>
      <w:numFmt w:val="bullet"/>
      <w:lvlText w:val="•"/>
      <w:lvlJc w:val="left"/>
      <w:pPr>
        <w:ind w:left="7901" w:hanging="529"/>
      </w:pPr>
      <w:rPr>
        <w:rFonts w:hint="default"/>
        <w:lang w:val="en-US" w:eastAsia="zh-CN" w:bidi="ar-SA"/>
      </w:rPr>
    </w:lvl>
  </w:abstractNum>
  <w:abstractNum w:abstractNumId="2">
    <w:nsid w:val="8461FADE"/>
    <w:multiLevelType w:val="multilevel"/>
    <w:tmpl w:val="8461FADE"/>
    <w:lvl w:ilvl="0" w:tentative="0">
      <w:start w:val="26"/>
      <w:numFmt w:val="decimal"/>
      <w:lvlText w:val="%1"/>
      <w:lvlJc w:val="left"/>
      <w:pPr>
        <w:ind w:left="218" w:hanging="473"/>
        <w:jc w:val="left"/>
      </w:pPr>
      <w:rPr>
        <w:rFonts w:hint="default"/>
        <w:lang w:val="en-US" w:eastAsia="zh-CN" w:bidi="ar-SA"/>
      </w:rPr>
    </w:lvl>
    <w:lvl w:ilvl="1" w:tentative="0">
      <w:start w:val="1"/>
      <w:numFmt w:val="decimal"/>
      <w:lvlText w:val="%1.%2"/>
      <w:lvlJc w:val="left"/>
      <w:pPr>
        <w:ind w:left="218" w:hanging="473"/>
        <w:jc w:val="left"/>
      </w:pPr>
      <w:rPr>
        <w:rFonts w:hint="default" w:ascii="宋体" w:hAnsi="宋体" w:eastAsia="宋体" w:cs="宋体"/>
        <w:b w:val="0"/>
        <w:bCs w:val="0"/>
        <w:i w:val="0"/>
        <w:iCs w:val="0"/>
        <w:spacing w:val="-1"/>
        <w:w w:val="100"/>
        <w:sz w:val="21"/>
        <w:szCs w:val="21"/>
        <w:lang w:val="en-US" w:eastAsia="zh-CN" w:bidi="ar-SA"/>
      </w:rPr>
    </w:lvl>
    <w:lvl w:ilvl="2" w:tentative="0">
      <w:start w:val="0"/>
      <w:numFmt w:val="bullet"/>
      <w:lvlText w:val="•"/>
      <w:lvlJc w:val="left"/>
      <w:pPr>
        <w:ind w:left="2081" w:hanging="473"/>
      </w:pPr>
      <w:rPr>
        <w:rFonts w:hint="default"/>
        <w:lang w:val="en-US" w:eastAsia="zh-CN" w:bidi="ar-SA"/>
      </w:rPr>
    </w:lvl>
    <w:lvl w:ilvl="3" w:tentative="0">
      <w:start w:val="0"/>
      <w:numFmt w:val="bullet"/>
      <w:lvlText w:val="•"/>
      <w:lvlJc w:val="left"/>
      <w:pPr>
        <w:ind w:left="3011" w:hanging="473"/>
      </w:pPr>
      <w:rPr>
        <w:rFonts w:hint="default"/>
        <w:lang w:val="en-US" w:eastAsia="zh-CN" w:bidi="ar-SA"/>
      </w:rPr>
    </w:lvl>
    <w:lvl w:ilvl="4" w:tentative="0">
      <w:start w:val="0"/>
      <w:numFmt w:val="bullet"/>
      <w:lvlText w:val="•"/>
      <w:lvlJc w:val="left"/>
      <w:pPr>
        <w:ind w:left="3942" w:hanging="473"/>
      </w:pPr>
      <w:rPr>
        <w:rFonts w:hint="default"/>
        <w:lang w:val="en-US" w:eastAsia="zh-CN" w:bidi="ar-SA"/>
      </w:rPr>
    </w:lvl>
    <w:lvl w:ilvl="5" w:tentative="0">
      <w:start w:val="0"/>
      <w:numFmt w:val="bullet"/>
      <w:lvlText w:val="•"/>
      <w:lvlJc w:val="left"/>
      <w:pPr>
        <w:ind w:left="4873" w:hanging="473"/>
      </w:pPr>
      <w:rPr>
        <w:rFonts w:hint="default"/>
        <w:lang w:val="en-US" w:eastAsia="zh-CN" w:bidi="ar-SA"/>
      </w:rPr>
    </w:lvl>
    <w:lvl w:ilvl="6" w:tentative="0">
      <w:start w:val="0"/>
      <w:numFmt w:val="bullet"/>
      <w:lvlText w:val="•"/>
      <w:lvlJc w:val="left"/>
      <w:pPr>
        <w:ind w:left="5803" w:hanging="473"/>
      </w:pPr>
      <w:rPr>
        <w:rFonts w:hint="default"/>
        <w:lang w:val="en-US" w:eastAsia="zh-CN" w:bidi="ar-SA"/>
      </w:rPr>
    </w:lvl>
    <w:lvl w:ilvl="7" w:tentative="0">
      <w:start w:val="0"/>
      <w:numFmt w:val="bullet"/>
      <w:lvlText w:val="•"/>
      <w:lvlJc w:val="left"/>
      <w:pPr>
        <w:ind w:left="6734" w:hanging="473"/>
      </w:pPr>
      <w:rPr>
        <w:rFonts w:hint="default"/>
        <w:lang w:val="en-US" w:eastAsia="zh-CN" w:bidi="ar-SA"/>
      </w:rPr>
    </w:lvl>
    <w:lvl w:ilvl="8" w:tentative="0">
      <w:start w:val="0"/>
      <w:numFmt w:val="bullet"/>
      <w:lvlText w:val="•"/>
      <w:lvlJc w:val="left"/>
      <w:pPr>
        <w:ind w:left="7665" w:hanging="473"/>
      </w:pPr>
      <w:rPr>
        <w:rFonts w:hint="default"/>
        <w:lang w:val="en-US" w:eastAsia="zh-CN" w:bidi="ar-SA"/>
      </w:rPr>
    </w:lvl>
  </w:abstractNum>
  <w:abstractNum w:abstractNumId="3">
    <w:nsid w:val="8CAEB125"/>
    <w:multiLevelType w:val="multilevel"/>
    <w:tmpl w:val="8CAEB125"/>
    <w:lvl w:ilvl="0" w:tentative="0">
      <w:start w:val="1"/>
      <w:numFmt w:val="decimal"/>
      <w:lvlText w:val="%1."/>
      <w:lvlJc w:val="left"/>
      <w:pPr>
        <w:ind w:left="579" w:hanging="361"/>
        <w:jc w:val="left"/>
      </w:pPr>
      <w:rPr>
        <w:rFonts w:hint="default"/>
        <w:w w:val="99"/>
        <w:lang w:val="en-US" w:eastAsia="zh-CN" w:bidi="ar-SA"/>
      </w:rPr>
    </w:lvl>
    <w:lvl w:ilvl="1" w:tentative="0">
      <w:start w:val="0"/>
      <w:numFmt w:val="bullet"/>
      <w:lvlText w:val="•"/>
      <w:lvlJc w:val="left"/>
      <w:pPr>
        <w:ind w:left="1474" w:hanging="361"/>
      </w:pPr>
      <w:rPr>
        <w:rFonts w:hint="default"/>
        <w:lang w:val="en-US" w:eastAsia="zh-CN" w:bidi="ar-SA"/>
      </w:rPr>
    </w:lvl>
    <w:lvl w:ilvl="2" w:tentative="0">
      <w:start w:val="0"/>
      <w:numFmt w:val="bullet"/>
      <w:lvlText w:val="•"/>
      <w:lvlJc w:val="left"/>
      <w:pPr>
        <w:ind w:left="2369" w:hanging="361"/>
      </w:pPr>
      <w:rPr>
        <w:rFonts w:hint="default"/>
        <w:lang w:val="en-US" w:eastAsia="zh-CN" w:bidi="ar-SA"/>
      </w:rPr>
    </w:lvl>
    <w:lvl w:ilvl="3" w:tentative="0">
      <w:start w:val="0"/>
      <w:numFmt w:val="bullet"/>
      <w:lvlText w:val="•"/>
      <w:lvlJc w:val="left"/>
      <w:pPr>
        <w:ind w:left="3263" w:hanging="361"/>
      </w:pPr>
      <w:rPr>
        <w:rFonts w:hint="default"/>
        <w:lang w:val="en-US" w:eastAsia="zh-CN" w:bidi="ar-SA"/>
      </w:rPr>
    </w:lvl>
    <w:lvl w:ilvl="4" w:tentative="0">
      <w:start w:val="0"/>
      <w:numFmt w:val="bullet"/>
      <w:lvlText w:val="•"/>
      <w:lvlJc w:val="left"/>
      <w:pPr>
        <w:ind w:left="4158" w:hanging="361"/>
      </w:pPr>
      <w:rPr>
        <w:rFonts w:hint="default"/>
        <w:lang w:val="en-US" w:eastAsia="zh-CN" w:bidi="ar-SA"/>
      </w:rPr>
    </w:lvl>
    <w:lvl w:ilvl="5" w:tentative="0">
      <w:start w:val="0"/>
      <w:numFmt w:val="bullet"/>
      <w:lvlText w:val="•"/>
      <w:lvlJc w:val="left"/>
      <w:pPr>
        <w:ind w:left="5053" w:hanging="361"/>
      </w:pPr>
      <w:rPr>
        <w:rFonts w:hint="default"/>
        <w:lang w:val="en-US" w:eastAsia="zh-CN" w:bidi="ar-SA"/>
      </w:rPr>
    </w:lvl>
    <w:lvl w:ilvl="6" w:tentative="0">
      <w:start w:val="0"/>
      <w:numFmt w:val="bullet"/>
      <w:lvlText w:val="•"/>
      <w:lvlJc w:val="left"/>
      <w:pPr>
        <w:ind w:left="5947" w:hanging="361"/>
      </w:pPr>
      <w:rPr>
        <w:rFonts w:hint="default"/>
        <w:lang w:val="en-US" w:eastAsia="zh-CN" w:bidi="ar-SA"/>
      </w:rPr>
    </w:lvl>
    <w:lvl w:ilvl="7" w:tentative="0">
      <w:start w:val="0"/>
      <w:numFmt w:val="bullet"/>
      <w:lvlText w:val="•"/>
      <w:lvlJc w:val="left"/>
      <w:pPr>
        <w:ind w:left="6842" w:hanging="361"/>
      </w:pPr>
      <w:rPr>
        <w:rFonts w:hint="default"/>
        <w:lang w:val="en-US" w:eastAsia="zh-CN" w:bidi="ar-SA"/>
      </w:rPr>
    </w:lvl>
    <w:lvl w:ilvl="8" w:tentative="0">
      <w:start w:val="0"/>
      <w:numFmt w:val="bullet"/>
      <w:lvlText w:val="•"/>
      <w:lvlJc w:val="left"/>
      <w:pPr>
        <w:ind w:left="7737" w:hanging="361"/>
      </w:pPr>
      <w:rPr>
        <w:rFonts w:hint="default"/>
        <w:lang w:val="en-US" w:eastAsia="zh-CN" w:bidi="ar-SA"/>
      </w:rPr>
    </w:lvl>
  </w:abstractNum>
  <w:abstractNum w:abstractNumId="4">
    <w:nsid w:val="91995D4F"/>
    <w:multiLevelType w:val="multilevel"/>
    <w:tmpl w:val="91995D4F"/>
    <w:lvl w:ilvl="0" w:tentative="0">
      <w:start w:val="14"/>
      <w:numFmt w:val="decimal"/>
      <w:lvlText w:val="%1"/>
      <w:lvlJc w:val="left"/>
      <w:pPr>
        <w:ind w:left="638" w:hanging="473"/>
        <w:jc w:val="left"/>
      </w:pPr>
      <w:rPr>
        <w:rFonts w:hint="default"/>
        <w:lang w:val="en-US" w:eastAsia="zh-CN" w:bidi="ar-SA"/>
      </w:rPr>
    </w:lvl>
    <w:lvl w:ilvl="1" w:tentative="0">
      <w:start w:val="1"/>
      <w:numFmt w:val="decimal"/>
      <w:lvlText w:val="%1.%2"/>
      <w:lvlJc w:val="left"/>
      <w:pPr>
        <w:ind w:left="638" w:hanging="473"/>
        <w:jc w:val="left"/>
      </w:pPr>
      <w:rPr>
        <w:rFonts w:hint="default" w:ascii="宋体" w:hAnsi="宋体" w:eastAsia="宋体" w:cs="宋体"/>
        <w:b w:val="0"/>
        <w:bCs w:val="0"/>
        <w:i w:val="0"/>
        <w:iCs w:val="0"/>
        <w:w w:val="100"/>
        <w:sz w:val="21"/>
        <w:szCs w:val="21"/>
        <w:lang w:val="en-US" w:eastAsia="zh-CN" w:bidi="ar-SA"/>
      </w:rPr>
    </w:lvl>
    <w:lvl w:ilvl="2" w:tentative="0">
      <w:start w:val="0"/>
      <w:numFmt w:val="bullet"/>
      <w:lvlText w:val="•"/>
      <w:lvlJc w:val="left"/>
      <w:pPr>
        <w:ind w:left="2417" w:hanging="473"/>
      </w:pPr>
      <w:rPr>
        <w:rFonts w:hint="default"/>
        <w:lang w:val="en-US" w:eastAsia="zh-CN" w:bidi="ar-SA"/>
      </w:rPr>
    </w:lvl>
    <w:lvl w:ilvl="3" w:tentative="0">
      <w:start w:val="0"/>
      <w:numFmt w:val="bullet"/>
      <w:lvlText w:val="•"/>
      <w:lvlJc w:val="left"/>
      <w:pPr>
        <w:ind w:left="3305" w:hanging="473"/>
      </w:pPr>
      <w:rPr>
        <w:rFonts w:hint="default"/>
        <w:lang w:val="en-US" w:eastAsia="zh-CN" w:bidi="ar-SA"/>
      </w:rPr>
    </w:lvl>
    <w:lvl w:ilvl="4" w:tentative="0">
      <w:start w:val="0"/>
      <w:numFmt w:val="bullet"/>
      <w:lvlText w:val="•"/>
      <w:lvlJc w:val="left"/>
      <w:pPr>
        <w:ind w:left="4194" w:hanging="473"/>
      </w:pPr>
      <w:rPr>
        <w:rFonts w:hint="default"/>
        <w:lang w:val="en-US" w:eastAsia="zh-CN" w:bidi="ar-SA"/>
      </w:rPr>
    </w:lvl>
    <w:lvl w:ilvl="5" w:tentative="0">
      <w:start w:val="0"/>
      <w:numFmt w:val="bullet"/>
      <w:lvlText w:val="•"/>
      <w:lvlJc w:val="left"/>
      <w:pPr>
        <w:ind w:left="5083" w:hanging="473"/>
      </w:pPr>
      <w:rPr>
        <w:rFonts w:hint="default"/>
        <w:lang w:val="en-US" w:eastAsia="zh-CN" w:bidi="ar-SA"/>
      </w:rPr>
    </w:lvl>
    <w:lvl w:ilvl="6" w:tentative="0">
      <w:start w:val="0"/>
      <w:numFmt w:val="bullet"/>
      <w:lvlText w:val="•"/>
      <w:lvlJc w:val="left"/>
      <w:pPr>
        <w:ind w:left="5971" w:hanging="473"/>
      </w:pPr>
      <w:rPr>
        <w:rFonts w:hint="default"/>
        <w:lang w:val="en-US" w:eastAsia="zh-CN" w:bidi="ar-SA"/>
      </w:rPr>
    </w:lvl>
    <w:lvl w:ilvl="7" w:tentative="0">
      <w:start w:val="0"/>
      <w:numFmt w:val="bullet"/>
      <w:lvlText w:val="•"/>
      <w:lvlJc w:val="left"/>
      <w:pPr>
        <w:ind w:left="6860" w:hanging="473"/>
      </w:pPr>
      <w:rPr>
        <w:rFonts w:hint="default"/>
        <w:lang w:val="en-US" w:eastAsia="zh-CN" w:bidi="ar-SA"/>
      </w:rPr>
    </w:lvl>
    <w:lvl w:ilvl="8" w:tentative="0">
      <w:start w:val="0"/>
      <w:numFmt w:val="bullet"/>
      <w:lvlText w:val="•"/>
      <w:lvlJc w:val="left"/>
      <w:pPr>
        <w:ind w:left="7749" w:hanging="473"/>
      </w:pPr>
      <w:rPr>
        <w:rFonts w:hint="default"/>
        <w:lang w:val="en-US" w:eastAsia="zh-CN" w:bidi="ar-SA"/>
      </w:rPr>
    </w:lvl>
  </w:abstractNum>
  <w:abstractNum w:abstractNumId="5">
    <w:nsid w:val="9239341B"/>
    <w:multiLevelType w:val="multilevel"/>
    <w:tmpl w:val="9239341B"/>
    <w:lvl w:ilvl="0" w:tentative="0">
      <w:start w:val="6"/>
      <w:numFmt w:val="decimal"/>
      <w:lvlText w:val="%1"/>
      <w:lvlJc w:val="left"/>
      <w:pPr>
        <w:ind w:left="218" w:hanging="423"/>
        <w:jc w:val="left"/>
      </w:pPr>
      <w:rPr>
        <w:rFonts w:hint="default"/>
        <w:lang w:val="en-US" w:eastAsia="zh-CN" w:bidi="ar-SA"/>
      </w:rPr>
    </w:lvl>
    <w:lvl w:ilvl="1" w:tentative="0">
      <w:start w:val="1"/>
      <w:numFmt w:val="decimal"/>
      <w:lvlText w:val="%1.%2"/>
      <w:lvlJc w:val="left"/>
      <w:pPr>
        <w:ind w:left="218" w:hanging="423"/>
        <w:jc w:val="left"/>
      </w:pPr>
      <w:rPr>
        <w:rFonts w:hint="default" w:ascii="宋体" w:hAnsi="宋体" w:eastAsia="宋体" w:cs="宋体"/>
        <w:b w:val="0"/>
        <w:bCs w:val="0"/>
        <w:i w:val="0"/>
        <w:iCs w:val="0"/>
        <w:w w:val="100"/>
        <w:sz w:val="21"/>
        <w:szCs w:val="21"/>
        <w:lang w:val="en-US" w:eastAsia="zh-CN" w:bidi="ar-SA"/>
      </w:rPr>
    </w:lvl>
    <w:lvl w:ilvl="2" w:tentative="0">
      <w:start w:val="0"/>
      <w:numFmt w:val="bullet"/>
      <w:lvlText w:val="•"/>
      <w:lvlJc w:val="left"/>
      <w:pPr>
        <w:ind w:left="2081" w:hanging="423"/>
      </w:pPr>
      <w:rPr>
        <w:rFonts w:hint="default"/>
        <w:lang w:val="en-US" w:eastAsia="zh-CN" w:bidi="ar-SA"/>
      </w:rPr>
    </w:lvl>
    <w:lvl w:ilvl="3" w:tentative="0">
      <w:start w:val="0"/>
      <w:numFmt w:val="bullet"/>
      <w:lvlText w:val="•"/>
      <w:lvlJc w:val="left"/>
      <w:pPr>
        <w:ind w:left="3011" w:hanging="423"/>
      </w:pPr>
      <w:rPr>
        <w:rFonts w:hint="default"/>
        <w:lang w:val="en-US" w:eastAsia="zh-CN" w:bidi="ar-SA"/>
      </w:rPr>
    </w:lvl>
    <w:lvl w:ilvl="4" w:tentative="0">
      <w:start w:val="0"/>
      <w:numFmt w:val="bullet"/>
      <w:lvlText w:val="•"/>
      <w:lvlJc w:val="left"/>
      <w:pPr>
        <w:ind w:left="3942" w:hanging="423"/>
      </w:pPr>
      <w:rPr>
        <w:rFonts w:hint="default"/>
        <w:lang w:val="en-US" w:eastAsia="zh-CN" w:bidi="ar-SA"/>
      </w:rPr>
    </w:lvl>
    <w:lvl w:ilvl="5" w:tentative="0">
      <w:start w:val="0"/>
      <w:numFmt w:val="bullet"/>
      <w:lvlText w:val="•"/>
      <w:lvlJc w:val="left"/>
      <w:pPr>
        <w:ind w:left="4873" w:hanging="423"/>
      </w:pPr>
      <w:rPr>
        <w:rFonts w:hint="default"/>
        <w:lang w:val="en-US" w:eastAsia="zh-CN" w:bidi="ar-SA"/>
      </w:rPr>
    </w:lvl>
    <w:lvl w:ilvl="6" w:tentative="0">
      <w:start w:val="0"/>
      <w:numFmt w:val="bullet"/>
      <w:lvlText w:val="•"/>
      <w:lvlJc w:val="left"/>
      <w:pPr>
        <w:ind w:left="5803" w:hanging="423"/>
      </w:pPr>
      <w:rPr>
        <w:rFonts w:hint="default"/>
        <w:lang w:val="en-US" w:eastAsia="zh-CN" w:bidi="ar-SA"/>
      </w:rPr>
    </w:lvl>
    <w:lvl w:ilvl="7" w:tentative="0">
      <w:start w:val="0"/>
      <w:numFmt w:val="bullet"/>
      <w:lvlText w:val="•"/>
      <w:lvlJc w:val="left"/>
      <w:pPr>
        <w:ind w:left="6734" w:hanging="423"/>
      </w:pPr>
      <w:rPr>
        <w:rFonts w:hint="default"/>
        <w:lang w:val="en-US" w:eastAsia="zh-CN" w:bidi="ar-SA"/>
      </w:rPr>
    </w:lvl>
    <w:lvl w:ilvl="8" w:tentative="0">
      <w:start w:val="0"/>
      <w:numFmt w:val="bullet"/>
      <w:lvlText w:val="•"/>
      <w:lvlJc w:val="left"/>
      <w:pPr>
        <w:ind w:left="7665" w:hanging="423"/>
      </w:pPr>
      <w:rPr>
        <w:rFonts w:hint="default"/>
        <w:lang w:val="en-US" w:eastAsia="zh-CN" w:bidi="ar-SA"/>
      </w:rPr>
    </w:lvl>
  </w:abstractNum>
  <w:abstractNum w:abstractNumId="6">
    <w:nsid w:val="9288B902"/>
    <w:multiLevelType w:val="multilevel"/>
    <w:tmpl w:val="9288B902"/>
    <w:lvl w:ilvl="0" w:tentative="0">
      <w:start w:val="24"/>
      <w:numFmt w:val="decimal"/>
      <w:lvlText w:val="%1"/>
      <w:lvlJc w:val="left"/>
      <w:pPr>
        <w:ind w:left="1164" w:hanging="526"/>
        <w:jc w:val="left"/>
      </w:pPr>
      <w:rPr>
        <w:rFonts w:hint="default"/>
        <w:lang w:val="en-US" w:eastAsia="zh-CN" w:bidi="ar-SA"/>
      </w:rPr>
    </w:lvl>
    <w:lvl w:ilvl="1" w:tentative="0">
      <w:start w:val="1"/>
      <w:numFmt w:val="decimal"/>
      <w:lvlText w:val="%1.%2"/>
      <w:lvlJc w:val="left"/>
      <w:pPr>
        <w:ind w:left="1164" w:hanging="526"/>
        <w:jc w:val="left"/>
      </w:pPr>
      <w:rPr>
        <w:rFonts w:hint="default" w:ascii="宋体" w:hAnsi="宋体" w:eastAsia="宋体" w:cs="宋体"/>
        <w:b w:val="0"/>
        <w:bCs w:val="0"/>
        <w:i w:val="0"/>
        <w:iCs w:val="0"/>
        <w:w w:val="100"/>
        <w:sz w:val="21"/>
        <w:szCs w:val="21"/>
        <w:lang w:val="en-US" w:eastAsia="zh-CN" w:bidi="ar-SA"/>
      </w:rPr>
    </w:lvl>
    <w:lvl w:ilvl="2" w:tentative="0">
      <w:start w:val="0"/>
      <w:numFmt w:val="bullet"/>
      <w:lvlText w:val="•"/>
      <w:lvlJc w:val="left"/>
      <w:pPr>
        <w:ind w:left="2833" w:hanging="526"/>
      </w:pPr>
      <w:rPr>
        <w:rFonts w:hint="default"/>
        <w:lang w:val="en-US" w:eastAsia="zh-CN" w:bidi="ar-SA"/>
      </w:rPr>
    </w:lvl>
    <w:lvl w:ilvl="3" w:tentative="0">
      <w:start w:val="0"/>
      <w:numFmt w:val="bullet"/>
      <w:lvlText w:val="•"/>
      <w:lvlJc w:val="left"/>
      <w:pPr>
        <w:ind w:left="3669" w:hanging="526"/>
      </w:pPr>
      <w:rPr>
        <w:rFonts w:hint="default"/>
        <w:lang w:val="en-US" w:eastAsia="zh-CN" w:bidi="ar-SA"/>
      </w:rPr>
    </w:lvl>
    <w:lvl w:ilvl="4" w:tentative="0">
      <w:start w:val="0"/>
      <w:numFmt w:val="bullet"/>
      <w:lvlText w:val="•"/>
      <w:lvlJc w:val="left"/>
      <w:pPr>
        <w:ind w:left="4506" w:hanging="526"/>
      </w:pPr>
      <w:rPr>
        <w:rFonts w:hint="default"/>
        <w:lang w:val="en-US" w:eastAsia="zh-CN" w:bidi="ar-SA"/>
      </w:rPr>
    </w:lvl>
    <w:lvl w:ilvl="5" w:tentative="0">
      <w:start w:val="0"/>
      <w:numFmt w:val="bullet"/>
      <w:lvlText w:val="•"/>
      <w:lvlJc w:val="left"/>
      <w:pPr>
        <w:ind w:left="5343" w:hanging="526"/>
      </w:pPr>
      <w:rPr>
        <w:rFonts w:hint="default"/>
        <w:lang w:val="en-US" w:eastAsia="zh-CN" w:bidi="ar-SA"/>
      </w:rPr>
    </w:lvl>
    <w:lvl w:ilvl="6" w:tentative="0">
      <w:start w:val="0"/>
      <w:numFmt w:val="bullet"/>
      <w:lvlText w:val="•"/>
      <w:lvlJc w:val="left"/>
      <w:pPr>
        <w:ind w:left="6179" w:hanging="526"/>
      </w:pPr>
      <w:rPr>
        <w:rFonts w:hint="default"/>
        <w:lang w:val="en-US" w:eastAsia="zh-CN" w:bidi="ar-SA"/>
      </w:rPr>
    </w:lvl>
    <w:lvl w:ilvl="7" w:tentative="0">
      <w:start w:val="0"/>
      <w:numFmt w:val="bullet"/>
      <w:lvlText w:val="•"/>
      <w:lvlJc w:val="left"/>
      <w:pPr>
        <w:ind w:left="7016" w:hanging="526"/>
      </w:pPr>
      <w:rPr>
        <w:rFonts w:hint="default"/>
        <w:lang w:val="en-US" w:eastAsia="zh-CN" w:bidi="ar-SA"/>
      </w:rPr>
    </w:lvl>
    <w:lvl w:ilvl="8" w:tentative="0">
      <w:start w:val="0"/>
      <w:numFmt w:val="bullet"/>
      <w:lvlText w:val="•"/>
      <w:lvlJc w:val="left"/>
      <w:pPr>
        <w:ind w:left="7853" w:hanging="526"/>
      </w:pPr>
      <w:rPr>
        <w:rFonts w:hint="default"/>
        <w:lang w:val="en-US" w:eastAsia="zh-CN" w:bidi="ar-SA"/>
      </w:rPr>
    </w:lvl>
  </w:abstractNum>
  <w:abstractNum w:abstractNumId="7">
    <w:nsid w:val="9C8AC8EF"/>
    <w:multiLevelType w:val="multilevel"/>
    <w:tmpl w:val="9C8AC8EF"/>
    <w:lvl w:ilvl="0" w:tentative="0">
      <w:start w:val="18"/>
      <w:numFmt w:val="decimal"/>
      <w:lvlText w:val="%1"/>
      <w:lvlJc w:val="left"/>
      <w:pPr>
        <w:ind w:left="218" w:hanging="473"/>
        <w:jc w:val="left"/>
      </w:pPr>
      <w:rPr>
        <w:rFonts w:hint="default"/>
        <w:lang w:val="en-US" w:eastAsia="zh-CN" w:bidi="ar-SA"/>
      </w:rPr>
    </w:lvl>
    <w:lvl w:ilvl="1" w:tentative="0">
      <w:start w:val="1"/>
      <w:numFmt w:val="decimal"/>
      <w:lvlText w:val="%1.%2"/>
      <w:lvlJc w:val="left"/>
      <w:pPr>
        <w:ind w:left="218" w:hanging="473"/>
        <w:jc w:val="left"/>
      </w:pPr>
      <w:rPr>
        <w:rFonts w:hint="default" w:ascii="宋体" w:hAnsi="宋体" w:eastAsia="宋体" w:cs="宋体"/>
        <w:b w:val="0"/>
        <w:bCs w:val="0"/>
        <w:i w:val="0"/>
        <w:iCs w:val="0"/>
        <w:w w:val="100"/>
        <w:sz w:val="21"/>
        <w:szCs w:val="21"/>
        <w:lang w:val="en-US" w:eastAsia="zh-CN" w:bidi="ar-SA"/>
      </w:rPr>
    </w:lvl>
    <w:lvl w:ilvl="2" w:tentative="0">
      <w:start w:val="0"/>
      <w:numFmt w:val="bullet"/>
      <w:lvlText w:val="•"/>
      <w:lvlJc w:val="left"/>
      <w:pPr>
        <w:ind w:left="2081" w:hanging="473"/>
      </w:pPr>
      <w:rPr>
        <w:rFonts w:hint="default"/>
        <w:lang w:val="en-US" w:eastAsia="zh-CN" w:bidi="ar-SA"/>
      </w:rPr>
    </w:lvl>
    <w:lvl w:ilvl="3" w:tentative="0">
      <w:start w:val="0"/>
      <w:numFmt w:val="bullet"/>
      <w:lvlText w:val="•"/>
      <w:lvlJc w:val="left"/>
      <w:pPr>
        <w:ind w:left="3011" w:hanging="473"/>
      </w:pPr>
      <w:rPr>
        <w:rFonts w:hint="default"/>
        <w:lang w:val="en-US" w:eastAsia="zh-CN" w:bidi="ar-SA"/>
      </w:rPr>
    </w:lvl>
    <w:lvl w:ilvl="4" w:tentative="0">
      <w:start w:val="0"/>
      <w:numFmt w:val="bullet"/>
      <w:lvlText w:val="•"/>
      <w:lvlJc w:val="left"/>
      <w:pPr>
        <w:ind w:left="3942" w:hanging="473"/>
      </w:pPr>
      <w:rPr>
        <w:rFonts w:hint="default"/>
        <w:lang w:val="en-US" w:eastAsia="zh-CN" w:bidi="ar-SA"/>
      </w:rPr>
    </w:lvl>
    <w:lvl w:ilvl="5" w:tentative="0">
      <w:start w:val="0"/>
      <w:numFmt w:val="bullet"/>
      <w:lvlText w:val="•"/>
      <w:lvlJc w:val="left"/>
      <w:pPr>
        <w:ind w:left="4873" w:hanging="473"/>
      </w:pPr>
      <w:rPr>
        <w:rFonts w:hint="default"/>
        <w:lang w:val="en-US" w:eastAsia="zh-CN" w:bidi="ar-SA"/>
      </w:rPr>
    </w:lvl>
    <w:lvl w:ilvl="6" w:tentative="0">
      <w:start w:val="0"/>
      <w:numFmt w:val="bullet"/>
      <w:lvlText w:val="•"/>
      <w:lvlJc w:val="left"/>
      <w:pPr>
        <w:ind w:left="5803" w:hanging="473"/>
      </w:pPr>
      <w:rPr>
        <w:rFonts w:hint="default"/>
        <w:lang w:val="en-US" w:eastAsia="zh-CN" w:bidi="ar-SA"/>
      </w:rPr>
    </w:lvl>
    <w:lvl w:ilvl="7" w:tentative="0">
      <w:start w:val="0"/>
      <w:numFmt w:val="bullet"/>
      <w:lvlText w:val="•"/>
      <w:lvlJc w:val="left"/>
      <w:pPr>
        <w:ind w:left="6734" w:hanging="473"/>
      </w:pPr>
      <w:rPr>
        <w:rFonts w:hint="default"/>
        <w:lang w:val="en-US" w:eastAsia="zh-CN" w:bidi="ar-SA"/>
      </w:rPr>
    </w:lvl>
    <w:lvl w:ilvl="8" w:tentative="0">
      <w:start w:val="0"/>
      <w:numFmt w:val="bullet"/>
      <w:lvlText w:val="•"/>
      <w:lvlJc w:val="left"/>
      <w:pPr>
        <w:ind w:left="7665" w:hanging="473"/>
      </w:pPr>
      <w:rPr>
        <w:rFonts w:hint="default"/>
        <w:lang w:val="en-US" w:eastAsia="zh-CN" w:bidi="ar-SA"/>
      </w:rPr>
    </w:lvl>
  </w:abstractNum>
  <w:abstractNum w:abstractNumId="8">
    <w:nsid w:val="B0F1ACD9"/>
    <w:multiLevelType w:val="multilevel"/>
    <w:tmpl w:val="B0F1ACD9"/>
    <w:lvl w:ilvl="0" w:tentative="0">
      <w:start w:val="1"/>
      <w:numFmt w:val="decimal"/>
      <w:lvlText w:val="（%1）"/>
      <w:lvlJc w:val="left"/>
      <w:pPr>
        <w:ind w:left="1167" w:hanging="529"/>
        <w:jc w:val="left"/>
      </w:pPr>
      <w:rPr>
        <w:rFonts w:hint="default" w:ascii="宋体" w:hAnsi="宋体" w:eastAsia="宋体" w:cs="宋体"/>
        <w:b/>
        <w:bCs/>
        <w:i w:val="0"/>
        <w:iCs w:val="0"/>
        <w:spacing w:val="-3"/>
        <w:w w:val="99"/>
        <w:sz w:val="19"/>
        <w:szCs w:val="19"/>
        <w:lang w:val="en-US" w:eastAsia="zh-CN" w:bidi="ar-SA"/>
      </w:rPr>
    </w:lvl>
    <w:lvl w:ilvl="1" w:tentative="0">
      <w:start w:val="0"/>
      <w:numFmt w:val="bullet"/>
      <w:lvlText w:val="•"/>
      <w:lvlJc w:val="left"/>
      <w:pPr>
        <w:ind w:left="1996" w:hanging="529"/>
      </w:pPr>
      <w:rPr>
        <w:rFonts w:hint="default"/>
        <w:lang w:val="en-US" w:eastAsia="zh-CN" w:bidi="ar-SA"/>
      </w:rPr>
    </w:lvl>
    <w:lvl w:ilvl="2" w:tentative="0">
      <w:start w:val="0"/>
      <w:numFmt w:val="bullet"/>
      <w:lvlText w:val="•"/>
      <w:lvlJc w:val="left"/>
      <w:pPr>
        <w:ind w:left="2833" w:hanging="529"/>
      </w:pPr>
      <w:rPr>
        <w:rFonts w:hint="default"/>
        <w:lang w:val="en-US" w:eastAsia="zh-CN" w:bidi="ar-SA"/>
      </w:rPr>
    </w:lvl>
    <w:lvl w:ilvl="3" w:tentative="0">
      <w:start w:val="0"/>
      <w:numFmt w:val="bullet"/>
      <w:lvlText w:val="•"/>
      <w:lvlJc w:val="left"/>
      <w:pPr>
        <w:ind w:left="3669" w:hanging="529"/>
      </w:pPr>
      <w:rPr>
        <w:rFonts w:hint="default"/>
        <w:lang w:val="en-US" w:eastAsia="zh-CN" w:bidi="ar-SA"/>
      </w:rPr>
    </w:lvl>
    <w:lvl w:ilvl="4" w:tentative="0">
      <w:start w:val="0"/>
      <w:numFmt w:val="bullet"/>
      <w:lvlText w:val="•"/>
      <w:lvlJc w:val="left"/>
      <w:pPr>
        <w:ind w:left="4506" w:hanging="529"/>
      </w:pPr>
      <w:rPr>
        <w:rFonts w:hint="default"/>
        <w:lang w:val="en-US" w:eastAsia="zh-CN" w:bidi="ar-SA"/>
      </w:rPr>
    </w:lvl>
    <w:lvl w:ilvl="5" w:tentative="0">
      <w:start w:val="0"/>
      <w:numFmt w:val="bullet"/>
      <w:lvlText w:val="•"/>
      <w:lvlJc w:val="left"/>
      <w:pPr>
        <w:ind w:left="5343" w:hanging="529"/>
      </w:pPr>
      <w:rPr>
        <w:rFonts w:hint="default"/>
        <w:lang w:val="en-US" w:eastAsia="zh-CN" w:bidi="ar-SA"/>
      </w:rPr>
    </w:lvl>
    <w:lvl w:ilvl="6" w:tentative="0">
      <w:start w:val="0"/>
      <w:numFmt w:val="bullet"/>
      <w:lvlText w:val="•"/>
      <w:lvlJc w:val="left"/>
      <w:pPr>
        <w:ind w:left="6179" w:hanging="529"/>
      </w:pPr>
      <w:rPr>
        <w:rFonts w:hint="default"/>
        <w:lang w:val="en-US" w:eastAsia="zh-CN" w:bidi="ar-SA"/>
      </w:rPr>
    </w:lvl>
    <w:lvl w:ilvl="7" w:tentative="0">
      <w:start w:val="0"/>
      <w:numFmt w:val="bullet"/>
      <w:lvlText w:val="•"/>
      <w:lvlJc w:val="left"/>
      <w:pPr>
        <w:ind w:left="7016" w:hanging="529"/>
      </w:pPr>
      <w:rPr>
        <w:rFonts w:hint="default"/>
        <w:lang w:val="en-US" w:eastAsia="zh-CN" w:bidi="ar-SA"/>
      </w:rPr>
    </w:lvl>
    <w:lvl w:ilvl="8" w:tentative="0">
      <w:start w:val="0"/>
      <w:numFmt w:val="bullet"/>
      <w:lvlText w:val="•"/>
      <w:lvlJc w:val="left"/>
      <w:pPr>
        <w:ind w:left="7853" w:hanging="529"/>
      </w:pPr>
      <w:rPr>
        <w:rFonts w:hint="default"/>
        <w:lang w:val="en-US" w:eastAsia="zh-CN" w:bidi="ar-SA"/>
      </w:rPr>
    </w:lvl>
  </w:abstractNum>
  <w:abstractNum w:abstractNumId="9">
    <w:nsid w:val="B5E306ED"/>
    <w:multiLevelType w:val="multilevel"/>
    <w:tmpl w:val="B5E306ED"/>
    <w:lvl w:ilvl="0" w:tentative="0">
      <w:start w:val="3"/>
      <w:numFmt w:val="decimal"/>
      <w:lvlText w:val="%1"/>
      <w:lvlJc w:val="left"/>
      <w:pPr>
        <w:ind w:left="1008" w:hanging="370"/>
        <w:jc w:val="left"/>
      </w:pPr>
      <w:rPr>
        <w:rFonts w:hint="default"/>
        <w:lang w:val="en-US" w:eastAsia="zh-CN" w:bidi="ar-SA"/>
      </w:rPr>
    </w:lvl>
    <w:lvl w:ilvl="1" w:tentative="0">
      <w:start w:val="1"/>
      <w:numFmt w:val="decimal"/>
      <w:lvlText w:val="%1.%2"/>
      <w:lvlJc w:val="left"/>
      <w:pPr>
        <w:ind w:left="1008" w:hanging="370"/>
        <w:jc w:val="left"/>
      </w:pPr>
      <w:rPr>
        <w:rFonts w:hint="default" w:ascii="宋体" w:hAnsi="宋体" w:eastAsia="宋体" w:cs="宋体"/>
        <w:b w:val="0"/>
        <w:bCs w:val="0"/>
        <w:i w:val="0"/>
        <w:iCs w:val="0"/>
        <w:w w:val="100"/>
        <w:sz w:val="21"/>
        <w:szCs w:val="21"/>
        <w:lang w:val="en-US" w:eastAsia="zh-CN" w:bidi="ar-SA"/>
      </w:rPr>
    </w:lvl>
    <w:lvl w:ilvl="2" w:tentative="0">
      <w:start w:val="0"/>
      <w:numFmt w:val="bullet"/>
      <w:lvlText w:val="•"/>
      <w:lvlJc w:val="left"/>
      <w:pPr>
        <w:ind w:left="2705" w:hanging="370"/>
      </w:pPr>
      <w:rPr>
        <w:rFonts w:hint="default"/>
        <w:lang w:val="en-US" w:eastAsia="zh-CN" w:bidi="ar-SA"/>
      </w:rPr>
    </w:lvl>
    <w:lvl w:ilvl="3" w:tentative="0">
      <w:start w:val="0"/>
      <w:numFmt w:val="bullet"/>
      <w:lvlText w:val="•"/>
      <w:lvlJc w:val="left"/>
      <w:pPr>
        <w:ind w:left="3557" w:hanging="370"/>
      </w:pPr>
      <w:rPr>
        <w:rFonts w:hint="default"/>
        <w:lang w:val="en-US" w:eastAsia="zh-CN" w:bidi="ar-SA"/>
      </w:rPr>
    </w:lvl>
    <w:lvl w:ilvl="4" w:tentative="0">
      <w:start w:val="0"/>
      <w:numFmt w:val="bullet"/>
      <w:lvlText w:val="•"/>
      <w:lvlJc w:val="left"/>
      <w:pPr>
        <w:ind w:left="4410" w:hanging="370"/>
      </w:pPr>
      <w:rPr>
        <w:rFonts w:hint="default"/>
        <w:lang w:val="en-US" w:eastAsia="zh-CN" w:bidi="ar-SA"/>
      </w:rPr>
    </w:lvl>
    <w:lvl w:ilvl="5" w:tentative="0">
      <w:start w:val="0"/>
      <w:numFmt w:val="bullet"/>
      <w:lvlText w:val="•"/>
      <w:lvlJc w:val="left"/>
      <w:pPr>
        <w:ind w:left="5263" w:hanging="370"/>
      </w:pPr>
      <w:rPr>
        <w:rFonts w:hint="default"/>
        <w:lang w:val="en-US" w:eastAsia="zh-CN" w:bidi="ar-SA"/>
      </w:rPr>
    </w:lvl>
    <w:lvl w:ilvl="6" w:tentative="0">
      <w:start w:val="0"/>
      <w:numFmt w:val="bullet"/>
      <w:lvlText w:val="•"/>
      <w:lvlJc w:val="left"/>
      <w:pPr>
        <w:ind w:left="6115" w:hanging="370"/>
      </w:pPr>
      <w:rPr>
        <w:rFonts w:hint="default"/>
        <w:lang w:val="en-US" w:eastAsia="zh-CN" w:bidi="ar-SA"/>
      </w:rPr>
    </w:lvl>
    <w:lvl w:ilvl="7" w:tentative="0">
      <w:start w:val="0"/>
      <w:numFmt w:val="bullet"/>
      <w:lvlText w:val="•"/>
      <w:lvlJc w:val="left"/>
      <w:pPr>
        <w:ind w:left="6968" w:hanging="370"/>
      </w:pPr>
      <w:rPr>
        <w:rFonts w:hint="default"/>
        <w:lang w:val="en-US" w:eastAsia="zh-CN" w:bidi="ar-SA"/>
      </w:rPr>
    </w:lvl>
    <w:lvl w:ilvl="8" w:tentative="0">
      <w:start w:val="0"/>
      <w:numFmt w:val="bullet"/>
      <w:lvlText w:val="•"/>
      <w:lvlJc w:val="left"/>
      <w:pPr>
        <w:ind w:left="7821" w:hanging="370"/>
      </w:pPr>
      <w:rPr>
        <w:rFonts w:hint="default"/>
        <w:lang w:val="en-US" w:eastAsia="zh-CN" w:bidi="ar-SA"/>
      </w:rPr>
    </w:lvl>
  </w:abstractNum>
  <w:abstractNum w:abstractNumId="10">
    <w:nsid w:val="B8CEF35B"/>
    <w:multiLevelType w:val="multilevel"/>
    <w:tmpl w:val="B8CEF35B"/>
    <w:lvl w:ilvl="0" w:tentative="0">
      <w:start w:val="15"/>
      <w:numFmt w:val="decimal"/>
      <w:lvlText w:val="%1"/>
      <w:lvlJc w:val="left"/>
      <w:pPr>
        <w:ind w:left="218" w:hanging="473"/>
        <w:jc w:val="left"/>
      </w:pPr>
      <w:rPr>
        <w:rFonts w:hint="default"/>
        <w:lang w:val="en-US" w:eastAsia="zh-CN" w:bidi="ar-SA"/>
      </w:rPr>
    </w:lvl>
    <w:lvl w:ilvl="1" w:tentative="0">
      <w:start w:val="1"/>
      <w:numFmt w:val="decimal"/>
      <w:lvlText w:val="%1.%2"/>
      <w:lvlJc w:val="left"/>
      <w:pPr>
        <w:ind w:left="218" w:hanging="473"/>
        <w:jc w:val="left"/>
      </w:pPr>
      <w:rPr>
        <w:rFonts w:hint="default" w:ascii="宋体" w:hAnsi="宋体" w:eastAsia="宋体" w:cs="宋体"/>
        <w:b w:val="0"/>
        <w:bCs w:val="0"/>
        <w:i w:val="0"/>
        <w:iCs w:val="0"/>
        <w:w w:val="100"/>
        <w:sz w:val="21"/>
        <w:szCs w:val="21"/>
        <w:lang w:val="en-US" w:eastAsia="zh-CN" w:bidi="ar-SA"/>
      </w:rPr>
    </w:lvl>
    <w:lvl w:ilvl="2" w:tentative="0">
      <w:start w:val="0"/>
      <w:numFmt w:val="bullet"/>
      <w:lvlText w:val="•"/>
      <w:lvlJc w:val="left"/>
      <w:pPr>
        <w:ind w:left="2081" w:hanging="473"/>
      </w:pPr>
      <w:rPr>
        <w:rFonts w:hint="default"/>
        <w:lang w:val="en-US" w:eastAsia="zh-CN" w:bidi="ar-SA"/>
      </w:rPr>
    </w:lvl>
    <w:lvl w:ilvl="3" w:tentative="0">
      <w:start w:val="0"/>
      <w:numFmt w:val="bullet"/>
      <w:lvlText w:val="•"/>
      <w:lvlJc w:val="left"/>
      <w:pPr>
        <w:ind w:left="3011" w:hanging="473"/>
      </w:pPr>
      <w:rPr>
        <w:rFonts w:hint="default"/>
        <w:lang w:val="en-US" w:eastAsia="zh-CN" w:bidi="ar-SA"/>
      </w:rPr>
    </w:lvl>
    <w:lvl w:ilvl="4" w:tentative="0">
      <w:start w:val="0"/>
      <w:numFmt w:val="bullet"/>
      <w:lvlText w:val="•"/>
      <w:lvlJc w:val="left"/>
      <w:pPr>
        <w:ind w:left="3942" w:hanging="473"/>
      </w:pPr>
      <w:rPr>
        <w:rFonts w:hint="default"/>
        <w:lang w:val="en-US" w:eastAsia="zh-CN" w:bidi="ar-SA"/>
      </w:rPr>
    </w:lvl>
    <w:lvl w:ilvl="5" w:tentative="0">
      <w:start w:val="0"/>
      <w:numFmt w:val="bullet"/>
      <w:lvlText w:val="•"/>
      <w:lvlJc w:val="left"/>
      <w:pPr>
        <w:ind w:left="4873" w:hanging="473"/>
      </w:pPr>
      <w:rPr>
        <w:rFonts w:hint="default"/>
        <w:lang w:val="en-US" w:eastAsia="zh-CN" w:bidi="ar-SA"/>
      </w:rPr>
    </w:lvl>
    <w:lvl w:ilvl="6" w:tentative="0">
      <w:start w:val="0"/>
      <w:numFmt w:val="bullet"/>
      <w:lvlText w:val="•"/>
      <w:lvlJc w:val="left"/>
      <w:pPr>
        <w:ind w:left="5803" w:hanging="473"/>
      </w:pPr>
      <w:rPr>
        <w:rFonts w:hint="default"/>
        <w:lang w:val="en-US" w:eastAsia="zh-CN" w:bidi="ar-SA"/>
      </w:rPr>
    </w:lvl>
    <w:lvl w:ilvl="7" w:tentative="0">
      <w:start w:val="0"/>
      <w:numFmt w:val="bullet"/>
      <w:lvlText w:val="•"/>
      <w:lvlJc w:val="left"/>
      <w:pPr>
        <w:ind w:left="6734" w:hanging="473"/>
      </w:pPr>
      <w:rPr>
        <w:rFonts w:hint="default"/>
        <w:lang w:val="en-US" w:eastAsia="zh-CN" w:bidi="ar-SA"/>
      </w:rPr>
    </w:lvl>
    <w:lvl w:ilvl="8" w:tentative="0">
      <w:start w:val="0"/>
      <w:numFmt w:val="bullet"/>
      <w:lvlText w:val="•"/>
      <w:lvlJc w:val="left"/>
      <w:pPr>
        <w:ind w:left="7665" w:hanging="473"/>
      </w:pPr>
      <w:rPr>
        <w:rFonts w:hint="default"/>
        <w:lang w:val="en-US" w:eastAsia="zh-CN" w:bidi="ar-SA"/>
      </w:rPr>
    </w:lvl>
  </w:abstractNum>
  <w:abstractNum w:abstractNumId="11">
    <w:nsid w:val="BB64CFA9"/>
    <w:multiLevelType w:val="multilevel"/>
    <w:tmpl w:val="BB64CFA9"/>
    <w:lvl w:ilvl="0" w:tentative="0">
      <w:start w:val="13"/>
      <w:numFmt w:val="decimal"/>
      <w:lvlText w:val="%1"/>
      <w:lvlJc w:val="left"/>
      <w:pPr>
        <w:ind w:left="638" w:hanging="528"/>
        <w:jc w:val="left"/>
      </w:pPr>
      <w:rPr>
        <w:rFonts w:hint="default"/>
        <w:lang w:val="en-US" w:eastAsia="zh-CN" w:bidi="ar-SA"/>
      </w:rPr>
    </w:lvl>
    <w:lvl w:ilvl="1" w:tentative="0">
      <w:start w:val="1"/>
      <w:numFmt w:val="decimal"/>
      <w:lvlText w:val="%1.%2"/>
      <w:lvlJc w:val="left"/>
      <w:pPr>
        <w:ind w:left="638" w:hanging="528"/>
        <w:jc w:val="left"/>
      </w:pPr>
      <w:rPr>
        <w:rFonts w:hint="default" w:ascii="宋体" w:hAnsi="宋体" w:eastAsia="宋体" w:cs="宋体"/>
        <w:b w:val="0"/>
        <w:bCs w:val="0"/>
        <w:i w:val="0"/>
        <w:iCs w:val="0"/>
        <w:w w:val="100"/>
        <w:sz w:val="21"/>
        <w:szCs w:val="21"/>
        <w:lang w:val="en-US" w:eastAsia="zh-CN" w:bidi="ar-SA"/>
      </w:rPr>
    </w:lvl>
    <w:lvl w:ilvl="2" w:tentative="0">
      <w:start w:val="0"/>
      <w:numFmt w:val="bullet"/>
      <w:lvlText w:val="•"/>
      <w:lvlJc w:val="left"/>
      <w:pPr>
        <w:ind w:left="2417" w:hanging="528"/>
      </w:pPr>
      <w:rPr>
        <w:rFonts w:hint="default"/>
        <w:lang w:val="en-US" w:eastAsia="zh-CN" w:bidi="ar-SA"/>
      </w:rPr>
    </w:lvl>
    <w:lvl w:ilvl="3" w:tentative="0">
      <w:start w:val="0"/>
      <w:numFmt w:val="bullet"/>
      <w:lvlText w:val="•"/>
      <w:lvlJc w:val="left"/>
      <w:pPr>
        <w:ind w:left="3305" w:hanging="528"/>
      </w:pPr>
      <w:rPr>
        <w:rFonts w:hint="default"/>
        <w:lang w:val="en-US" w:eastAsia="zh-CN" w:bidi="ar-SA"/>
      </w:rPr>
    </w:lvl>
    <w:lvl w:ilvl="4" w:tentative="0">
      <w:start w:val="0"/>
      <w:numFmt w:val="bullet"/>
      <w:lvlText w:val="•"/>
      <w:lvlJc w:val="left"/>
      <w:pPr>
        <w:ind w:left="4194" w:hanging="528"/>
      </w:pPr>
      <w:rPr>
        <w:rFonts w:hint="default"/>
        <w:lang w:val="en-US" w:eastAsia="zh-CN" w:bidi="ar-SA"/>
      </w:rPr>
    </w:lvl>
    <w:lvl w:ilvl="5" w:tentative="0">
      <w:start w:val="0"/>
      <w:numFmt w:val="bullet"/>
      <w:lvlText w:val="•"/>
      <w:lvlJc w:val="left"/>
      <w:pPr>
        <w:ind w:left="5083" w:hanging="528"/>
      </w:pPr>
      <w:rPr>
        <w:rFonts w:hint="default"/>
        <w:lang w:val="en-US" w:eastAsia="zh-CN" w:bidi="ar-SA"/>
      </w:rPr>
    </w:lvl>
    <w:lvl w:ilvl="6" w:tentative="0">
      <w:start w:val="0"/>
      <w:numFmt w:val="bullet"/>
      <w:lvlText w:val="•"/>
      <w:lvlJc w:val="left"/>
      <w:pPr>
        <w:ind w:left="5971" w:hanging="528"/>
      </w:pPr>
      <w:rPr>
        <w:rFonts w:hint="default"/>
        <w:lang w:val="en-US" w:eastAsia="zh-CN" w:bidi="ar-SA"/>
      </w:rPr>
    </w:lvl>
    <w:lvl w:ilvl="7" w:tentative="0">
      <w:start w:val="0"/>
      <w:numFmt w:val="bullet"/>
      <w:lvlText w:val="•"/>
      <w:lvlJc w:val="left"/>
      <w:pPr>
        <w:ind w:left="6860" w:hanging="528"/>
      </w:pPr>
      <w:rPr>
        <w:rFonts w:hint="default"/>
        <w:lang w:val="en-US" w:eastAsia="zh-CN" w:bidi="ar-SA"/>
      </w:rPr>
    </w:lvl>
    <w:lvl w:ilvl="8" w:tentative="0">
      <w:start w:val="0"/>
      <w:numFmt w:val="bullet"/>
      <w:lvlText w:val="•"/>
      <w:lvlJc w:val="left"/>
      <w:pPr>
        <w:ind w:left="7749" w:hanging="528"/>
      </w:pPr>
      <w:rPr>
        <w:rFonts w:hint="default"/>
        <w:lang w:val="en-US" w:eastAsia="zh-CN" w:bidi="ar-SA"/>
      </w:rPr>
    </w:lvl>
  </w:abstractNum>
  <w:abstractNum w:abstractNumId="12">
    <w:nsid w:val="BE923771"/>
    <w:multiLevelType w:val="multilevel"/>
    <w:tmpl w:val="BE923771"/>
    <w:lvl w:ilvl="0" w:tentative="0">
      <w:start w:val="21"/>
      <w:numFmt w:val="decimal"/>
      <w:lvlText w:val="%1"/>
      <w:lvlJc w:val="left"/>
      <w:pPr>
        <w:ind w:left="1164" w:hanging="526"/>
        <w:jc w:val="left"/>
      </w:pPr>
      <w:rPr>
        <w:rFonts w:hint="default"/>
        <w:lang w:val="en-US" w:eastAsia="zh-CN" w:bidi="ar-SA"/>
      </w:rPr>
    </w:lvl>
    <w:lvl w:ilvl="1" w:tentative="0">
      <w:start w:val="3"/>
      <w:numFmt w:val="decimal"/>
      <w:lvlText w:val="%1.%2"/>
      <w:lvlJc w:val="left"/>
      <w:pPr>
        <w:ind w:left="1164" w:hanging="526"/>
        <w:jc w:val="left"/>
      </w:pPr>
      <w:rPr>
        <w:rFonts w:hint="default" w:ascii="宋体" w:hAnsi="宋体" w:eastAsia="宋体" w:cs="宋体"/>
        <w:b/>
        <w:bCs/>
        <w:i w:val="0"/>
        <w:iCs w:val="0"/>
        <w:w w:val="99"/>
        <w:sz w:val="21"/>
        <w:szCs w:val="21"/>
        <w:lang w:val="en-US" w:eastAsia="zh-CN" w:bidi="ar-SA"/>
      </w:rPr>
    </w:lvl>
    <w:lvl w:ilvl="2" w:tentative="0">
      <w:start w:val="1"/>
      <w:numFmt w:val="decimal"/>
      <w:lvlText w:val="%1.%2.%3"/>
      <w:lvlJc w:val="left"/>
      <w:pPr>
        <w:ind w:left="218" w:hanging="684"/>
        <w:jc w:val="left"/>
      </w:pPr>
      <w:rPr>
        <w:rFonts w:hint="default" w:ascii="宋体" w:hAnsi="宋体" w:eastAsia="宋体" w:cs="宋体"/>
        <w:b w:val="0"/>
        <w:bCs w:val="0"/>
        <w:i w:val="0"/>
        <w:iCs w:val="0"/>
        <w:spacing w:val="-3"/>
        <w:w w:val="100"/>
        <w:sz w:val="21"/>
        <w:szCs w:val="21"/>
        <w:lang w:val="en-US" w:eastAsia="zh-CN" w:bidi="ar-SA"/>
      </w:rPr>
    </w:lvl>
    <w:lvl w:ilvl="3" w:tentative="0">
      <w:start w:val="0"/>
      <w:numFmt w:val="bullet"/>
      <w:lvlText w:val="•"/>
      <w:lvlJc w:val="left"/>
      <w:pPr>
        <w:ind w:left="3019" w:hanging="684"/>
      </w:pPr>
      <w:rPr>
        <w:rFonts w:hint="default"/>
        <w:lang w:val="en-US" w:eastAsia="zh-CN" w:bidi="ar-SA"/>
      </w:rPr>
    </w:lvl>
    <w:lvl w:ilvl="4" w:tentative="0">
      <w:start w:val="0"/>
      <w:numFmt w:val="bullet"/>
      <w:lvlText w:val="•"/>
      <w:lvlJc w:val="left"/>
      <w:pPr>
        <w:ind w:left="3948" w:hanging="684"/>
      </w:pPr>
      <w:rPr>
        <w:rFonts w:hint="default"/>
        <w:lang w:val="en-US" w:eastAsia="zh-CN" w:bidi="ar-SA"/>
      </w:rPr>
    </w:lvl>
    <w:lvl w:ilvl="5" w:tentative="0">
      <w:start w:val="0"/>
      <w:numFmt w:val="bullet"/>
      <w:lvlText w:val="•"/>
      <w:lvlJc w:val="left"/>
      <w:pPr>
        <w:ind w:left="4878" w:hanging="684"/>
      </w:pPr>
      <w:rPr>
        <w:rFonts w:hint="default"/>
        <w:lang w:val="en-US" w:eastAsia="zh-CN" w:bidi="ar-SA"/>
      </w:rPr>
    </w:lvl>
    <w:lvl w:ilvl="6" w:tentative="0">
      <w:start w:val="0"/>
      <w:numFmt w:val="bullet"/>
      <w:lvlText w:val="•"/>
      <w:lvlJc w:val="left"/>
      <w:pPr>
        <w:ind w:left="5808" w:hanging="684"/>
      </w:pPr>
      <w:rPr>
        <w:rFonts w:hint="default"/>
        <w:lang w:val="en-US" w:eastAsia="zh-CN" w:bidi="ar-SA"/>
      </w:rPr>
    </w:lvl>
    <w:lvl w:ilvl="7" w:tentative="0">
      <w:start w:val="0"/>
      <w:numFmt w:val="bullet"/>
      <w:lvlText w:val="•"/>
      <w:lvlJc w:val="left"/>
      <w:pPr>
        <w:ind w:left="6737" w:hanging="684"/>
      </w:pPr>
      <w:rPr>
        <w:rFonts w:hint="default"/>
        <w:lang w:val="en-US" w:eastAsia="zh-CN" w:bidi="ar-SA"/>
      </w:rPr>
    </w:lvl>
    <w:lvl w:ilvl="8" w:tentative="0">
      <w:start w:val="0"/>
      <w:numFmt w:val="bullet"/>
      <w:lvlText w:val="•"/>
      <w:lvlJc w:val="left"/>
      <w:pPr>
        <w:ind w:left="7667" w:hanging="684"/>
      </w:pPr>
      <w:rPr>
        <w:rFonts w:hint="default"/>
        <w:lang w:val="en-US" w:eastAsia="zh-CN" w:bidi="ar-SA"/>
      </w:rPr>
    </w:lvl>
  </w:abstractNum>
  <w:abstractNum w:abstractNumId="13">
    <w:nsid w:val="BF205925"/>
    <w:multiLevelType w:val="multilevel"/>
    <w:tmpl w:val="BF205925"/>
    <w:lvl w:ilvl="0" w:tentative="0">
      <w:start w:val="2"/>
      <w:numFmt w:val="decimal"/>
      <w:lvlText w:val="%1"/>
      <w:lvlJc w:val="left"/>
      <w:pPr>
        <w:ind w:left="956" w:hanging="318"/>
        <w:jc w:val="left"/>
      </w:pPr>
      <w:rPr>
        <w:rFonts w:hint="default"/>
        <w:lang w:val="en-US" w:eastAsia="zh-CN" w:bidi="ar-SA"/>
      </w:rPr>
    </w:lvl>
    <w:lvl w:ilvl="1" w:tentative="0">
      <w:start w:val="1"/>
      <w:numFmt w:val="decimal"/>
      <w:lvlText w:val="%1.%2"/>
      <w:lvlJc w:val="left"/>
      <w:pPr>
        <w:ind w:left="956" w:hanging="318"/>
        <w:jc w:val="left"/>
      </w:pPr>
      <w:rPr>
        <w:rFonts w:hint="default" w:ascii="宋体" w:hAnsi="宋体" w:eastAsia="宋体" w:cs="宋体"/>
        <w:b w:val="0"/>
        <w:bCs w:val="0"/>
        <w:i w:val="0"/>
        <w:iCs w:val="0"/>
        <w:spacing w:val="-1"/>
        <w:w w:val="100"/>
        <w:sz w:val="19"/>
        <w:szCs w:val="19"/>
        <w:lang w:val="en-US" w:eastAsia="zh-CN" w:bidi="ar-SA"/>
      </w:rPr>
    </w:lvl>
    <w:lvl w:ilvl="2" w:tentative="0">
      <w:start w:val="0"/>
      <w:numFmt w:val="bullet"/>
      <w:lvlText w:val="•"/>
      <w:lvlJc w:val="left"/>
      <w:pPr>
        <w:ind w:left="2673" w:hanging="318"/>
      </w:pPr>
      <w:rPr>
        <w:rFonts w:hint="default"/>
        <w:lang w:val="en-US" w:eastAsia="zh-CN" w:bidi="ar-SA"/>
      </w:rPr>
    </w:lvl>
    <w:lvl w:ilvl="3" w:tentative="0">
      <w:start w:val="0"/>
      <w:numFmt w:val="bullet"/>
      <w:lvlText w:val="•"/>
      <w:lvlJc w:val="left"/>
      <w:pPr>
        <w:ind w:left="3529" w:hanging="318"/>
      </w:pPr>
      <w:rPr>
        <w:rFonts w:hint="default"/>
        <w:lang w:val="en-US" w:eastAsia="zh-CN" w:bidi="ar-SA"/>
      </w:rPr>
    </w:lvl>
    <w:lvl w:ilvl="4" w:tentative="0">
      <w:start w:val="0"/>
      <w:numFmt w:val="bullet"/>
      <w:lvlText w:val="•"/>
      <w:lvlJc w:val="left"/>
      <w:pPr>
        <w:ind w:left="4386" w:hanging="318"/>
      </w:pPr>
      <w:rPr>
        <w:rFonts w:hint="default"/>
        <w:lang w:val="en-US" w:eastAsia="zh-CN" w:bidi="ar-SA"/>
      </w:rPr>
    </w:lvl>
    <w:lvl w:ilvl="5" w:tentative="0">
      <w:start w:val="0"/>
      <w:numFmt w:val="bullet"/>
      <w:lvlText w:val="•"/>
      <w:lvlJc w:val="left"/>
      <w:pPr>
        <w:ind w:left="5243" w:hanging="318"/>
      </w:pPr>
      <w:rPr>
        <w:rFonts w:hint="default"/>
        <w:lang w:val="en-US" w:eastAsia="zh-CN" w:bidi="ar-SA"/>
      </w:rPr>
    </w:lvl>
    <w:lvl w:ilvl="6" w:tentative="0">
      <w:start w:val="0"/>
      <w:numFmt w:val="bullet"/>
      <w:lvlText w:val="•"/>
      <w:lvlJc w:val="left"/>
      <w:pPr>
        <w:ind w:left="6099" w:hanging="318"/>
      </w:pPr>
      <w:rPr>
        <w:rFonts w:hint="default"/>
        <w:lang w:val="en-US" w:eastAsia="zh-CN" w:bidi="ar-SA"/>
      </w:rPr>
    </w:lvl>
    <w:lvl w:ilvl="7" w:tentative="0">
      <w:start w:val="0"/>
      <w:numFmt w:val="bullet"/>
      <w:lvlText w:val="•"/>
      <w:lvlJc w:val="left"/>
      <w:pPr>
        <w:ind w:left="6956" w:hanging="318"/>
      </w:pPr>
      <w:rPr>
        <w:rFonts w:hint="default"/>
        <w:lang w:val="en-US" w:eastAsia="zh-CN" w:bidi="ar-SA"/>
      </w:rPr>
    </w:lvl>
    <w:lvl w:ilvl="8" w:tentative="0">
      <w:start w:val="0"/>
      <w:numFmt w:val="bullet"/>
      <w:lvlText w:val="•"/>
      <w:lvlJc w:val="left"/>
      <w:pPr>
        <w:ind w:left="7813" w:hanging="318"/>
      </w:pPr>
      <w:rPr>
        <w:rFonts w:hint="default"/>
        <w:lang w:val="en-US" w:eastAsia="zh-CN" w:bidi="ar-SA"/>
      </w:rPr>
    </w:lvl>
  </w:abstractNum>
  <w:abstractNum w:abstractNumId="14">
    <w:nsid w:val="C8879AEF"/>
    <w:multiLevelType w:val="multilevel"/>
    <w:tmpl w:val="C8879AEF"/>
    <w:lvl w:ilvl="0" w:tentative="0">
      <w:start w:val="1"/>
      <w:numFmt w:val="decimal"/>
      <w:lvlText w:val="%1)"/>
      <w:lvlJc w:val="left"/>
      <w:pPr>
        <w:ind w:left="1058" w:hanging="473"/>
        <w:jc w:val="left"/>
      </w:pPr>
      <w:rPr>
        <w:rFonts w:hint="default" w:ascii="宋体" w:hAnsi="宋体" w:eastAsia="宋体" w:cs="宋体"/>
        <w:b w:val="0"/>
        <w:bCs w:val="0"/>
        <w:i w:val="0"/>
        <w:iCs w:val="0"/>
        <w:w w:val="100"/>
        <w:sz w:val="21"/>
        <w:szCs w:val="21"/>
        <w:lang w:val="en-US" w:eastAsia="zh-CN" w:bidi="ar-SA"/>
      </w:rPr>
    </w:lvl>
    <w:lvl w:ilvl="1" w:tentative="0">
      <w:start w:val="0"/>
      <w:numFmt w:val="bullet"/>
      <w:lvlText w:val="•"/>
      <w:lvlJc w:val="left"/>
      <w:pPr>
        <w:ind w:left="1906" w:hanging="473"/>
      </w:pPr>
      <w:rPr>
        <w:rFonts w:hint="default"/>
        <w:lang w:val="en-US" w:eastAsia="zh-CN" w:bidi="ar-SA"/>
      </w:rPr>
    </w:lvl>
    <w:lvl w:ilvl="2" w:tentative="0">
      <w:start w:val="0"/>
      <w:numFmt w:val="bullet"/>
      <w:lvlText w:val="•"/>
      <w:lvlJc w:val="left"/>
      <w:pPr>
        <w:ind w:left="2753" w:hanging="473"/>
      </w:pPr>
      <w:rPr>
        <w:rFonts w:hint="default"/>
        <w:lang w:val="en-US" w:eastAsia="zh-CN" w:bidi="ar-SA"/>
      </w:rPr>
    </w:lvl>
    <w:lvl w:ilvl="3" w:tentative="0">
      <w:start w:val="0"/>
      <w:numFmt w:val="bullet"/>
      <w:lvlText w:val="•"/>
      <w:lvlJc w:val="left"/>
      <w:pPr>
        <w:ind w:left="3599" w:hanging="473"/>
      </w:pPr>
      <w:rPr>
        <w:rFonts w:hint="default"/>
        <w:lang w:val="en-US" w:eastAsia="zh-CN" w:bidi="ar-SA"/>
      </w:rPr>
    </w:lvl>
    <w:lvl w:ilvl="4" w:tentative="0">
      <w:start w:val="0"/>
      <w:numFmt w:val="bullet"/>
      <w:lvlText w:val="•"/>
      <w:lvlJc w:val="left"/>
      <w:pPr>
        <w:ind w:left="4446" w:hanging="473"/>
      </w:pPr>
      <w:rPr>
        <w:rFonts w:hint="default"/>
        <w:lang w:val="en-US" w:eastAsia="zh-CN" w:bidi="ar-SA"/>
      </w:rPr>
    </w:lvl>
    <w:lvl w:ilvl="5" w:tentative="0">
      <w:start w:val="0"/>
      <w:numFmt w:val="bullet"/>
      <w:lvlText w:val="•"/>
      <w:lvlJc w:val="left"/>
      <w:pPr>
        <w:ind w:left="5293" w:hanging="473"/>
      </w:pPr>
      <w:rPr>
        <w:rFonts w:hint="default"/>
        <w:lang w:val="en-US" w:eastAsia="zh-CN" w:bidi="ar-SA"/>
      </w:rPr>
    </w:lvl>
    <w:lvl w:ilvl="6" w:tentative="0">
      <w:start w:val="0"/>
      <w:numFmt w:val="bullet"/>
      <w:lvlText w:val="•"/>
      <w:lvlJc w:val="left"/>
      <w:pPr>
        <w:ind w:left="6139" w:hanging="473"/>
      </w:pPr>
      <w:rPr>
        <w:rFonts w:hint="default"/>
        <w:lang w:val="en-US" w:eastAsia="zh-CN" w:bidi="ar-SA"/>
      </w:rPr>
    </w:lvl>
    <w:lvl w:ilvl="7" w:tentative="0">
      <w:start w:val="0"/>
      <w:numFmt w:val="bullet"/>
      <w:lvlText w:val="•"/>
      <w:lvlJc w:val="left"/>
      <w:pPr>
        <w:ind w:left="6986" w:hanging="473"/>
      </w:pPr>
      <w:rPr>
        <w:rFonts w:hint="default"/>
        <w:lang w:val="en-US" w:eastAsia="zh-CN" w:bidi="ar-SA"/>
      </w:rPr>
    </w:lvl>
    <w:lvl w:ilvl="8" w:tentative="0">
      <w:start w:val="0"/>
      <w:numFmt w:val="bullet"/>
      <w:lvlText w:val="•"/>
      <w:lvlJc w:val="left"/>
      <w:pPr>
        <w:ind w:left="7833" w:hanging="473"/>
      </w:pPr>
      <w:rPr>
        <w:rFonts w:hint="default"/>
        <w:lang w:val="en-US" w:eastAsia="zh-CN" w:bidi="ar-SA"/>
      </w:rPr>
    </w:lvl>
  </w:abstractNum>
  <w:abstractNum w:abstractNumId="15">
    <w:nsid w:val="CF092B84"/>
    <w:multiLevelType w:val="multilevel"/>
    <w:tmpl w:val="CF092B84"/>
    <w:lvl w:ilvl="0" w:tentative="0">
      <w:start w:val="1"/>
      <w:numFmt w:val="decimal"/>
      <w:lvlText w:val="（%1）"/>
      <w:lvlJc w:val="left"/>
      <w:pPr>
        <w:ind w:left="218" w:hanging="529"/>
        <w:jc w:val="left"/>
      </w:pPr>
      <w:rPr>
        <w:rFonts w:hint="default" w:ascii="宋体" w:hAnsi="宋体" w:eastAsia="宋体" w:cs="宋体"/>
        <w:b w:val="0"/>
        <w:bCs w:val="0"/>
        <w:i w:val="0"/>
        <w:iCs w:val="0"/>
        <w:spacing w:val="-24"/>
        <w:w w:val="100"/>
        <w:sz w:val="19"/>
        <w:szCs w:val="19"/>
        <w:lang w:val="en-US" w:eastAsia="zh-CN" w:bidi="ar-SA"/>
      </w:rPr>
    </w:lvl>
    <w:lvl w:ilvl="1" w:tentative="0">
      <w:start w:val="0"/>
      <w:numFmt w:val="bullet"/>
      <w:lvlText w:val="•"/>
      <w:lvlJc w:val="left"/>
      <w:pPr>
        <w:ind w:left="1150" w:hanging="529"/>
      </w:pPr>
      <w:rPr>
        <w:rFonts w:hint="default"/>
        <w:lang w:val="en-US" w:eastAsia="zh-CN" w:bidi="ar-SA"/>
      </w:rPr>
    </w:lvl>
    <w:lvl w:ilvl="2" w:tentative="0">
      <w:start w:val="0"/>
      <w:numFmt w:val="bullet"/>
      <w:lvlText w:val="•"/>
      <w:lvlJc w:val="left"/>
      <w:pPr>
        <w:ind w:left="2081" w:hanging="529"/>
      </w:pPr>
      <w:rPr>
        <w:rFonts w:hint="default"/>
        <w:lang w:val="en-US" w:eastAsia="zh-CN" w:bidi="ar-SA"/>
      </w:rPr>
    </w:lvl>
    <w:lvl w:ilvl="3" w:tentative="0">
      <w:start w:val="0"/>
      <w:numFmt w:val="bullet"/>
      <w:lvlText w:val="•"/>
      <w:lvlJc w:val="left"/>
      <w:pPr>
        <w:ind w:left="3011" w:hanging="529"/>
      </w:pPr>
      <w:rPr>
        <w:rFonts w:hint="default"/>
        <w:lang w:val="en-US" w:eastAsia="zh-CN" w:bidi="ar-SA"/>
      </w:rPr>
    </w:lvl>
    <w:lvl w:ilvl="4" w:tentative="0">
      <w:start w:val="0"/>
      <w:numFmt w:val="bullet"/>
      <w:lvlText w:val="•"/>
      <w:lvlJc w:val="left"/>
      <w:pPr>
        <w:ind w:left="3942" w:hanging="529"/>
      </w:pPr>
      <w:rPr>
        <w:rFonts w:hint="default"/>
        <w:lang w:val="en-US" w:eastAsia="zh-CN" w:bidi="ar-SA"/>
      </w:rPr>
    </w:lvl>
    <w:lvl w:ilvl="5" w:tentative="0">
      <w:start w:val="0"/>
      <w:numFmt w:val="bullet"/>
      <w:lvlText w:val="•"/>
      <w:lvlJc w:val="left"/>
      <w:pPr>
        <w:ind w:left="4873" w:hanging="529"/>
      </w:pPr>
      <w:rPr>
        <w:rFonts w:hint="default"/>
        <w:lang w:val="en-US" w:eastAsia="zh-CN" w:bidi="ar-SA"/>
      </w:rPr>
    </w:lvl>
    <w:lvl w:ilvl="6" w:tentative="0">
      <w:start w:val="0"/>
      <w:numFmt w:val="bullet"/>
      <w:lvlText w:val="•"/>
      <w:lvlJc w:val="left"/>
      <w:pPr>
        <w:ind w:left="5803" w:hanging="529"/>
      </w:pPr>
      <w:rPr>
        <w:rFonts w:hint="default"/>
        <w:lang w:val="en-US" w:eastAsia="zh-CN" w:bidi="ar-SA"/>
      </w:rPr>
    </w:lvl>
    <w:lvl w:ilvl="7" w:tentative="0">
      <w:start w:val="0"/>
      <w:numFmt w:val="bullet"/>
      <w:lvlText w:val="•"/>
      <w:lvlJc w:val="left"/>
      <w:pPr>
        <w:ind w:left="6734" w:hanging="529"/>
      </w:pPr>
      <w:rPr>
        <w:rFonts w:hint="default"/>
        <w:lang w:val="en-US" w:eastAsia="zh-CN" w:bidi="ar-SA"/>
      </w:rPr>
    </w:lvl>
    <w:lvl w:ilvl="8" w:tentative="0">
      <w:start w:val="0"/>
      <w:numFmt w:val="bullet"/>
      <w:lvlText w:val="•"/>
      <w:lvlJc w:val="left"/>
      <w:pPr>
        <w:ind w:left="7665" w:hanging="529"/>
      </w:pPr>
      <w:rPr>
        <w:rFonts w:hint="default"/>
        <w:lang w:val="en-US" w:eastAsia="zh-CN" w:bidi="ar-SA"/>
      </w:rPr>
    </w:lvl>
  </w:abstractNum>
  <w:abstractNum w:abstractNumId="16">
    <w:nsid w:val="D7F9FE59"/>
    <w:multiLevelType w:val="multilevel"/>
    <w:tmpl w:val="D7F9FE59"/>
    <w:lvl w:ilvl="0" w:tentative="0">
      <w:start w:val="17"/>
      <w:numFmt w:val="decimal"/>
      <w:lvlText w:val="%1"/>
      <w:lvlJc w:val="left"/>
      <w:pPr>
        <w:ind w:left="1111" w:hanging="473"/>
        <w:jc w:val="left"/>
      </w:pPr>
      <w:rPr>
        <w:rFonts w:hint="default"/>
        <w:lang w:val="en-US" w:eastAsia="zh-CN" w:bidi="ar-SA"/>
      </w:rPr>
    </w:lvl>
    <w:lvl w:ilvl="1" w:tentative="0">
      <w:start w:val="1"/>
      <w:numFmt w:val="decimal"/>
      <w:lvlText w:val="%1.%2"/>
      <w:lvlJc w:val="left"/>
      <w:pPr>
        <w:ind w:left="1111" w:hanging="473"/>
        <w:jc w:val="left"/>
      </w:pPr>
      <w:rPr>
        <w:rFonts w:hint="default" w:ascii="宋体" w:hAnsi="宋体" w:eastAsia="宋体" w:cs="宋体"/>
        <w:b w:val="0"/>
        <w:bCs w:val="0"/>
        <w:i w:val="0"/>
        <w:iCs w:val="0"/>
        <w:w w:val="100"/>
        <w:sz w:val="21"/>
        <w:szCs w:val="21"/>
        <w:lang w:val="en-US" w:eastAsia="zh-CN" w:bidi="ar-SA"/>
      </w:rPr>
    </w:lvl>
    <w:lvl w:ilvl="2" w:tentative="0">
      <w:start w:val="0"/>
      <w:numFmt w:val="bullet"/>
      <w:lvlText w:val="•"/>
      <w:lvlJc w:val="left"/>
      <w:pPr>
        <w:ind w:left="2801" w:hanging="473"/>
      </w:pPr>
      <w:rPr>
        <w:rFonts w:hint="default"/>
        <w:lang w:val="en-US" w:eastAsia="zh-CN" w:bidi="ar-SA"/>
      </w:rPr>
    </w:lvl>
    <w:lvl w:ilvl="3" w:tentative="0">
      <w:start w:val="0"/>
      <w:numFmt w:val="bullet"/>
      <w:lvlText w:val="•"/>
      <w:lvlJc w:val="left"/>
      <w:pPr>
        <w:ind w:left="3641" w:hanging="473"/>
      </w:pPr>
      <w:rPr>
        <w:rFonts w:hint="default"/>
        <w:lang w:val="en-US" w:eastAsia="zh-CN" w:bidi="ar-SA"/>
      </w:rPr>
    </w:lvl>
    <w:lvl w:ilvl="4" w:tentative="0">
      <w:start w:val="0"/>
      <w:numFmt w:val="bullet"/>
      <w:lvlText w:val="•"/>
      <w:lvlJc w:val="left"/>
      <w:pPr>
        <w:ind w:left="4482" w:hanging="473"/>
      </w:pPr>
      <w:rPr>
        <w:rFonts w:hint="default"/>
        <w:lang w:val="en-US" w:eastAsia="zh-CN" w:bidi="ar-SA"/>
      </w:rPr>
    </w:lvl>
    <w:lvl w:ilvl="5" w:tentative="0">
      <w:start w:val="0"/>
      <w:numFmt w:val="bullet"/>
      <w:lvlText w:val="•"/>
      <w:lvlJc w:val="left"/>
      <w:pPr>
        <w:ind w:left="5323" w:hanging="473"/>
      </w:pPr>
      <w:rPr>
        <w:rFonts w:hint="default"/>
        <w:lang w:val="en-US" w:eastAsia="zh-CN" w:bidi="ar-SA"/>
      </w:rPr>
    </w:lvl>
    <w:lvl w:ilvl="6" w:tentative="0">
      <w:start w:val="0"/>
      <w:numFmt w:val="bullet"/>
      <w:lvlText w:val="•"/>
      <w:lvlJc w:val="left"/>
      <w:pPr>
        <w:ind w:left="6163" w:hanging="473"/>
      </w:pPr>
      <w:rPr>
        <w:rFonts w:hint="default"/>
        <w:lang w:val="en-US" w:eastAsia="zh-CN" w:bidi="ar-SA"/>
      </w:rPr>
    </w:lvl>
    <w:lvl w:ilvl="7" w:tentative="0">
      <w:start w:val="0"/>
      <w:numFmt w:val="bullet"/>
      <w:lvlText w:val="•"/>
      <w:lvlJc w:val="left"/>
      <w:pPr>
        <w:ind w:left="7004" w:hanging="473"/>
      </w:pPr>
      <w:rPr>
        <w:rFonts w:hint="default"/>
        <w:lang w:val="en-US" w:eastAsia="zh-CN" w:bidi="ar-SA"/>
      </w:rPr>
    </w:lvl>
    <w:lvl w:ilvl="8" w:tentative="0">
      <w:start w:val="0"/>
      <w:numFmt w:val="bullet"/>
      <w:lvlText w:val="•"/>
      <w:lvlJc w:val="left"/>
      <w:pPr>
        <w:ind w:left="7845" w:hanging="473"/>
      </w:pPr>
      <w:rPr>
        <w:rFonts w:hint="default"/>
        <w:lang w:val="en-US" w:eastAsia="zh-CN" w:bidi="ar-SA"/>
      </w:rPr>
    </w:lvl>
  </w:abstractNum>
  <w:abstractNum w:abstractNumId="17">
    <w:nsid w:val="DCBA6B53"/>
    <w:multiLevelType w:val="multilevel"/>
    <w:tmpl w:val="DCBA6B53"/>
    <w:lvl w:ilvl="0" w:tentative="0">
      <w:start w:val="16"/>
      <w:numFmt w:val="decimal"/>
      <w:lvlText w:val="%1"/>
      <w:lvlJc w:val="left"/>
      <w:pPr>
        <w:ind w:left="218" w:hanging="526"/>
        <w:jc w:val="left"/>
      </w:pPr>
      <w:rPr>
        <w:rFonts w:hint="default"/>
        <w:lang w:val="en-US" w:eastAsia="zh-CN" w:bidi="ar-SA"/>
      </w:rPr>
    </w:lvl>
    <w:lvl w:ilvl="1" w:tentative="0">
      <w:start w:val="1"/>
      <w:numFmt w:val="decimal"/>
      <w:lvlText w:val="%1.%2"/>
      <w:lvlJc w:val="left"/>
      <w:pPr>
        <w:ind w:left="218" w:hanging="526"/>
        <w:jc w:val="left"/>
      </w:pPr>
      <w:rPr>
        <w:rFonts w:hint="default" w:ascii="宋体" w:hAnsi="宋体" w:eastAsia="宋体" w:cs="宋体"/>
        <w:b w:val="0"/>
        <w:bCs w:val="0"/>
        <w:i w:val="0"/>
        <w:iCs w:val="0"/>
        <w:w w:val="100"/>
        <w:sz w:val="21"/>
        <w:szCs w:val="21"/>
        <w:lang w:val="en-US" w:eastAsia="zh-CN" w:bidi="ar-SA"/>
      </w:rPr>
    </w:lvl>
    <w:lvl w:ilvl="2" w:tentative="0">
      <w:start w:val="0"/>
      <w:numFmt w:val="bullet"/>
      <w:lvlText w:val="•"/>
      <w:lvlJc w:val="left"/>
      <w:pPr>
        <w:ind w:left="2081" w:hanging="526"/>
      </w:pPr>
      <w:rPr>
        <w:rFonts w:hint="default"/>
        <w:lang w:val="en-US" w:eastAsia="zh-CN" w:bidi="ar-SA"/>
      </w:rPr>
    </w:lvl>
    <w:lvl w:ilvl="3" w:tentative="0">
      <w:start w:val="0"/>
      <w:numFmt w:val="bullet"/>
      <w:lvlText w:val="•"/>
      <w:lvlJc w:val="left"/>
      <w:pPr>
        <w:ind w:left="3011" w:hanging="526"/>
      </w:pPr>
      <w:rPr>
        <w:rFonts w:hint="default"/>
        <w:lang w:val="en-US" w:eastAsia="zh-CN" w:bidi="ar-SA"/>
      </w:rPr>
    </w:lvl>
    <w:lvl w:ilvl="4" w:tentative="0">
      <w:start w:val="0"/>
      <w:numFmt w:val="bullet"/>
      <w:lvlText w:val="•"/>
      <w:lvlJc w:val="left"/>
      <w:pPr>
        <w:ind w:left="3942" w:hanging="526"/>
      </w:pPr>
      <w:rPr>
        <w:rFonts w:hint="default"/>
        <w:lang w:val="en-US" w:eastAsia="zh-CN" w:bidi="ar-SA"/>
      </w:rPr>
    </w:lvl>
    <w:lvl w:ilvl="5" w:tentative="0">
      <w:start w:val="0"/>
      <w:numFmt w:val="bullet"/>
      <w:lvlText w:val="•"/>
      <w:lvlJc w:val="left"/>
      <w:pPr>
        <w:ind w:left="4873" w:hanging="526"/>
      </w:pPr>
      <w:rPr>
        <w:rFonts w:hint="default"/>
        <w:lang w:val="en-US" w:eastAsia="zh-CN" w:bidi="ar-SA"/>
      </w:rPr>
    </w:lvl>
    <w:lvl w:ilvl="6" w:tentative="0">
      <w:start w:val="0"/>
      <w:numFmt w:val="bullet"/>
      <w:lvlText w:val="•"/>
      <w:lvlJc w:val="left"/>
      <w:pPr>
        <w:ind w:left="5803" w:hanging="526"/>
      </w:pPr>
      <w:rPr>
        <w:rFonts w:hint="default"/>
        <w:lang w:val="en-US" w:eastAsia="zh-CN" w:bidi="ar-SA"/>
      </w:rPr>
    </w:lvl>
    <w:lvl w:ilvl="7" w:tentative="0">
      <w:start w:val="0"/>
      <w:numFmt w:val="bullet"/>
      <w:lvlText w:val="•"/>
      <w:lvlJc w:val="left"/>
      <w:pPr>
        <w:ind w:left="6734" w:hanging="526"/>
      </w:pPr>
      <w:rPr>
        <w:rFonts w:hint="default"/>
        <w:lang w:val="en-US" w:eastAsia="zh-CN" w:bidi="ar-SA"/>
      </w:rPr>
    </w:lvl>
    <w:lvl w:ilvl="8" w:tentative="0">
      <w:start w:val="0"/>
      <w:numFmt w:val="bullet"/>
      <w:lvlText w:val="•"/>
      <w:lvlJc w:val="left"/>
      <w:pPr>
        <w:ind w:left="7665" w:hanging="526"/>
      </w:pPr>
      <w:rPr>
        <w:rFonts w:hint="default"/>
        <w:lang w:val="en-US" w:eastAsia="zh-CN" w:bidi="ar-SA"/>
      </w:rPr>
    </w:lvl>
  </w:abstractNum>
  <w:abstractNum w:abstractNumId="18">
    <w:nsid w:val="E093A4B0"/>
    <w:multiLevelType w:val="multilevel"/>
    <w:tmpl w:val="E093A4B0"/>
    <w:lvl w:ilvl="0" w:tentative="0">
      <w:start w:val="9"/>
      <w:numFmt w:val="decimal"/>
      <w:lvlText w:val="%1"/>
      <w:lvlJc w:val="left"/>
      <w:pPr>
        <w:ind w:left="641" w:hanging="423"/>
        <w:jc w:val="left"/>
      </w:pPr>
      <w:rPr>
        <w:rFonts w:hint="default"/>
        <w:lang w:val="en-US" w:eastAsia="zh-CN" w:bidi="ar-SA"/>
      </w:rPr>
    </w:lvl>
    <w:lvl w:ilvl="1" w:tentative="0">
      <w:start w:val="1"/>
      <w:numFmt w:val="decimal"/>
      <w:lvlText w:val="%1.%2"/>
      <w:lvlJc w:val="left"/>
      <w:pPr>
        <w:ind w:left="641" w:hanging="423"/>
        <w:jc w:val="left"/>
      </w:pPr>
      <w:rPr>
        <w:rFonts w:hint="default" w:ascii="宋体" w:hAnsi="宋体" w:eastAsia="宋体" w:cs="宋体"/>
        <w:b w:val="0"/>
        <w:bCs w:val="0"/>
        <w:i w:val="0"/>
        <w:iCs w:val="0"/>
        <w:w w:val="100"/>
        <w:sz w:val="21"/>
        <w:szCs w:val="21"/>
        <w:lang w:val="en-US" w:eastAsia="zh-CN" w:bidi="ar-SA"/>
      </w:rPr>
    </w:lvl>
    <w:lvl w:ilvl="2" w:tentative="0">
      <w:start w:val="0"/>
      <w:numFmt w:val="bullet"/>
      <w:lvlText w:val="•"/>
      <w:lvlJc w:val="left"/>
      <w:pPr>
        <w:ind w:left="2417" w:hanging="423"/>
      </w:pPr>
      <w:rPr>
        <w:rFonts w:hint="default"/>
        <w:lang w:val="en-US" w:eastAsia="zh-CN" w:bidi="ar-SA"/>
      </w:rPr>
    </w:lvl>
    <w:lvl w:ilvl="3" w:tentative="0">
      <w:start w:val="0"/>
      <w:numFmt w:val="bullet"/>
      <w:lvlText w:val="•"/>
      <w:lvlJc w:val="left"/>
      <w:pPr>
        <w:ind w:left="3305" w:hanging="423"/>
      </w:pPr>
      <w:rPr>
        <w:rFonts w:hint="default"/>
        <w:lang w:val="en-US" w:eastAsia="zh-CN" w:bidi="ar-SA"/>
      </w:rPr>
    </w:lvl>
    <w:lvl w:ilvl="4" w:tentative="0">
      <w:start w:val="0"/>
      <w:numFmt w:val="bullet"/>
      <w:lvlText w:val="•"/>
      <w:lvlJc w:val="left"/>
      <w:pPr>
        <w:ind w:left="4194" w:hanging="423"/>
      </w:pPr>
      <w:rPr>
        <w:rFonts w:hint="default"/>
        <w:lang w:val="en-US" w:eastAsia="zh-CN" w:bidi="ar-SA"/>
      </w:rPr>
    </w:lvl>
    <w:lvl w:ilvl="5" w:tentative="0">
      <w:start w:val="0"/>
      <w:numFmt w:val="bullet"/>
      <w:lvlText w:val="•"/>
      <w:lvlJc w:val="left"/>
      <w:pPr>
        <w:ind w:left="5083" w:hanging="423"/>
      </w:pPr>
      <w:rPr>
        <w:rFonts w:hint="default"/>
        <w:lang w:val="en-US" w:eastAsia="zh-CN" w:bidi="ar-SA"/>
      </w:rPr>
    </w:lvl>
    <w:lvl w:ilvl="6" w:tentative="0">
      <w:start w:val="0"/>
      <w:numFmt w:val="bullet"/>
      <w:lvlText w:val="•"/>
      <w:lvlJc w:val="left"/>
      <w:pPr>
        <w:ind w:left="5971" w:hanging="423"/>
      </w:pPr>
      <w:rPr>
        <w:rFonts w:hint="default"/>
        <w:lang w:val="en-US" w:eastAsia="zh-CN" w:bidi="ar-SA"/>
      </w:rPr>
    </w:lvl>
    <w:lvl w:ilvl="7" w:tentative="0">
      <w:start w:val="0"/>
      <w:numFmt w:val="bullet"/>
      <w:lvlText w:val="•"/>
      <w:lvlJc w:val="left"/>
      <w:pPr>
        <w:ind w:left="6860" w:hanging="423"/>
      </w:pPr>
      <w:rPr>
        <w:rFonts w:hint="default"/>
        <w:lang w:val="en-US" w:eastAsia="zh-CN" w:bidi="ar-SA"/>
      </w:rPr>
    </w:lvl>
    <w:lvl w:ilvl="8" w:tentative="0">
      <w:start w:val="0"/>
      <w:numFmt w:val="bullet"/>
      <w:lvlText w:val="•"/>
      <w:lvlJc w:val="left"/>
      <w:pPr>
        <w:ind w:left="7749" w:hanging="423"/>
      </w:pPr>
      <w:rPr>
        <w:rFonts w:hint="default"/>
        <w:lang w:val="en-US" w:eastAsia="zh-CN" w:bidi="ar-SA"/>
      </w:rPr>
    </w:lvl>
  </w:abstractNum>
  <w:abstractNum w:abstractNumId="19">
    <w:nsid w:val="F4B5D9F5"/>
    <w:multiLevelType w:val="multilevel"/>
    <w:tmpl w:val="F4B5D9F5"/>
    <w:lvl w:ilvl="0" w:tentative="0">
      <w:start w:val="10"/>
      <w:numFmt w:val="decimal"/>
      <w:lvlText w:val="%1"/>
      <w:lvlJc w:val="left"/>
      <w:pPr>
        <w:ind w:left="218" w:hanging="473"/>
        <w:jc w:val="left"/>
      </w:pPr>
      <w:rPr>
        <w:rFonts w:hint="default"/>
        <w:lang w:val="en-US" w:eastAsia="zh-CN" w:bidi="ar-SA"/>
      </w:rPr>
    </w:lvl>
    <w:lvl w:ilvl="1" w:tentative="0">
      <w:start w:val="1"/>
      <w:numFmt w:val="decimal"/>
      <w:lvlText w:val="%1.%2"/>
      <w:lvlJc w:val="left"/>
      <w:pPr>
        <w:ind w:left="218" w:hanging="473"/>
        <w:jc w:val="left"/>
      </w:pPr>
      <w:rPr>
        <w:rFonts w:hint="default"/>
        <w:w w:val="100"/>
        <w:lang w:val="en-US" w:eastAsia="zh-CN" w:bidi="ar-SA"/>
      </w:rPr>
    </w:lvl>
    <w:lvl w:ilvl="2" w:tentative="0">
      <w:start w:val="0"/>
      <w:numFmt w:val="bullet"/>
      <w:lvlText w:val="•"/>
      <w:lvlJc w:val="left"/>
      <w:pPr>
        <w:ind w:left="2081" w:hanging="473"/>
      </w:pPr>
      <w:rPr>
        <w:rFonts w:hint="default"/>
        <w:lang w:val="en-US" w:eastAsia="zh-CN" w:bidi="ar-SA"/>
      </w:rPr>
    </w:lvl>
    <w:lvl w:ilvl="3" w:tentative="0">
      <w:start w:val="0"/>
      <w:numFmt w:val="bullet"/>
      <w:lvlText w:val="•"/>
      <w:lvlJc w:val="left"/>
      <w:pPr>
        <w:ind w:left="3011" w:hanging="473"/>
      </w:pPr>
      <w:rPr>
        <w:rFonts w:hint="default"/>
        <w:lang w:val="en-US" w:eastAsia="zh-CN" w:bidi="ar-SA"/>
      </w:rPr>
    </w:lvl>
    <w:lvl w:ilvl="4" w:tentative="0">
      <w:start w:val="0"/>
      <w:numFmt w:val="bullet"/>
      <w:lvlText w:val="•"/>
      <w:lvlJc w:val="left"/>
      <w:pPr>
        <w:ind w:left="3942" w:hanging="473"/>
      </w:pPr>
      <w:rPr>
        <w:rFonts w:hint="default"/>
        <w:lang w:val="en-US" w:eastAsia="zh-CN" w:bidi="ar-SA"/>
      </w:rPr>
    </w:lvl>
    <w:lvl w:ilvl="5" w:tentative="0">
      <w:start w:val="0"/>
      <w:numFmt w:val="bullet"/>
      <w:lvlText w:val="•"/>
      <w:lvlJc w:val="left"/>
      <w:pPr>
        <w:ind w:left="4873" w:hanging="473"/>
      </w:pPr>
      <w:rPr>
        <w:rFonts w:hint="default"/>
        <w:lang w:val="en-US" w:eastAsia="zh-CN" w:bidi="ar-SA"/>
      </w:rPr>
    </w:lvl>
    <w:lvl w:ilvl="6" w:tentative="0">
      <w:start w:val="0"/>
      <w:numFmt w:val="bullet"/>
      <w:lvlText w:val="•"/>
      <w:lvlJc w:val="left"/>
      <w:pPr>
        <w:ind w:left="5803" w:hanging="473"/>
      </w:pPr>
      <w:rPr>
        <w:rFonts w:hint="default"/>
        <w:lang w:val="en-US" w:eastAsia="zh-CN" w:bidi="ar-SA"/>
      </w:rPr>
    </w:lvl>
    <w:lvl w:ilvl="7" w:tentative="0">
      <w:start w:val="0"/>
      <w:numFmt w:val="bullet"/>
      <w:lvlText w:val="•"/>
      <w:lvlJc w:val="left"/>
      <w:pPr>
        <w:ind w:left="6734" w:hanging="473"/>
      </w:pPr>
      <w:rPr>
        <w:rFonts w:hint="default"/>
        <w:lang w:val="en-US" w:eastAsia="zh-CN" w:bidi="ar-SA"/>
      </w:rPr>
    </w:lvl>
    <w:lvl w:ilvl="8" w:tentative="0">
      <w:start w:val="0"/>
      <w:numFmt w:val="bullet"/>
      <w:lvlText w:val="•"/>
      <w:lvlJc w:val="left"/>
      <w:pPr>
        <w:ind w:left="7665" w:hanging="473"/>
      </w:pPr>
      <w:rPr>
        <w:rFonts w:hint="default"/>
        <w:lang w:val="en-US" w:eastAsia="zh-CN" w:bidi="ar-SA"/>
      </w:rPr>
    </w:lvl>
  </w:abstractNum>
  <w:abstractNum w:abstractNumId="20">
    <w:nsid w:val="F7735DC9"/>
    <w:multiLevelType w:val="multilevel"/>
    <w:tmpl w:val="F7735DC9"/>
    <w:lvl w:ilvl="0" w:tentative="0">
      <w:start w:val="7"/>
      <w:numFmt w:val="decimal"/>
      <w:lvlText w:val="%1"/>
      <w:lvlJc w:val="left"/>
      <w:pPr>
        <w:ind w:left="588" w:hanging="370"/>
        <w:jc w:val="left"/>
      </w:pPr>
      <w:rPr>
        <w:rFonts w:hint="default"/>
        <w:lang w:val="en-US" w:eastAsia="zh-CN" w:bidi="ar-SA"/>
      </w:rPr>
    </w:lvl>
    <w:lvl w:ilvl="1" w:tentative="0">
      <w:start w:val="1"/>
      <w:numFmt w:val="decimal"/>
      <w:lvlText w:val="%1.%2"/>
      <w:lvlJc w:val="left"/>
      <w:pPr>
        <w:ind w:left="588" w:hanging="370"/>
        <w:jc w:val="left"/>
      </w:pPr>
      <w:rPr>
        <w:rFonts w:hint="default" w:ascii="宋体" w:hAnsi="宋体" w:eastAsia="宋体" w:cs="宋体"/>
        <w:b w:val="0"/>
        <w:bCs w:val="0"/>
        <w:i w:val="0"/>
        <w:iCs w:val="0"/>
        <w:w w:val="100"/>
        <w:sz w:val="21"/>
        <w:szCs w:val="21"/>
        <w:lang w:val="en-US" w:eastAsia="zh-CN" w:bidi="ar-SA"/>
      </w:rPr>
    </w:lvl>
    <w:lvl w:ilvl="2" w:tentative="0">
      <w:start w:val="0"/>
      <w:numFmt w:val="bullet"/>
      <w:lvlText w:val="•"/>
      <w:lvlJc w:val="left"/>
      <w:pPr>
        <w:ind w:left="2369" w:hanging="370"/>
      </w:pPr>
      <w:rPr>
        <w:rFonts w:hint="default"/>
        <w:lang w:val="en-US" w:eastAsia="zh-CN" w:bidi="ar-SA"/>
      </w:rPr>
    </w:lvl>
    <w:lvl w:ilvl="3" w:tentative="0">
      <w:start w:val="0"/>
      <w:numFmt w:val="bullet"/>
      <w:lvlText w:val="•"/>
      <w:lvlJc w:val="left"/>
      <w:pPr>
        <w:ind w:left="3263" w:hanging="370"/>
      </w:pPr>
      <w:rPr>
        <w:rFonts w:hint="default"/>
        <w:lang w:val="en-US" w:eastAsia="zh-CN" w:bidi="ar-SA"/>
      </w:rPr>
    </w:lvl>
    <w:lvl w:ilvl="4" w:tentative="0">
      <w:start w:val="0"/>
      <w:numFmt w:val="bullet"/>
      <w:lvlText w:val="•"/>
      <w:lvlJc w:val="left"/>
      <w:pPr>
        <w:ind w:left="4158" w:hanging="370"/>
      </w:pPr>
      <w:rPr>
        <w:rFonts w:hint="default"/>
        <w:lang w:val="en-US" w:eastAsia="zh-CN" w:bidi="ar-SA"/>
      </w:rPr>
    </w:lvl>
    <w:lvl w:ilvl="5" w:tentative="0">
      <w:start w:val="0"/>
      <w:numFmt w:val="bullet"/>
      <w:lvlText w:val="•"/>
      <w:lvlJc w:val="left"/>
      <w:pPr>
        <w:ind w:left="5053" w:hanging="370"/>
      </w:pPr>
      <w:rPr>
        <w:rFonts w:hint="default"/>
        <w:lang w:val="en-US" w:eastAsia="zh-CN" w:bidi="ar-SA"/>
      </w:rPr>
    </w:lvl>
    <w:lvl w:ilvl="6" w:tentative="0">
      <w:start w:val="0"/>
      <w:numFmt w:val="bullet"/>
      <w:lvlText w:val="•"/>
      <w:lvlJc w:val="left"/>
      <w:pPr>
        <w:ind w:left="5947" w:hanging="370"/>
      </w:pPr>
      <w:rPr>
        <w:rFonts w:hint="default"/>
        <w:lang w:val="en-US" w:eastAsia="zh-CN" w:bidi="ar-SA"/>
      </w:rPr>
    </w:lvl>
    <w:lvl w:ilvl="7" w:tentative="0">
      <w:start w:val="0"/>
      <w:numFmt w:val="bullet"/>
      <w:lvlText w:val="•"/>
      <w:lvlJc w:val="left"/>
      <w:pPr>
        <w:ind w:left="6842" w:hanging="370"/>
      </w:pPr>
      <w:rPr>
        <w:rFonts w:hint="default"/>
        <w:lang w:val="en-US" w:eastAsia="zh-CN" w:bidi="ar-SA"/>
      </w:rPr>
    </w:lvl>
    <w:lvl w:ilvl="8" w:tentative="0">
      <w:start w:val="0"/>
      <w:numFmt w:val="bullet"/>
      <w:lvlText w:val="•"/>
      <w:lvlJc w:val="left"/>
      <w:pPr>
        <w:ind w:left="7737" w:hanging="370"/>
      </w:pPr>
      <w:rPr>
        <w:rFonts w:hint="default"/>
        <w:lang w:val="en-US" w:eastAsia="zh-CN" w:bidi="ar-SA"/>
      </w:rPr>
    </w:lvl>
  </w:abstractNum>
  <w:abstractNum w:abstractNumId="21">
    <w:nsid w:val="0053208E"/>
    <w:multiLevelType w:val="multilevel"/>
    <w:tmpl w:val="0053208E"/>
    <w:lvl w:ilvl="0" w:tentative="0">
      <w:start w:val="1"/>
      <w:numFmt w:val="decimal"/>
      <w:lvlText w:val="%1)"/>
      <w:lvlJc w:val="left"/>
      <w:pPr>
        <w:ind w:left="714" w:hanging="213"/>
        <w:jc w:val="left"/>
      </w:pPr>
      <w:rPr>
        <w:rFonts w:hint="default" w:ascii="宋体" w:hAnsi="宋体" w:eastAsia="宋体" w:cs="宋体"/>
        <w:b w:val="0"/>
        <w:bCs w:val="0"/>
        <w:i w:val="0"/>
        <w:iCs w:val="0"/>
        <w:w w:val="100"/>
        <w:sz w:val="19"/>
        <w:szCs w:val="19"/>
        <w:lang w:val="en-US" w:eastAsia="zh-CN" w:bidi="ar-SA"/>
      </w:rPr>
    </w:lvl>
    <w:lvl w:ilvl="1" w:tentative="0">
      <w:start w:val="2"/>
      <w:numFmt w:val="decimal"/>
      <w:lvlText w:val="%2."/>
      <w:lvlJc w:val="left"/>
      <w:pPr>
        <w:ind w:left="851" w:hanging="213"/>
        <w:jc w:val="left"/>
      </w:pPr>
      <w:rPr>
        <w:rFonts w:hint="default" w:ascii="宋体" w:hAnsi="宋体" w:eastAsia="宋体" w:cs="宋体"/>
        <w:b w:val="0"/>
        <w:bCs w:val="0"/>
        <w:i w:val="0"/>
        <w:iCs w:val="0"/>
        <w:spacing w:val="-1"/>
        <w:w w:val="100"/>
        <w:sz w:val="19"/>
        <w:szCs w:val="19"/>
        <w:lang w:val="en-US" w:eastAsia="zh-CN" w:bidi="ar-SA"/>
      </w:rPr>
    </w:lvl>
    <w:lvl w:ilvl="2" w:tentative="0">
      <w:start w:val="0"/>
      <w:numFmt w:val="bullet"/>
      <w:lvlText w:val="•"/>
      <w:lvlJc w:val="left"/>
      <w:pPr>
        <w:ind w:left="1822" w:hanging="213"/>
      </w:pPr>
      <w:rPr>
        <w:rFonts w:hint="default"/>
        <w:lang w:val="en-US" w:eastAsia="zh-CN" w:bidi="ar-SA"/>
      </w:rPr>
    </w:lvl>
    <w:lvl w:ilvl="3" w:tentative="0">
      <w:start w:val="0"/>
      <w:numFmt w:val="bullet"/>
      <w:lvlText w:val="•"/>
      <w:lvlJc w:val="left"/>
      <w:pPr>
        <w:ind w:left="2785" w:hanging="213"/>
      </w:pPr>
      <w:rPr>
        <w:rFonts w:hint="default"/>
        <w:lang w:val="en-US" w:eastAsia="zh-CN" w:bidi="ar-SA"/>
      </w:rPr>
    </w:lvl>
    <w:lvl w:ilvl="4" w:tentative="0">
      <w:start w:val="0"/>
      <w:numFmt w:val="bullet"/>
      <w:lvlText w:val="•"/>
      <w:lvlJc w:val="left"/>
      <w:pPr>
        <w:ind w:left="3748" w:hanging="213"/>
      </w:pPr>
      <w:rPr>
        <w:rFonts w:hint="default"/>
        <w:lang w:val="en-US" w:eastAsia="zh-CN" w:bidi="ar-SA"/>
      </w:rPr>
    </w:lvl>
    <w:lvl w:ilvl="5" w:tentative="0">
      <w:start w:val="0"/>
      <w:numFmt w:val="bullet"/>
      <w:lvlText w:val="•"/>
      <w:lvlJc w:val="left"/>
      <w:pPr>
        <w:ind w:left="4711" w:hanging="213"/>
      </w:pPr>
      <w:rPr>
        <w:rFonts w:hint="default"/>
        <w:lang w:val="en-US" w:eastAsia="zh-CN" w:bidi="ar-SA"/>
      </w:rPr>
    </w:lvl>
    <w:lvl w:ilvl="6" w:tentative="0">
      <w:start w:val="0"/>
      <w:numFmt w:val="bullet"/>
      <w:lvlText w:val="•"/>
      <w:lvlJc w:val="left"/>
      <w:pPr>
        <w:ind w:left="5674" w:hanging="213"/>
      </w:pPr>
      <w:rPr>
        <w:rFonts w:hint="default"/>
        <w:lang w:val="en-US" w:eastAsia="zh-CN" w:bidi="ar-SA"/>
      </w:rPr>
    </w:lvl>
    <w:lvl w:ilvl="7" w:tentative="0">
      <w:start w:val="0"/>
      <w:numFmt w:val="bullet"/>
      <w:lvlText w:val="•"/>
      <w:lvlJc w:val="left"/>
      <w:pPr>
        <w:ind w:left="6637" w:hanging="213"/>
      </w:pPr>
      <w:rPr>
        <w:rFonts w:hint="default"/>
        <w:lang w:val="en-US" w:eastAsia="zh-CN" w:bidi="ar-SA"/>
      </w:rPr>
    </w:lvl>
    <w:lvl w:ilvl="8" w:tentative="0">
      <w:start w:val="0"/>
      <w:numFmt w:val="bullet"/>
      <w:lvlText w:val="•"/>
      <w:lvlJc w:val="left"/>
      <w:pPr>
        <w:ind w:left="7600" w:hanging="213"/>
      </w:pPr>
      <w:rPr>
        <w:rFonts w:hint="default"/>
        <w:lang w:val="en-US" w:eastAsia="zh-CN" w:bidi="ar-SA"/>
      </w:rPr>
    </w:lvl>
  </w:abstractNum>
  <w:abstractNum w:abstractNumId="22">
    <w:nsid w:val="0248C179"/>
    <w:multiLevelType w:val="multilevel"/>
    <w:tmpl w:val="0248C179"/>
    <w:lvl w:ilvl="0" w:tentative="0">
      <w:start w:val="5"/>
      <w:numFmt w:val="decimal"/>
      <w:lvlText w:val="%1"/>
      <w:lvlJc w:val="left"/>
      <w:pPr>
        <w:ind w:left="218" w:hanging="423"/>
        <w:jc w:val="left"/>
      </w:pPr>
      <w:rPr>
        <w:rFonts w:hint="default"/>
        <w:lang w:val="en-US" w:eastAsia="zh-CN" w:bidi="ar-SA"/>
      </w:rPr>
    </w:lvl>
    <w:lvl w:ilvl="1" w:tentative="0">
      <w:start w:val="1"/>
      <w:numFmt w:val="decimal"/>
      <w:lvlText w:val="%1.%2"/>
      <w:lvlJc w:val="left"/>
      <w:pPr>
        <w:ind w:left="218" w:hanging="423"/>
        <w:jc w:val="left"/>
      </w:pPr>
      <w:rPr>
        <w:rFonts w:hint="default" w:ascii="宋体" w:hAnsi="宋体" w:eastAsia="宋体" w:cs="宋体"/>
        <w:b w:val="0"/>
        <w:bCs w:val="0"/>
        <w:i w:val="0"/>
        <w:iCs w:val="0"/>
        <w:w w:val="100"/>
        <w:sz w:val="21"/>
        <w:szCs w:val="21"/>
        <w:lang w:val="en-US" w:eastAsia="zh-CN" w:bidi="ar-SA"/>
      </w:rPr>
    </w:lvl>
    <w:lvl w:ilvl="2" w:tentative="0">
      <w:start w:val="0"/>
      <w:numFmt w:val="bullet"/>
      <w:lvlText w:val="•"/>
      <w:lvlJc w:val="left"/>
      <w:pPr>
        <w:ind w:left="2081" w:hanging="423"/>
      </w:pPr>
      <w:rPr>
        <w:rFonts w:hint="default"/>
        <w:lang w:val="en-US" w:eastAsia="zh-CN" w:bidi="ar-SA"/>
      </w:rPr>
    </w:lvl>
    <w:lvl w:ilvl="3" w:tentative="0">
      <w:start w:val="0"/>
      <w:numFmt w:val="bullet"/>
      <w:lvlText w:val="•"/>
      <w:lvlJc w:val="left"/>
      <w:pPr>
        <w:ind w:left="3011" w:hanging="423"/>
      </w:pPr>
      <w:rPr>
        <w:rFonts w:hint="default"/>
        <w:lang w:val="en-US" w:eastAsia="zh-CN" w:bidi="ar-SA"/>
      </w:rPr>
    </w:lvl>
    <w:lvl w:ilvl="4" w:tentative="0">
      <w:start w:val="0"/>
      <w:numFmt w:val="bullet"/>
      <w:lvlText w:val="•"/>
      <w:lvlJc w:val="left"/>
      <w:pPr>
        <w:ind w:left="3942" w:hanging="423"/>
      </w:pPr>
      <w:rPr>
        <w:rFonts w:hint="default"/>
        <w:lang w:val="en-US" w:eastAsia="zh-CN" w:bidi="ar-SA"/>
      </w:rPr>
    </w:lvl>
    <w:lvl w:ilvl="5" w:tentative="0">
      <w:start w:val="0"/>
      <w:numFmt w:val="bullet"/>
      <w:lvlText w:val="•"/>
      <w:lvlJc w:val="left"/>
      <w:pPr>
        <w:ind w:left="4873" w:hanging="423"/>
      </w:pPr>
      <w:rPr>
        <w:rFonts w:hint="default"/>
        <w:lang w:val="en-US" w:eastAsia="zh-CN" w:bidi="ar-SA"/>
      </w:rPr>
    </w:lvl>
    <w:lvl w:ilvl="6" w:tentative="0">
      <w:start w:val="0"/>
      <w:numFmt w:val="bullet"/>
      <w:lvlText w:val="•"/>
      <w:lvlJc w:val="left"/>
      <w:pPr>
        <w:ind w:left="5803" w:hanging="423"/>
      </w:pPr>
      <w:rPr>
        <w:rFonts w:hint="default"/>
        <w:lang w:val="en-US" w:eastAsia="zh-CN" w:bidi="ar-SA"/>
      </w:rPr>
    </w:lvl>
    <w:lvl w:ilvl="7" w:tentative="0">
      <w:start w:val="0"/>
      <w:numFmt w:val="bullet"/>
      <w:lvlText w:val="•"/>
      <w:lvlJc w:val="left"/>
      <w:pPr>
        <w:ind w:left="6734" w:hanging="423"/>
      </w:pPr>
      <w:rPr>
        <w:rFonts w:hint="default"/>
        <w:lang w:val="en-US" w:eastAsia="zh-CN" w:bidi="ar-SA"/>
      </w:rPr>
    </w:lvl>
    <w:lvl w:ilvl="8" w:tentative="0">
      <w:start w:val="0"/>
      <w:numFmt w:val="bullet"/>
      <w:lvlText w:val="•"/>
      <w:lvlJc w:val="left"/>
      <w:pPr>
        <w:ind w:left="7665" w:hanging="423"/>
      </w:pPr>
      <w:rPr>
        <w:rFonts w:hint="default"/>
        <w:lang w:val="en-US" w:eastAsia="zh-CN" w:bidi="ar-SA"/>
      </w:rPr>
    </w:lvl>
  </w:abstractNum>
  <w:abstractNum w:abstractNumId="23">
    <w:nsid w:val="03D62ECE"/>
    <w:multiLevelType w:val="multilevel"/>
    <w:tmpl w:val="03D62ECE"/>
    <w:lvl w:ilvl="0" w:tentative="0">
      <w:start w:val="1"/>
      <w:numFmt w:val="decimal"/>
      <w:lvlText w:val="（%1）"/>
      <w:lvlJc w:val="left"/>
      <w:pPr>
        <w:ind w:left="218" w:hanging="529"/>
        <w:jc w:val="left"/>
      </w:pPr>
      <w:rPr>
        <w:rFonts w:hint="default" w:ascii="宋体" w:hAnsi="宋体" w:eastAsia="宋体" w:cs="宋体"/>
        <w:b w:val="0"/>
        <w:bCs w:val="0"/>
        <w:i w:val="0"/>
        <w:iCs w:val="0"/>
        <w:spacing w:val="-3"/>
        <w:w w:val="100"/>
        <w:sz w:val="19"/>
        <w:szCs w:val="19"/>
        <w:lang w:val="en-US" w:eastAsia="zh-CN" w:bidi="ar-SA"/>
      </w:rPr>
    </w:lvl>
    <w:lvl w:ilvl="1" w:tentative="0">
      <w:start w:val="0"/>
      <w:numFmt w:val="bullet"/>
      <w:lvlText w:val="•"/>
      <w:lvlJc w:val="left"/>
      <w:pPr>
        <w:ind w:left="1150" w:hanging="529"/>
      </w:pPr>
      <w:rPr>
        <w:rFonts w:hint="default"/>
        <w:lang w:val="en-US" w:eastAsia="zh-CN" w:bidi="ar-SA"/>
      </w:rPr>
    </w:lvl>
    <w:lvl w:ilvl="2" w:tentative="0">
      <w:start w:val="0"/>
      <w:numFmt w:val="bullet"/>
      <w:lvlText w:val="•"/>
      <w:lvlJc w:val="left"/>
      <w:pPr>
        <w:ind w:left="2081" w:hanging="529"/>
      </w:pPr>
      <w:rPr>
        <w:rFonts w:hint="default"/>
        <w:lang w:val="en-US" w:eastAsia="zh-CN" w:bidi="ar-SA"/>
      </w:rPr>
    </w:lvl>
    <w:lvl w:ilvl="3" w:tentative="0">
      <w:start w:val="0"/>
      <w:numFmt w:val="bullet"/>
      <w:lvlText w:val="•"/>
      <w:lvlJc w:val="left"/>
      <w:pPr>
        <w:ind w:left="3011" w:hanging="529"/>
      </w:pPr>
      <w:rPr>
        <w:rFonts w:hint="default"/>
        <w:lang w:val="en-US" w:eastAsia="zh-CN" w:bidi="ar-SA"/>
      </w:rPr>
    </w:lvl>
    <w:lvl w:ilvl="4" w:tentative="0">
      <w:start w:val="0"/>
      <w:numFmt w:val="bullet"/>
      <w:lvlText w:val="•"/>
      <w:lvlJc w:val="left"/>
      <w:pPr>
        <w:ind w:left="3942" w:hanging="529"/>
      </w:pPr>
      <w:rPr>
        <w:rFonts w:hint="default"/>
        <w:lang w:val="en-US" w:eastAsia="zh-CN" w:bidi="ar-SA"/>
      </w:rPr>
    </w:lvl>
    <w:lvl w:ilvl="5" w:tentative="0">
      <w:start w:val="0"/>
      <w:numFmt w:val="bullet"/>
      <w:lvlText w:val="•"/>
      <w:lvlJc w:val="left"/>
      <w:pPr>
        <w:ind w:left="4873" w:hanging="529"/>
      </w:pPr>
      <w:rPr>
        <w:rFonts w:hint="default"/>
        <w:lang w:val="en-US" w:eastAsia="zh-CN" w:bidi="ar-SA"/>
      </w:rPr>
    </w:lvl>
    <w:lvl w:ilvl="6" w:tentative="0">
      <w:start w:val="0"/>
      <w:numFmt w:val="bullet"/>
      <w:lvlText w:val="•"/>
      <w:lvlJc w:val="left"/>
      <w:pPr>
        <w:ind w:left="5803" w:hanging="529"/>
      </w:pPr>
      <w:rPr>
        <w:rFonts w:hint="default"/>
        <w:lang w:val="en-US" w:eastAsia="zh-CN" w:bidi="ar-SA"/>
      </w:rPr>
    </w:lvl>
    <w:lvl w:ilvl="7" w:tentative="0">
      <w:start w:val="0"/>
      <w:numFmt w:val="bullet"/>
      <w:lvlText w:val="•"/>
      <w:lvlJc w:val="left"/>
      <w:pPr>
        <w:ind w:left="6734" w:hanging="529"/>
      </w:pPr>
      <w:rPr>
        <w:rFonts w:hint="default"/>
        <w:lang w:val="en-US" w:eastAsia="zh-CN" w:bidi="ar-SA"/>
      </w:rPr>
    </w:lvl>
    <w:lvl w:ilvl="8" w:tentative="0">
      <w:start w:val="0"/>
      <w:numFmt w:val="bullet"/>
      <w:lvlText w:val="•"/>
      <w:lvlJc w:val="left"/>
      <w:pPr>
        <w:ind w:left="7665" w:hanging="529"/>
      </w:pPr>
      <w:rPr>
        <w:rFonts w:hint="default"/>
        <w:lang w:val="en-US" w:eastAsia="zh-CN" w:bidi="ar-SA"/>
      </w:rPr>
    </w:lvl>
  </w:abstractNum>
  <w:abstractNum w:abstractNumId="24">
    <w:nsid w:val="0709FD3E"/>
    <w:multiLevelType w:val="multilevel"/>
    <w:tmpl w:val="0709FD3E"/>
    <w:lvl w:ilvl="0" w:tentative="0">
      <w:start w:val="1"/>
      <w:numFmt w:val="decimal"/>
      <w:lvlText w:val="（%1）"/>
      <w:lvlJc w:val="left"/>
      <w:pPr>
        <w:ind w:left="218" w:hanging="607"/>
        <w:jc w:val="left"/>
      </w:pPr>
      <w:rPr>
        <w:rFonts w:hint="default" w:ascii="宋体" w:hAnsi="宋体" w:eastAsia="宋体" w:cs="宋体"/>
        <w:b w:val="0"/>
        <w:bCs w:val="0"/>
        <w:i w:val="0"/>
        <w:iCs w:val="0"/>
        <w:spacing w:val="2"/>
        <w:w w:val="100"/>
        <w:sz w:val="22"/>
        <w:szCs w:val="22"/>
        <w:lang w:val="en-US" w:eastAsia="zh-CN" w:bidi="ar-SA"/>
      </w:rPr>
    </w:lvl>
    <w:lvl w:ilvl="1" w:tentative="0">
      <w:start w:val="0"/>
      <w:numFmt w:val="bullet"/>
      <w:lvlText w:val="•"/>
      <w:lvlJc w:val="left"/>
      <w:pPr>
        <w:ind w:left="1150" w:hanging="607"/>
      </w:pPr>
      <w:rPr>
        <w:rFonts w:hint="default"/>
        <w:lang w:val="en-US" w:eastAsia="zh-CN" w:bidi="ar-SA"/>
      </w:rPr>
    </w:lvl>
    <w:lvl w:ilvl="2" w:tentative="0">
      <w:start w:val="0"/>
      <w:numFmt w:val="bullet"/>
      <w:lvlText w:val="•"/>
      <w:lvlJc w:val="left"/>
      <w:pPr>
        <w:ind w:left="2081" w:hanging="607"/>
      </w:pPr>
      <w:rPr>
        <w:rFonts w:hint="default"/>
        <w:lang w:val="en-US" w:eastAsia="zh-CN" w:bidi="ar-SA"/>
      </w:rPr>
    </w:lvl>
    <w:lvl w:ilvl="3" w:tentative="0">
      <w:start w:val="0"/>
      <w:numFmt w:val="bullet"/>
      <w:lvlText w:val="•"/>
      <w:lvlJc w:val="left"/>
      <w:pPr>
        <w:ind w:left="3011" w:hanging="607"/>
      </w:pPr>
      <w:rPr>
        <w:rFonts w:hint="default"/>
        <w:lang w:val="en-US" w:eastAsia="zh-CN" w:bidi="ar-SA"/>
      </w:rPr>
    </w:lvl>
    <w:lvl w:ilvl="4" w:tentative="0">
      <w:start w:val="0"/>
      <w:numFmt w:val="bullet"/>
      <w:lvlText w:val="•"/>
      <w:lvlJc w:val="left"/>
      <w:pPr>
        <w:ind w:left="3942" w:hanging="607"/>
      </w:pPr>
      <w:rPr>
        <w:rFonts w:hint="default"/>
        <w:lang w:val="en-US" w:eastAsia="zh-CN" w:bidi="ar-SA"/>
      </w:rPr>
    </w:lvl>
    <w:lvl w:ilvl="5" w:tentative="0">
      <w:start w:val="0"/>
      <w:numFmt w:val="bullet"/>
      <w:lvlText w:val="•"/>
      <w:lvlJc w:val="left"/>
      <w:pPr>
        <w:ind w:left="4873" w:hanging="607"/>
      </w:pPr>
      <w:rPr>
        <w:rFonts w:hint="default"/>
        <w:lang w:val="en-US" w:eastAsia="zh-CN" w:bidi="ar-SA"/>
      </w:rPr>
    </w:lvl>
    <w:lvl w:ilvl="6" w:tentative="0">
      <w:start w:val="0"/>
      <w:numFmt w:val="bullet"/>
      <w:lvlText w:val="•"/>
      <w:lvlJc w:val="left"/>
      <w:pPr>
        <w:ind w:left="5803" w:hanging="607"/>
      </w:pPr>
      <w:rPr>
        <w:rFonts w:hint="default"/>
        <w:lang w:val="en-US" w:eastAsia="zh-CN" w:bidi="ar-SA"/>
      </w:rPr>
    </w:lvl>
    <w:lvl w:ilvl="7" w:tentative="0">
      <w:start w:val="0"/>
      <w:numFmt w:val="bullet"/>
      <w:lvlText w:val="•"/>
      <w:lvlJc w:val="left"/>
      <w:pPr>
        <w:ind w:left="6734" w:hanging="607"/>
      </w:pPr>
      <w:rPr>
        <w:rFonts w:hint="default"/>
        <w:lang w:val="en-US" w:eastAsia="zh-CN" w:bidi="ar-SA"/>
      </w:rPr>
    </w:lvl>
    <w:lvl w:ilvl="8" w:tentative="0">
      <w:start w:val="0"/>
      <w:numFmt w:val="bullet"/>
      <w:lvlText w:val="•"/>
      <w:lvlJc w:val="left"/>
      <w:pPr>
        <w:ind w:left="7665" w:hanging="607"/>
      </w:pPr>
      <w:rPr>
        <w:rFonts w:hint="default"/>
        <w:lang w:val="en-US" w:eastAsia="zh-CN" w:bidi="ar-SA"/>
      </w:rPr>
    </w:lvl>
  </w:abstractNum>
  <w:abstractNum w:abstractNumId="25">
    <w:nsid w:val="0CEF100B"/>
    <w:multiLevelType w:val="multilevel"/>
    <w:tmpl w:val="0CEF100B"/>
    <w:lvl w:ilvl="0" w:tentative="0">
      <w:start w:val="1"/>
      <w:numFmt w:val="decimal"/>
      <w:lvlText w:val="%1."/>
      <w:lvlJc w:val="left"/>
      <w:pPr>
        <w:ind w:left="939" w:hanging="241"/>
        <w:jc w:val="left"/>
      </w:pPr>
      <w:rPr>
        <w:rFonts w:hint="default" w:ascii="宋体" w:hAnsi="宋体" w:eastAsia="宋体" w:cs="宋体"/>
        <w:b w:val="0"/>
        <w:bCs w:val="0"/>
        <w:i w:val="0"/>
        <w:iCs w:val="0"/>
        <w:spacing w:val="-1"/>
        <w:w w:val="100"/>
        <w:sz w:val="22"/>
        <w:szCs w:val="22"/>
        <w:lang w:val="en-US" w:eastAsia="zh-CN" w:bidi="ar-SA"/>
      </w:rPr>
    </w:lvl>
    <w:lvl w:ilvl="1" w:tentative="0">
      <w:start w:val="0"/>
      <w:numFmt w:val="bullet"/>
      <w:lvlText w:val="•"/>
      <w:lvlJc w:val="left"/>
      <w:pPr>
        <w:ind w:left="1798" w:hanging="241"/>
      </w:pPr>
      <w:rPr>
        <w:rFonts w:hint="default"/>
        <w:lang w:val="en-US" w:eastAsia="zh-CN" w:bidi="ar-SA"/>
      </w:rPr>
    </w:lvl>
    <w:lvl w:ilvl="2" w:tentative="0">
      <w:start w:val="0"/>
      <w:numFmt w:val="bullet"/>
      <w:lvlText w:val="•"/>
      <w:lvlJc w:val="left"/>
      <w:pPr>
        <w:ind w:left="2657" w:hanging="241"/>
      </w:pPr>
      <w:rPr>
        <w:rFonts w:hint="default"/>
        <w:lang w:val="en-US" w:eastAsia="zh-CN" w:bidi="ar-SA"/>
      </w:rPr>
    </w:lvl>
    <w:lvl w:ilvl="3" w:tentative="0">
      <w:start w:val="0"/>
      <w:numFmt w:val="bullet"/>
      <w:lvlText w:val="•"/>
      <w:lvlJc w:val="left"/>
      <w:pPr>
        <w:ind w:left="3515" w:hanging="241"/>
      </w:pPr>
      <w:rPr>
        <w:rFonts w:hint="default"/>
        <w:lang w:val="en-US" w:eastAsia="zh-CN" w:bidi="ar-SA"/>
      </w:rPr>
    </w:lvl>
    <w:lvl w:ilvl="4" w:tentative="0">
      <w:start w:val="0"/>
      <w:numFmt w:val="bullet"/>
      <w:lvlText w:val="•"/>
      <w:lvlJc w:val="left"/>
      <w:pPr>
        <w:ind w:left="4374" w:hanging="241"/>
      </w:pPr>
      <w:rPr>
        <w:rFonts w:hint="default"/>
        <w:lang w:val="en-US" w:eastAsia="zh-CN" w:bidi="ar-SA"/>
      </w:rPr>
    </w:lvl>
    <w:lvl w:ilvl="5" w:tentative="0">
      <w:start w:val="0"/>
      <w:numFmt w:val="bullet"/>
      <w:lvlText w:val="•"/>
      <w:lvlJc w:val="left"/>
      <w:pPr>
        <w:ind w:left="5233" w:hanging="241"/>
      </w:pPr>
      <w:rPr>
        <w:rFonts w:hint="default"/>
        <w:lang w:val="en-US" w:eastAsia="zh-CN" w:bidi="ar-SA"/>
      </w:rPr>
    </w:lvl>
    <w:lvl w:ilvl="6" w:tentative="0">
      <w:start w:val="0"/>
      <w:numFmt w:val="bullet"/>
      <w:lvlText w:val="•"/>
      <w:lvlJc w:val="left"/>
      <w:pPr>
        <w:ind w:left="6091" w:hanging="241"/>
      </w:pPr>
      <w:rPr>
        <w:rFonts w:hint="default"/>
        <w:lang w:val="en-US" w:eastAsia="zh-CN" w:bidi="ar-SA"/>
      </w:rPr>
    </w:lvl>
    <w:lvl w:ilvl="7" w:tentative="0">
      <w:start w:val="0"/>
      <w:numFmt w:val="bullet"/>
      <w:lvlText w:val="•"/>
      <w:lvlJc w:val="left"/>
      <w:pPr>
        <w:ind w:left="6950" w:hanging="241"/>
      </w:pPr>
      <w:rPr>
        <w:rFonts w:hint="default"/>
        <w:lang w:val="en-US" w:eastAsia="zh-CN" w:bidi="ar-SA"/>
      </w:rPr>
    </w:lvl>
    <w:lvl w:ilvl="8" w:tentative="0">
      <w:start w:val="0"/>
      <w:numFmt w:val="bullet"/>
      <w:lvlText w:val="•"/>
      <w:lvlJc w:val="left"/>
      <w:pPr>
        <w:ind w:left="7809" w:hanging="241"/>
      </w:pPr>
      <w:rPr>
        <w:rFonts w:hint="default"/>
        <w:lang w:val="en-US" w:eastAsia="zh-CN" w:bidi="ar-SA"/>
      </w:rPr>
    </w:lvl>
  </w:abstractNum>
  <w:abstractNum w:abstractNumId="26">
    <w:nsid w:val="0E640482"/>
    <w:multiLevelType w:val="multilevel"/>
    <w:tmpl w:val="0E640482"/>
    <w:lvl w:ilvl="0" w:tentative="0">
      <w:start w:val="1"/>
      <w:numFmt w:val="decimal"/>
      <w:lvlText w:val="（%1）"/>
      <w:lvlJc w:val="left"/>
      <w:pPr>
        <w:ind w:left="218" w:hanging="529"/>
        <w:jc w:val="left"/>
      </w:pPr>
      <w:rPr>
        <w:rFonts w:hint="default" w:ascii="宋体" w:hAnsi="宋体" w:eastAsia="宋体" w:cs="宋体"/>
        <w:b w:val="0"/>
        <w:bCs w:val="0"/>
        <w:i w:val="0"/>
        <w:iCs w:val="0"/>
        <w:spacing w:val="-25"/>
        <w:w w:val="100"/>
        <w:sz w:val="19"/>
        <w:szCs w:val="19"/>
        <w:lang w:val="en-US" w:eastAsia="zh-CN" w:bidi="ar-SA"/>
      </w:rPr>
    </w:lvl>
    <w:lvl w:ilvl="1" w:tentative="0">
      <w:start w:val="0"/>
      <w:numFmt w:val="bullet"/>
      <w:lvlText w:val="•"/>
      <w:lvlJc w:val="left"/>
      <w:pPr>
        <w:ind w:left="1150" w:hanging="529"/>
      </w:pPr>
      <w:rPr>
        <w:rFonts w:hint="default"/>
        <w:lang w:val="en-US" w:eastAsia="zh-CN" w:bidi="ar-SA"/>
      </w:rPr>
    </w:lvl>
    <w:lvl w:ilvl="2" w:tentative="0">
      <w:start w:val="0"/>
      <w:numFmt w:val="bullet"/>
      <w:lvlText w:val="•"/>
      <w:lvlJc w:val="left"/>
      <w:pPr>
        <w:ind w:left="2081" w:hanging="529"/>
      </w:pPr>
      <w:rPr>
        <w:rFonts w:hint="default"/>
        <w:lang w:val="en-US" w:eastAsia="zh-CN" w:bidi="ar-SA"/>
      </w:rPr>
    </w:lvl>
    <w:lvl w:ilvl="3" w:tentative="0">
      <w:start w:val="0"/>
      <w:numFmt w:val="bullet"/>
      <w:lvlText w:val="•"/>
      <w:lvlJc w:val="left"/>
      <w:pPr>
        <w:ind w:left="3011" w:hanging="529"/>
      </w:pPr>
      <w:rPr>
        <w:rFonts w:hint="default"/>
        <w:lang w:val="en-US" w:eastAsia="zh-CN" w:bidi="ar-SA"/>
      </w:rPr>
    </w:lvl>
    <w:lvl w:ilvl="4" w:tentative="0">
      <w:start w:val="0"/>
      <w:numFmt w:val="bullet"/>
      <w:lvlText w:val="•"/>
      <w:lvlJc w:val="left"/>
      <w:pPr>
        <w:ind w:left="3942" w:hanging="529"/>
      </w:pPr>
      <w:rPr>
        <w:rFonts w:hint="default"/>
        <w:lang w:val="en-US" w:eastAsia="zh-CN" w:bidi="ar-SA"/>
      </w:rPr>
    </w:lvl>
    <w:lvl w:ilvl="5" w:tentative="0">
      <w:start w:val="0"/>
      <w:numFmt w:val="bullet"/>
      <w:lvlText w:val="•"/>
      <w:lvlJc w:val="left"/>
      <w:pPr>
        <w:ind w:left="4873" w:hanging="529"/>
      </w:pPr>
      <w:rPr>
        <w:rFonts w:hint="default"/>
        <w:lang w:val="en-US" w:eastAsia="zh-CN" w:bidi="ar-SA"/>
      </w:rPr>
    </w:lvl>
    <w:lvl w:ilvl="6" w:tentative="0">
      <w:start w:val="0"/>
      <w:numFmt w:val="bullet"/>
      <w:lvlText w:val="•"/>
      <w:lvlJc w:val="left"/>
      <w:pPr>
        <w:ind w:left="5803" w:hanging="529"/>
      </w:pPr>
      <w:rPr>
        <w:rFonts w:hint="default"/>
        <w:lang w:val="en-US" w:eastAsia="zh-CN" w:bidi="ar-SA"/>
      </w:rPr>
    </w:lvl>
    <w:lvl w:ilvl="7" w:tentative="0">
      <w:start w:val="0"/>
      <w:numFmt w:val="bullet"/>
      <w:lvlText w:val="•"/>
      <w:lvlJc w:val="left"/>
      <w:pPr>
        <w:ind w:left="6734" w:hanging="529"/>
      </w:pPr>
      <w:rPr>
        <w:rFonts w:hint="default"/>
        <w:lang w:val="en-US" w:eastAsia="zh-CN" w:bidi="ar-SA"/>
      </w:rPr>
    </w:lvl>
    <w:lvl w:ilvl="8" w:tentative="0">
      <w:start w:val="0"/>
      <w:numFmt w:val="bullet"/>
      <w:lvlText w:val="•"/>
      <w:lvlJc w:val="left"/>
      <w:pPr>
        <w:ind w:left="7665" w:hanging="529"/>
      </w:pPr>
      <w:rPr>
        <w:rFonts w:hint="default"/>
        <w:lang w:val="en-US" w:eastAsia="zh-CN" w:bidi="ar-SA"/>
      </w:rPr>
    </w:lvl>
  </w:abstractNum>
  <w:abstractNum w:abstractNumId="27">
    <w:nsid w:val="1ACDE60F"/>
    <w:multiLevelType w:val="multilevel"/>
    <w:tmpl w:val="1ACDE60F"/>
    <w:lvl w:ilvl="0" w:tentative="0">
      <w:start w:val="19"/>
      <w:numFmt w:val="decimal"/>
      <w:lvlText w:val="%1"/>
      <w:lvlJc w:val="left"/>
      <w:pPr>
        <w:ind w:left="1402" w:hanging="526"/>
        <w:jc w:val="left"/>
      </w:pPr>
      <w:rPr>
        <w:rFonts w:hint="default"/>
        <w:lang w:val="en-US" w:eastAsia="zh-CN" w:bidi="ar-SA"/>
      </w:rPr>
    </w:lvl>
    <w:lvl w:ilvl="1" w:tentative="0">
      <w:start w:val="1"/>
      <w:numFmt w:val="decimal"/>
      <w:lvlText w:val="%1.%2"/>
      <w:lvlJc w:val="left"/>
      <w:pPr>
        <w:ind w:left="1402" w:hanging="526"/>
        <w:jc w:val="left"/>
      </w:pPr>
      <w:rPr>
        <w:rFonts w:hint="default" w:ascii="宋体" w:hAnsi="宋体" w:eastAsia="宋体" w:cs="宋体"/>
        <w:b w:val="0"/>
        <w:bCs w:val="0"/>
        <w:i w:val="0"/>
        <w:iCs w:val="0"/>
        <w:w w:val="100"/>
        <w:sz w:val="21"/>
        <w:szCs w:val="21"/>
        <w:lang w:val="en-US" w:eastAsia="zh-CN" w:bidi="ar-SA"/>
      </w:rPr>
    </w:lvl>
    <w:lvl w:ilvl="2" w:tentative="0">
      <w:start w:val="0"/>
      <w:numFmt w:val="bullet"/>
      <w:lvlText w:val="•"/>
      <w:lvlJc w:val="left"/>
      <w:pPr>
        <w:ind w:left="3025" w:hanging="526"/>
      </w:pPr>
      <w:rPr>
        <w:rFonts w:hint="default"/>
        <w:lang w:val="en-US" w:eastAsia="zh-CN" w:bidi="ar-SA"/>
      </w:rPr>
    </w:lvl>
    <w:lvl w:ilvl="3" w:tentative="0">
      <w:start w:val="0"/>
      <w:numFmt w:val="bullet"/>
      <w:lvlText w:val="•"/>
      <w:lvlJc w:val="left"/>
      <w:pPr>
        <w:ind w:left="3837" w:hanging="526"/>
      </w:pPr>
      <w:rPr>
        <w:rFonts w:hint="default"/>
        <w:lang w:val="en-US" w:eastAsia="zh-CN" w:bidi="ar-SA"/>
      </w:rPr>
    </w:lvl>
    <w:lvl w:ilvl="4" w:tentative="0">
      <w:start w:val="0"/>
      <w:numFmt w:val="bullet"/>
      <w:lvlText w:val="•"/>
      <w:lvlJc w:val="left"/>
      <w:pPr>
        <w:ind w:left="4650" w:hanging="526"/>
      </w:pPr>
      <w:rPr>
        <w:rFonts w:hint="default"/>
        <w:lang w:val="en-US" w:eastAsia="zh-CN" w:bidi="ar-SA"/>
      </w:rPr>
    </w:lvl>
    <w:lvl w:ilvl="5" w:tentative="0">
      <w:start w:val="0"/>
      <w:numFmt w:val="bullet"/>
      <w:lvlText w:val="•"/>
      <w:lvlJc w:val="left"/>
      <w:pPr>
        <w:ind w:left="5463" w:hanging="526"/>
      </w:pPr>
      <w:rPr>
        <w:rFonts w:hint="default"/>
        <w:lang w:val="en-US" w:eastAsia="zh-CN" w:bidi="ar-SA"/>
      </w:rPr>
    </w:lvl>
    <w:lvl w:ilvl="6" w:tentative="0">
      <w:start w:val="0"/>
      <w:numFmt w:val="bullet"/>
      <w:lvlText w:val="•"/>
      <w:lvlJc w:val="left"/>
      <w:pPr>
        <w:ind w:left="6275" w:hanging="526"/>
      </w:pPr>
      <w:rPr>
        <w:rFonts w:hint="default"/>
        <w:lang w:val="en-US" w:eastAsia="zh-CN" w:bidi="ar-SA"/>
      </w:rPr>
    </w:lvl>
    <w:lvl w:ilvl="7" w:tentative="0">
      <w:start w:val="0"/>
      <w:numFmt w:val="bullet"/>
      <w:lvlText w:val="•"/>
      <w:lvlJc w:val="left"/>
      <w:pPr>
        <w:ind w:left="7088" w:hanging="526"/>
      </w:pPr>
      <w:rPr>
        <w:rFonts w:hint="default"/>
        <w:lang w:val="en-US" w:eastAsia="zh-CN" w:bidi="ar-SA"/>
      </w:rPr>
    </w:lvl>
    <w:lvl w:ilvl="8" w:tentative="0">
      <w:start w:val="0"/>
      <w:numFmt w:val="bullet"/>
      <w:lvlText w:val="•"/>
      <w:lvlJc w:val="left"/>
      <w:pPr>
        <w:ind w:left="7901" w:hanging="526"/>
      </w:pPr>
      <w:rPr>
        <w:rFonts w:hint="default"/>
        <w:lang w:val="en-US" w:eastAsia="zh-CN" w:bidi="ar-SA"/>
      </w:rPr>
    </w:lvl>
  </w:abstractNum>
  <w:abstractNum w:abstractNumId="28">
    <w:nsid w:val="243FCF68"/>
    <w:multiLevelType w:val="multilevel"/>
    <w:tmpl w:val="243FCF68"/>
    <w:lvl w:ilvl="0" w:tentative="0">
      <w:start w:val="3"/>
      <w:numFmt w:val="decimal"/>
      <w:lvlText w:val="%1"/>
      <w:lvlJc w:val="left"/>
      <w:pPr>
        <w:ind w:left="578" w:hanging="423"/>
        <w:jc w:val="left"/>
      </w:pPr>
      <w:rPr>
        <w:rFonts w:hint="default"/>
        <w:lang w:val="en-US" w:eastAsia="zh-CN" w:bidi="ar-SA"/>
      </w:rPr>
    </w:lvl>
    <w:lvl w:ilvl="1" w:tentative="0">
      <w:start w:val="1"/>
      <w:numFmt w:val="decimal"/>
      <w:lvlText w:val="%1.%2"/>
      <w:lvlJc w:val="left"/>
      <w:pPr>
        <w:ind w:left="578" w:hanging="423"/>
        <w:jc w:val="left"/>
      </w:pPr>
      <w:rPr>
        <w:rFonts w:hint="default" w:ascii="宋体" w:hAnsi="宋体" w:eastAsia="宋体" w:cs="宋体"/>
        <w:b w:val="0"/>
        <w:bCs w:val="0"/>
        <w:i w:val="0"/>
        <w:iCs w:val="0"/>
        <w:w w:val="100"/>
        <w:sz w:val="21"/>
        <w:szCs w:val="21"/>
        <w:lang w:val="en-US" w:eastAsia="zh-CN" w:bidi="ar-SA"/>
      </w:rPr>
    </w:lvl>
    <w:lvl w:ilvl="2" w:tentative="0">
      <w:start w:val="0"/>
      <w:numFmt w:val="bullet"/>
      <w:lvlText w:val="•"/>
      <w:lvlJc w:val="left"/>
      <w:pPr>
        <w:ind w:left="2369" w:hanging="423"/>
      </w:pPr>
      <w:rPr>
        <w:rFonts w:hint="default"/>
        <w:lang w:val="en-US" w:eastAsia="zh-CN" w:bidi="ar-SA"/>
      </w:rPr>
    </w:lvl>
    <w:lvl w:ilvl="3" w:tentative="0">
      <w:start w:val="0"/>
      <w:numFmt w:val="bullet"/>
      <w:lvlText w:val="•"/>
      <w:lvlJc w:val="left"/>
      <w:pPr>
        <w:ind w:left="3263" w:hanging="423"/>
      </w:pPr>
      <w:rPr>
        <w:rFonts w:hint="default"/>
        <w:lang w:val="en-US" w:eastAsia="zh-CN" w:bidi="ar-SA"/>
      </w:rPr>
    </w:lvl>
    <w:lvl w:ilvl="4" w:tentative="0">
      <w:start w:val="0"/>
      <w:numFmt w:val="bullet"/>
      <w:lvlText w:val="•"/>
      <w:lvlJc w:val="left"/>
      <w:pPr>
        <w:ind w:left="4158" w:hanging="423"/>
      </w:pPr>
      <w:rPr>
        <w:rFonts w:hint="default"/>
        <w:lang w:val="en-US" w:eastAsia="zh-CN" w:bidi="ar-SA"/>
      </w:rPr>
    </w:lvl>
    <w:lvl w:ilvl="5" w:tentative="0">
      <w:start w:val="0"/>
      <w:numFmt w:val="bullet"/>
      <w:lvlText w:val="•"/>
      <w:lvlJc w:val="left"/>
      <w:pPr>
        <w:ind w:left="5053" w:hanging="423"/>
      </w:pPr>
      <w:rPr>
        <w:rFonts w:hint="default"/>
        <w:lang w:val="en-US" w:eastAsia="zh-CN" w:bidi="ar-SA"/>
      </w:rPr>
    </w:lvl>
    <w:lvl w:ilvl="6" w:tentative="0">
      <w:start w:val="0"/>
      <w:numFmt w:val="bullet"/>
      <w:lvlText w:val="•"/>
      <w:lvlJc w:val="left"/>
      <w:pPr>
        <w:ind w:left="5947" w:hanging="423"/>
      </w:pPr>
      <w:rPr>
        <w:rFonts w:hint="default"/>
        <w:lang w:val="en-US" w:eastAsia="zh-CN" w:bidi="ar-SA"/>
      </w:rPr>
    </w:lvl>
    <w:lvl w:ilvl="7" w:tentative="0">
      <w:start w:val="0"/>
      <w:numFmt w:val="bullet"/>
      <w:lvlText w:val="•"/>
      <w:lvlJc w:val="left"/>
      <w:pPr>
        <w:ind w:left="6842" w:hanging="423"/>
      </w:pPr>
      <w:rPr>
        <w:rFonts w:hint="default"/>
        <w:lang w:val="en-US" w:eastAsia="zh-CN" w:bidi="ar-SA"/>
      </w:rPr>
    </w:lvl>
    <w:lvl w:ilvl="8" w:tentative="0">
      <w:start w:val="0"/>
      <w:numFmt w:val="bullet"/>
      <w:lvlText w:val="•"/>
      <w:lvlJc w:val="left"/>
      <w:pPr>
        <w:ind w:left="7737" w:hanging="423"/>
      </w:pPr>
      <w:rPr>
        <w:rFonts w:hint="default"/>
        <w:lang w:val="en-US" w:eastAsia="zh-CN" w:bidi="ar-SA"/>
      </w:rPr>
    </w:lvl>
  </w:abstractNum>
  <w:abstractNum w:abstractNumId="29">
    <w:nsid w:val="2470EC97"/>
    <w:multiLevelType w:val="multilevel"/>
    <w:tmpl w:val="2470EC97"/>
    <w:lvl w:ilvl="0" w:tentative="0">
      <w:start w:val="13"/>
      <w:numFmt w:val="decimal"/>
      <w:lvlText w:val="%1"/>
      <w:lvlJc w:val="left"/>
      <w:pPr>
        <w:ind w:left="218" w:hanging="526"/>
        <w:jc w:val="left"/>
      </w:pPr>
      <w:rPr>
        <w:rFonts w:hint="default"/>
        <w:lang w:val="en-US" w:eastAsia="zh-CN" w:bidi="ar-SA"/>
      </w:rPr>
    </w:lvl>
    <w:lvl w:ilvl="1" w:tentative="0">
      <w:start w:val="1"/>
      <w:numFmt w:val="decimal"/>
      <w:lvlText w:val="%1.%2"/>
      <w:lvlJc w:val="left"/>
      <w:pPr>
        <w:ind w:left="218" w:hanging="526"/>
        <w:jc w:val="left"/>
      </w:pPr>
      <w:rPr>
        <w:rFonts w:hint="default" w:ascii="宋体" w:hAnsi="宋体" w:eastAsia="宋体" w:cs="宋体"/>
        <w:b w:val="0"/>
        <w:bCs w:val="0"/>
        <w:i w:val="0"/>
        <w:iCs w:val="0"/>
        <w:w w:val="100"/>
        <w:sz w:val="21"/>
        <w:szCs w:val="21"/>
        <w:lang w:val="en-US" w:eastAsia="zh-CN" w:bidi="ar-SA"/>
      </w:rPr>
    </w:lvl>
    <w:lvl w:ilvl="2" w:tentative="0">
      <w:start w:val="0"/>
      <w:numFmt w:val="bullet"/>
      <w:lvlText w:val="•"/>
      <w:lvlJc w:val="left"/>
      <w:pPr>
        <w:ind w:left="2081" w:hanging="526"/>
      </w:pPr>
      <w:rPr>
        <w:rFonts w:hint="default"/>
        <w:lang w:val="en-US" w:eastAsia="zh-CN" w:bidi="ar-SA"/>
      </w:rPr>
    </w:lvl>
    <w:lvl w:ilvl="3" w:tentative="0">
      <w:start w:val="0"/>
      <w:numFmt w:val="bullet"/>
      <w:lvlText w:val="•"/>
      <w:lvlJc w:val="left"/>
      <w:pPr>
        <w:ind w:left="3011" w:hanging="526"/>
      </w:pPr>
      <w:rPr>
        <w:rFonts w:hint="default"/>
        <w:lang w:val="en-US" w:eastAsia="zh-CN" w:bidi="ar-SA"/>
      </w:rPr>
    </w:lvl>
    <w:lvl w:ilvl="4" w:tentative="0">
      <w:start w:val="0"/>
      <w:numFmt w:val="bullet"/>
      <w:lvlText w:val="•"/>
      <w:lvlJc w:val="left"/>
      <w:pPr>
        <w:ind w:left="3942" w:hanging="526"/>
      </w:pPr>
      <w:rPr>
        <w:rFonts w:hint="default"/>
        <w:lang w:val="en-US" w:eastAsia="zh-CN" w:bidi="ar-SA"/>
      </w:rPr>
    </w:lvl>
    <w:lvl w:ilvl="5" w:tentative="0">
      <w:start w:val="0"/>
      <w:numFmt w:val="bullet"/>
      <w:lvlText w:val="•"/>
      <w:lvlJc w:val="left"/>
      <w:pPr>
        <w:ind w:left="4873" w:hanging="526"/>
      </w:pPr>
      <w:rPr>
        <w:rFonts w:hint="default"/>
        <w:lang w:val="en-US" w:eastAsia="zh-CN" w:bidi="ar-SA"/>
      </w:rPr>
    </w:lvl>
    <w:lvl w:ilvl="6" w:tentative="0">
      <w:start w:val="0"/>
      <w:numFmt w:val="bullet"/>
      <w:lvlText w:val="•"/>
      <w:lvlJc w:val="left"/>
      <w:pPr>
        <w:ind w:left="5803" w:hanging="526"/>
      </w:pPr>
      <w:rPr>
        <w:rFonts w:hint="default"/>
        <w:lang w:val="en-US" w:eastAsia="zh-CN" w:bidi="ar-SA"/>
      </w:rPr>
    </w:lvl>
    <w:lvl w:ilvl="7" w:tentative="0">
      <w:start w:val="0"/>
      <w:numFmt w:val="bullet"/>
      <w:lvlText w:val="•"/>
      <w:lvlJc w:val="left"/>
      <w:pPr>
        <w:ind w:left="6734" w:hanging="526"/>
      </w:pPr>
      <w:rPr>
        <w:rFonts w:hint="default"/>
        <w:lang w:val="en-US" w:eastAsia="zh-CN" w:bidi="ar-SA"/>
      </w:rPr>
    </w:lvl>
    <w:lvl w:ilvl="8" w:tentative="0">
      <w:start w:val="0"/>
      <w:numFmt w:val="bullet"/>
      <w:lvlText w:val="•"/>
      <w:lvlJc w:val="left"/>
      <w:pPr>
        <w:ind w:left="7665" w:hanging="526"/>
      </w:pPr>
      <w:rPr>
        <w:rFonts w:hint="default"/>
        <w:lang w:val="en-US" w:eastAsia="zh-CN" w:bidi="ar-SA"/>
      </w:rPr>
    </w:lvl>
  </w:abstractNum>
  <w:abstractNum w:abstractNumId="30">
    <w:nsid w:val="25B654F3"/>
    <w:multiLevelType w:val="multilevel"/>
    <w:tmpl w:val="25B654F3"/>
    <w:lvl w:ilvl="0" w:tentative="0">
      <w:start w:val="1"/>
      <w:numFmt w:val="decimal"/>
      <w:lvlText w:val="（%1）"/>
      <w:lvlJc w:val="left"/>
      <w:pPr>
        <w:ind w:left="218" w:hanging="529"/>
        <w:jc w:val="left"/>
      </w:pPr>
      <w:rPr>
        <w:rFonts w:hint="default" w:ascii="宋体" w:hAnsi="宋体" w:eastAsia="宋体" w:cs="宋体"/>
        <w:b w:val="0"/>
        <w:bCs w:val="0"/>
        <w:i w:val="0"/>
        <w:iCs w:val="0"/>
        <w:spacing w:val="-17"/>
        <w:w w:val="100"/>
        <w:sz w:val="19"/>
        <w:szCs w:val="19"/>
        <w:lang w:val="en-US" w:eastAsia="zh-CN" w:bidi="ar-SA"/>
      </w:rPr>
    </w:lvl>
    <w:lvl w:ilvl="1" w:tentative="0">
      <w:start w:val="0"/>
      <w:numFmt w:val="bullet"/>
      <w:lvlText w:val="•"/>
      <w:lvlJc w:val="left"/>
      <w:pPr>
        <w:ind w:left="1150" w:hanging="529"/>
      </w:pPr>
      <w:rPr>
        <w:rFonts w:hint="default"/>
        <w:lang w:val="en-US" w:eastAsia="zh-CN" w:bidi="ar-SA"/>
      </w:rPr>
    </w:lvl>
    <w:lvl w:ilvl="2" w:tentative="0">
      <w:start w:val="0"/>
      <w:numFmt w:val="bullet"/>
      <w:lvlText w:val="•"/>
      <w:lvlJc w:val="left"/>
      <w:pPr>
        <w:ind w:left="2081" w:hanging="529"/>
      </w:pPr>
      <w:rPr>
        <w:rFonts w:hint="default"/>
        <w:lang w:val="en-US" w:eastAsia="zh-CN" w:bidi="ar-SA"/>
      </w:rPr>
    </w:lvl>
    <w:lvl w:ilvl="3" w:tentative="0">
      <w:start w:val="0"/>
      <w:numFmt w:val="bullet"/>
      <w:lvlText w:val="•"/>
      <w:lvlJc w:val="left"/>
      <w:pPr>
        <w:ind w:left="3011" w:hanging="529"/>
      </w:pPr>
      <w:rPr>
        <w:rFonts w:hint="default"/>
        <w:lang w:val="en-US" w:eastAsia="zh-CN" w:bidi="ar-SA"/>
      </w:rPr>
    </w:lvl>
    <w:lvl w:ilvl="4" w:tentative="0">
      <w:start w:val="0"/>
      <w:numFmt w:val="bullet"/>
      <w:lvlText w:val="•"/>
      <w:lvlJc w:val="left"/>
      <w:pPr>
        <w:ind w:left="3942" w:hanging="529"/>
      </w:pPr>
      <w:rPr>
        <w:rFonts w:hint="default"/>
        <w:lang w:val="en-US" w:eastAsia="zh-CN" w:bidi="ar-SA"/>
      </w:rPr>
    </w:lvl>
    <w:lvl w:ilvl="5" w:tentative="0">
      <w:start w:val="0"/>
      <w:numFmt w:val="bullet"/>
      <w:lvlText w:val="•"/>
      <w:lvlJc w:val="left"/>
      <w:pPr>
        <w:ind w:left="4873" w:hanging="529"/>
      </w:pPr>
      <w:rPr>
        <w:rFonts w:hint="default"/>
        <w:lang w:val="en-US" w:eastAsia="zh-CN" w:bidi="ar-SA"/>
      </w:rPr>
    </w:lvl>
    <w:lvl w:ilvl="6" w:tentative="0">
      <w:start w:val="0"/>
      <w:numFmt w:val="bullet"/>
      <w:lvlText w:val="•"/>
      <w:lvlJc w:val="left"/>
      <w:pPr>
        <w:ind w:left="5803" w:hanging="529"/>
      </w:pPr>
      <w:rPr>
        <w:rFonts w:hint="default"/>
        <w:lang w:val="en-US" w:eastAsia="zh-CN" w:bidi="ar-SA"/>
      </w:rPr>
    </w:lvl>
    <w:lvl w:ilvl="7" w:tentative="0">
      <w:start w:val="0"/>
      <w:numFmt w:val="bullet"/>
      <w:lvlText w:val="•"/>
      <w:lvlJc w:val="left"/>
      <w:pPr>
        <w:ind w:left="6734" w:hanging="529"/>
      </w:pPr>
      <w:rPr>
        <w:rFonts w:hint="default"/>
        <w:lang w:val="en-US" w:eastAsia="zh-CN" w:bidi="ar-SA"/>
      </w:rPr>
    </w:lvl>
    <w:lvl w:ilvl="8" w:tentative="0">
      <w:start w:val="0"/>
      <w:numFmt w:val="bullet"/>
      <w:lvlText w:val="•"/>
      <w:lvlJc w:val="left"/>
      <w:pPr>
        <w:ind w:left="7665" w:hanging="529"/>
      </w:pPr>
      <w:rPr>
        <w:rFonts w:hint="default"/>
        <w:lang w:val="en-US" w:eastAsia="zh-CN" w:bidi="ar-SA"/>
      </w:rPr>
    </w:lvl>
  </w:abstractNum>
  <w:abstractNum w:abstractNumId="31">
    <w:nsid w:val="2A8F537B"/>
    <w:multiLevelType w:val="multilevel"/>
    <w:tmpl w:val="2A8F537B"/>
    <w:lvl w:ilvl="0" w:tentative="0">
      <w:start w:val="7"/>
      <w:numFmt w:val="decimal"/>
      <w:lvlText w:val="%1"/>
      <w:lvlJc w:val="left"/>
      <w:pPr>
        <w:ind w:left="218" w:hanging="370"/>
        <w:jc w:val="left"/>
      </w:pPr>
      <w:rPr>
        <w:rFonts w:hint="default"/>
        <w:lang w:val="en-US" w:eastAsia="zh-CN" w:bidi="ar-SA"/>
      </w:rPr>
    </w:lvl>
    <w:lvl w:ilvl="1" w:tentative="0">
      <w:start w:val="1"/>
      <w:numFmt w:val="decimal"/>
      <w:lvlText w:val="%1.%2"/>
      <w:lvlJc w:val="left"/>
      <w:pPr>
        <w:ind w:left="218" w:hanging="370"/>
        <w:jc w:val="left"/>
      </w:pPr>
      <w:rPr>
        <w:rFonts w:hint="default" w:ascii="宋体" w:hAnsi="宋体" w:eastAsia="宋体" w:cs="宋体"/>
        <w:b w:val="0"/>
        <w:bCs w:val="0"/>
        <w:i w:val="0"/>
        <w:iCs w:val="0"/>
        <w:w w:val="100"/>
        <w:sz w:val="21"/>
        <w:szCs w:val="21"/>
        <w:lang w:val="en-US" w:eastAsia="zh-CN" w:bidi="ar-SA"/>
      </w:rPr>
    </w:lvl>
    <w:lvl w:ilvl="2" w:tentative="0">
      <w:start w:val="0"/>
      <w:numFmt w:val="bullet"/>
      <w:lvlText w:val="•"/>
      <w:lvlJc w:val="left"/>
      <w:pPr>
        <w:ind w:left="2081" w:hanging="370"/>
      </w:pPr>
      <w:rPr>
        <w:rFonts w:hint="default"/>
        <w:lang w:val="en-US" w:eastAsia="zh-CN" w:bidi="ar-SA"/>
      </w:rPr>
    </w:lvl>
    <w:lvl w:ilvl="3" w:tentative="0">
      <w:start w:val="0"/>
      <w:numFmt w:val="bullet"/>
      <w:lvlText w:val="•"/>
      <w:lvlJc w:val="left"/>
      <w:pPr>
        <w:ind w:left="3011" w:hanging="370"/>
      </w:pPr>
      <w:rPr>
        <w:rFonts w:hint="default"/>
        <w:lang w:val="en-US" w:eastAsia="zh-CN" w:bidi="ar-SA"/>
      </w:rPr>
    </w:lvl>
    <w:lvl w:ilvl="4" w:tentative="0">
      <w:start w:val="0"/>
      <w:numFmt w:val="bullet"/>
      <w:lvlText w:val="•"/>
      <w:lvlJc w:val="left"/>
      <w:pPr>
        <w:ind w:left="3942" w:hanging="370"/>
      </w:pPr>
      <w:rPr>
        <w:rFonts w:hint="default"/>
        <w:lang w:val="en-US" w:eastAsia="zh-CN" w:bidi="ar-SA"/>
      </w:rPr>
    </w:lvl>
    <w:lvl w:ilvl="5" w:tentative="0">
      <w:start w:val="0"/>
      <w:numFmt w:val="bullet"/>
      <w:lvlText w:val="•"/>
      <w:lvlJc w:val="left"/>
      <w:pPr>
        <w:ind w:left="4873" w:hanging="370"/>
      </w:pPr>
      <w:rPr>
        <w:rFonts w:hint="default"/>
        <w:lang w:val="en-US" w:eastAsia="zh-CN" w:bidi="ar-SA"/>
      </w:rPr>
    </w:lvl>
    <w:lvl w:ilvl="6" w:tentative="0">
      <w:start w:val="0"/>
      <w:numFmt w:val="bullet"/>
      <w:lvlText w:val="•"/>
      <w:lvlJc w:val="left"/>
      <w:pPr>
        <w:ind w:left="5803" w:hanging="370"/>
      </w:pPr>
      <w:rPr>
        <w:rFonts w:hint="default"/>
        <w:lang w:val="en-US" w:eastAsia="zh-CN" w:bidi="ar-SA"/>
      </w:rPr>
    </w:lvl>
    <w:lvl w:ilvl="7" w:tentative="0">
      <w:start w:val="0"/>
      <w:numFmt w:val="bullet"/>
      <w:lvlText w:val="•"/>
      <w:lvlJc w:val="left"/>
      <w:pPr>
        <w:ind w:left="6734" w:hanging="370"/>
      </w:pPr>
      <w:rPr>
        <w:rFonts w:hint="default"/>
        <w:lang w:val="en-US" w:eastAsia="zh-CN" w:bidi="ar-SA"/>
      </w:rPr>
    </w:lvl>
    <w:lvl w:ilvl="8" w:tentative="0">
      <w:start w:val="0"/>
      <w:numFmt w:val="bullet"/>
      <w:lvlText w:val="•"/>
      <w:lvlJc w:val="left"/>
      <w:pPr>
        <w:ind w:left="7665" w:hanging="370"/>
      </w:pPr>
      <w:rPr>
        <w:rFonts w:hint="default"/>
        <w:lang w:val="en-US" w:eastAsia="zh-CN" w:bidi="ar-SA"/>
      </w:rPr>
    </w:lvl>
  </w:abstractNum>
  <w:abstractNum w:abstractNumId="32">
    <w:nsid w:val="30FC5B15"/>
    <w:multiLevelType w:val="multilevel"/>
    <w:tmpl w:val="30FC5B15"/>
    <w:lvl w:ilvl="0" w:tentative="0">
      <w:start w:val="10"/>
      <w:numFmt w:val="decimal"/>
      <w:lvlText w:val="%1"/>
      <w:lvlJc w:val="left"/>
      <w:pPr>
        <w:ind w:left="744" w:hanging="526"/>
        <w:jc w:val="left"/>
      </w:pPr>
      <w:rPr>
        <w:rFonts w:hint="default"/>
        <w:lang w:val="en-US" w:eastAsia="zh-CN" w:bidi="ar-SA"/>
      </w:rPr>
    </w:lvl>
    <w:lvl w:ilvl="1" w:tentative="0">
      <w:start w:val="1"/>
      <w:numFmt w:val="decimal"/>
      <w:lvlText w:val="%1.%2"/>
      <w:lvlJc w:val="left"/>
      <w:pPr>
        <w:ind w:left="744" w:hanging="526"/>
        <w:jc w:val="left"/>
      </w:pPr>
      <w:rPr>
        <w:rFonts w:hint="default" w:ascii="宋体" w:hAnsi="宋体" w:eastAsia="宋体" w:cs="宋体"/>
        <w:b w:val="0"/>
        <w:bCs w:val="0"/>
        <w:i w:val="0"/>
        <w:iCs w:val="0"/>
        <w:w w:val="100"/>
        <w:sz w:val="21"/>
        <w:szCs w:val="21"/>
        <w:lang w:val="en-US" w:eastAsia="zh-CN" w:bidi="ar-SA"/>
      </w:rPr>
    </w:lvl>
    <w:lvl w:ilvl="2" w:tentative="0">
      <w:start w:val="0"/>
      <w:numFmt w:val="bullet"/>
      <w:lvlText w:val="•"/>
      <w:lvlJc w:val="left"/>
      <w:pPr>
        <w:ind w:left="2497" w:hanging="526"/>
      </w:pPr>
      <w:rPr>
        <w:rFonts w:hint="default"/>
        <w:lang w:val="en-US" w:eastAsia="zh-CN" w:bidi="ar-SA"/>
      </w:rPr>
    </w:lvl>
    <w:lvl w:ilvl="3" w:tentative="0">
      <w:start w:val="0"/>
      <w:numFmt w:val="bullet"/>
      <w:lvlText w:val="•"/>
      <w:lvlJc w:val="left"/>
      <w:pPr>
        <w:ind w:left="3375" w:hanging="526"/>
      </w:pPr>
      <w:rPr>
        <w:rFonts w:hint="default"/>
        <w:lang w:val="en-US" w:eastAsia="zh-CN" w:bidi="ar-SA"/>
      </w:rPr>
    </w:lvl>
    <w:lvl w:ilvl="4" w:tentative="0">
      <w:start w:val="0"/>
      <w:numFmt w:val="bullet"/>
      <w:lvlText w:val="•"/>
      <w:lvlJc w:val="left"/>
      <w:pPr>
        <w:ind w:left="4254" w:hanging="526"/>
      </w:pPr>
      <w:rPr>
        <w:rFonts w:hint="default"/>
        <w:lang w:val="en-US" w:eastAsia="zh-CN" w:bidi="ar-SA"/>
      </w:rPr>
    </w:lvl>
    <w:lvl w:ilvl="5" w:tentative="0">
      <w:start w:val="0"/>
      <w:numFmt w:val="bullet"/>
      <w:lvlText w:val="•"/>
      <w:lvlJc w:val="left"/>
      <w:pPr>
        <w:ind w:left="5133" w:hanging="526"/>
      </w:pPr>
      <w:rPr>
        <w:rFonts w:hint="default"/>
        <w:lang w:val="en-US" w:eastAsia="zh-CN" w:bidi="ar-SA"/>
      </w:rPr>
    </w:lvl>
    <w:lvl w:ilvl="6" w:tentative="0">
      <w:start w:val="0"/>
      <w:numFmt w:val="bullet"/>
      <w:lvlText w:val="•"/>
      <w:lvlJc w:val="left"/>
      <w:pPr>
        <w:ind w:left="6011" w:hanging="526"/>
      </w:pPr>
      <w:rPr>
        <w:rFonts w:hint="default"/>
        <w:lang w:val="en-US" w:eastAsia="zh-CN" w:bidi="ar-SA"/>
      </w:rPr>
    </w:lvl>
    <w:lvl w:ilvl="7" w:tentative="0">
      <w:start w:val="0"/>
      <w:numFmt w:val="bullet"/>
      <w:lvlText w:val="•"/>
      <w:lvlJc w:val="left"/>
      <w:pPr>
        <w:ind w:left="6890" w:hanging="526"/>
      </w:pPr>
      <w:rPr>
        <w:rFonts w:hint="default"/>
        <w:lang w:val="en-US" w:eastAsia="zh-CN" w:bidi="ar-SA"/>
      </w:rPr>
    </w:lvl>
    <w:lvl w:ilvl="8" w:tentative="0">
      <w:start w:val="0"/>
      <w:numFmt w:val="bullet"/>
      <w:lvlText w:val="•"/>
      <w:lvlJc w:val="left"/>
      <w:pPr>
        <w:ind w:left="7769" w:hanging="526"/>
      </w:pPr>
      <w:rPr>
        <w:rFonts w:hint="default"/>
        <w:lang w:val="en-US" w:eastAsia="zh-CN" w:bidi="ar-SA"/>
      </w:rPr>
    </w:lvl>
  </w:abstractNum>
  <w:abstractNum w:abstractNumId="33">
    <w:nsid w:val="322D85CA"/>
    <w:multiLevelType w:val="multilevel"/>
    <w:tmpl w:val="322D85CA"/>
    <w:lvl w:ilvl="0" w:tentative="0">
      <w:start w:val="1"/>
      <w:numFmt w:val="decimal"/>
      <w:lvlText w:val="（%1）"/>
      <w:lvlJc w:val="left"/>
      <w:pPr>
        <w:ind w:left="218" w:hanging="708"/>
        <w:jc w:val="left"/>
      </w:pPr>
      <w:rPr>
        <w:rFonts w:hint="default"/>
        <w:spacing w:val="-1"/>
        <w:w w:val="100"/>
        <w:lang w:val="en-US" w:eastAsia="zh-CN" w:bidi="ar-SA"/>
      </w:rPr>
    </w:lvl>
    <w:lvl w:ilvl="1" w:tentative="0">
      <w:start w:val="0"/>
      <w:numFmt w:val="bullet"/>
      <w:lvlText w:val="•"/>
      <w:lvlJc w:val="left"/>
      <w:pPr>
        <w:ind w:left="1150" w:hanging="708"/>
      </w:pPr>
      <w:rPr>
        <w:rFonts w:hint="default"/>
        <w:lang w:val="en-US" w:eastAsia="zh-CN" w:bidi="ar-SA"/>
      </w:rPr>
    </w:lvl>
    <w:lvl w:ilvl="2" w:tentative="0">
      <w:start w:val="0"/>
      <w:numFmt w:val="bullet"/>
      <w:lvlText w:val="•"/>
      <w:lvlJc w:val="left"/>
      <w:pPr>
        <w:ind w:left="2081" w:hanging="708"/>
      </w:pPr>
      <w:rPr>
        <w:rFonts w:hint="default"/>
        <w:lang w:val="en-US" w:eastAsia="zh-CN" w:bidi="ar-SA"/>
      </w:rPr>
    </w:lvl>
    <w:lvl w:ilvl="3" w:tentative="0">
      <w:start w:val="0"/>
      <w:numFmt w:val="bullet"/>
      <w:lvlText w:val="•"/>
      <w:lvlJc w:val="left"/>
      <w:pPr>
        <w:ind w:left="3011" w:hanging="708"/>
      </w:pPr>
      <w:rPr>
        <w:rFonts w:hint="default"/>
        <w:lang w:val="en-US" w:eastAsia="zh-CN" w:bidi="ar-SA"/>
      </w:rPr>
    </w:lvl>
    <w:lvl w:ilvl="4" w:tentative="0">
      <w:start w:val="0"/>
      <w:numFmt w:val="bullet"/>
      <w:lvlText w:val="•"/>
      <w:lvlJc w:val="left"/>
      <w:pPr>
        <w:ind w:left="3942" w:hanging="708"/>
      </w:pPr>
      <w:rPr>
        <w:rFonts w:hint="default"/>
        <w:lang w:val="en-US" w:eastAsia="zh-CN" w:bidi="ar-SA"/>
      </w:rPr>
    </w:lvl>
    <w:lvl w:ilvl="5" w:tentative="0">
      <w:start w:val="0"/>
      <w:numFmt w:val="bullet"/>
      <w:lvlText w:val="•"/>
      <w:lvlJc w:val="left"/>
      <w:pPr>
        <w:ind w:left="4873" w:hanging="708"/>
      </w:pPr>
      <w:rPr>
        <w:rFonts w:hint="default"/>
        <w:lang w:val="en-US" w:eastAsia="zh-CN" w:bidi="ar-SA"/>
      </w:rPr>
    </w:lvl>
    <w:lvl w:ilvl="6" w:tentative="0">
      <w:start w:val="0"/>
      <w:numFmt w:val="bullet"/>
      <w:lvlText w:val="•"/>
      <w:lvlJc w:val="left"/>
      <w:pPr>
        <w:ind w:left="5803" w:hanging="708"/>
      </w:pPr>
      <w:rPr>
        <w:rFonts w:hint="default"/>
        <w:lang w:val="en-US" w:eastAsia="zh-CN" w:bidi="ar-SA"/>
      </w:rPr>
    </w:lvl>
    <w:lvl w:ilvl="7" w:tentative="0">
      <w:start w:val="0"/>
      <w:numFmt w:val="bullet"/>
      <w:lvlText w:val="•"/>
      <w:lvlJc w:val="left"/>
      <w:pPr>
        <w:ind w:left="6734" w:hanging="708"/>
      </w:pPr>
      <w:rPr>
        <w:rFonts w:hint="default"/>
        <w:lang w:val="en-US" w:eastAsia="zh-CN" w:bidi="ar-SA"/>
      </w:rPr>
    </w:lvl>
    <w:lvl w:ilvl="8" w:tentative="0">
      <w:start w:val="0"/>
      <w:numFmt w:val="bullet"/>
      <w:lvlText w:val="•"/>
      <w:lvlJc w:val="left"/>
      <w:pPr>
        <w:ind w:left="7665" w:hanging="708"/>
      </w:pPr>
      <w:rPr>
        <w:rFonts w:hint="default"/>
        <w:lang w:val="en-US" w:eastAsia="zh-CN" w:bidi="ar-SA"/>
      </w:rPr>
    </w:lvl>
  </w:abstractNum>
  <w:abstractNum w:abstractNumId="34">
    <w:nsid w:val="39A0D9AC"/>
    <w:multiLevelType w:val="multilevel"/>
    <w:tmpl w:val="39A0D9AC"/>
    <w:lvl w:ilvl="0" w:tentative="0">
      <w:start w:val="25"/>
      <w:numFmt w:val="decimal"/>
      <w:lvlText w:val="%1"/>
      <w:lvlJc w:val="left"/>
      <w:pPr>
        <w:ind w:left="218" w:hanging="504"/>
        <w:jc w:val="left"/>
      </w:pPr>
      <w:rPr>
        <w:rFonts w:hint="default"/>
        <w:lang w:val="en-US" w:eastAsia="zh-CN" w:bidi="ar-SA"/>
      </w:rPr>
    </w:lvl>
    <w:lvl w:ilvl="1" w:tentative="0">
      <w:start w:val="1"/>
      <w:numFmt w:val="decimal"/>
      <w:lvlText w:val="%1.%2"/>
      <w:lvlJc w:val="left"/>
      <w:pPr>
        <w:ind w:left="218" w:hanging="504"/>
        <w:jc w:val="left"/>
      </w:pPr>
      <w:rPr>
        <w:rFonts w:hint="default" w:ascii="宋体" w:hAnsi="宋体" w:eastAsia="宋体" w:cs="宋体"/>
        <w:b w:val="0"/>
        <w:bCs w:val="0"/>
        <w:i w:val="0"/>
        <w:iCs w:val="0"/>
        <w:w w:val="100"/>
        <w:sz w:val="21"/>
        <w:szCs w:val="21"/>
        <w:lang w:val="en-US" w:eastAsia="zh-CN" w:bidi="ar-SA"/>
      </w:rPr>
    </w:lvl>
    <w:lvl w:ilvl="2" w:tentative="0">
      <w:start w:val="0"/>
      <w:numFmt w:val="bullet"/>
      <w:lvlText w:val="•"/>
      <w:lvlJc w:val="left"/>
      <w:pPr>
        <w:ind w:left="2081" w:hanging="504"/>
      </w:pPr>
      <w:rPr>
        <w:rFonts w:hint="default"/>
        <w:lang w:val="en-US" w:eastAsia="zh-CN" w:bidi="ar-SA"/>
      </w:rPr>
    </w:lvl>
    <w:lvl w:ilvl="3" w:tentative="0">
      <w:start w:val="0"/>
      <w:numFmt w:val="bullet"/>
      <w:lvlText w:val="•"/>
      <w:lvlJc w:val="left"/>
      <w:pPr>
        <w:ind w:left="3011" w:hanging="504"/>
      </w:pPr>
      <w:rPr>
        <w:rFonts w:hint="default"/>
        <w:lang w:val="en-US" w:eastAsia="zh-CN" w:bidi="ar-SA"/>
      </w:rPr>
    </w:lvl>
    <w:lvl w:ilvl="4" w:tentative="0">
      <w:start w:val="0"/>
      <w:numFmt w:val="bullet"/>
      <w:lvlText w:val="•"/>
      <w:lvlJc w:val="left"/>
      <w:pPr>
        <w:ind w:left="3942" w:hanging="504"/>
      </w:pPr>
      <w:rPr>
        <w:rFonts w:hint="default"/>
        <w:lang w:val="en-US" w:eastAsia="zh-CN" w:bidi="ar-SA"/>
      </w:rPr>
    </w:lvl>
    <w:lvl w:ilvl="5" w:tentative="0">
      <w:start w:val="0"/>
      <w:numFmt w:val="bullet"/>
      <w:lvlText w:val="•"/>
      <w:lvlJc w:val="left"/>
      <w:pPr>
        <w:ind w:left="4873" w:hanging="504"/>
      </w:pPr>
      <w:rPr>
        <w:rFonts w:hint="default"/>
        <w:lang w:val="en-US" w:eastAsia="zh-CN" w:bidi="ar-SA"/>
      </w:rPr>
    </w:lvl>
    <w:lvl w:ilvl="6" w:tentative="0">
      <w:start w:val="0"/>
      <w:numFmt w:val="bullet"/>
      <w:lvlText w:val="•"/>
      <w:lvlJc w:val="left"/>
      <w:pPr>
        <w:ind w:left="5803" w:hanging="504"/>
      </w:pPr>
      <w:rPr>
        <w:rFonts w:hint="default"/>
        <w:lang w:val="en-US" w:eastAsia="zh-CN" w:bidi="ar-SA"/>
      </w:rPr>
    </w:lvl>
    <w:lvl w:ilvl="7" w:tentative="0">
      <w:start w:val="0"/>
      <w:numFmt w:val="bullet"/>
      <w:lvlText w:val="•"/>
      <w:lvlJc w:val="left"/>
      <w:pPr>
        <w:ind w:left="6734" w:hanging="504"/>
      </w:pPr>
      <w:rPr>
        <w:rFonts w:hint="default"/>
        <w:lang w:val="en-US" w:eastAsia="zh-CN" w:bidi="ar-SA"/>
      </w:rPr>
    </w:lvl>
    <w:lvl w:ilvl="8" w:tentative="0">
      <w:start w:val="0"/>
      <w:numFmt w:val="bullet"/>
      <w:lvlText w:val="•"/>
      <w:lvlJc w:val="left"/>
      <w:pPr>
        <w:ind w:left="7665" w:hanging="504"/>
      </w:pPr>
      <w:rPr>
        <w:rFonts w:hint="default"/>
        <w:lang w:val="en-US" w:eastAsia="zh-CN" w:bidi="ar-SA"/>
      </w:rPr>
    </w:lvl>
  </w:abstractNum>
  <w:abstractNum w:abstractNumId="35">
    <w:nsid w:val="46A08BB8"/>
    <w:multiLevelType w:val="multilevel"/>
    <w:tmpl w:val="46A08BB8"/>
    <w:lvl w:ilvl="0" w:tentative="0">
      <w:start w:val="21"/>
      <w:numFmt w:val="decimal"/>
      <w:lvlText w:val="%1"/>
      <w:lvlJc w:val="left"/>
      <w:pPr>
        <w:ind w:left="1164" w:hanging="526"/>
        <w:jc w:val="left"/>
      </w:pPr>
      <w:rPr>
        <w:rFonts w:hint="default"/>
        <w:lang w:val="en-US" w:eastAsia="zh-CN" w:bidi="ar-SA"/>
      </w:rPr>
    </w:lvl>
    <w:lvl w:ilvl="1" w:tentative="0">
      <w:start w:val="1"/>
      <w:numFmt w:val="decimal"/>
      <w:lvlText w:val="%1.%2"/>
      <w:lvlJc w:val="left"/>
      <w:pPr>
        <w:ind w:left="1164" w:hanging="526"/>
        <w:jc w:val="left"/>
      </w:pPr>
      <w:rPr>
        <w:rFonts w:hint="default" w:ascii="宋体" w:hAnsi="宋体" w:eastAsia="宋体" w:cs="宋体"/>
        <w:b/>
        <w:bCs/>
        <w:i w:val="0"/>
        <w:iCs w:val="0"/>
        <w:w w:val="99"/>
        <w:sz w:val="21"/>
        <w:szCs w:val="21"/>
        <w:lang w:val="en-US" w:eastAsia="zh-CN" w:bidi="ar-SA"/>
      </w:rPr>
    </w:lvl>
    <w:lvl w:ilvl="2" w:tentative="0">
      <w:start w:val="1"/>
      <w:numFmt w:val="decimal"/>
      <w:lvlText w:val="%1.%2.%3"/>
      <w:lvlJc w:val="left"/>
      <w:pPr>
        <w:ind w:left="218" w:hanging="684"/>
        <w:jc w:val="left"/>
      </w:pPr>
      <w:rPr>
        <w:rFonts w:hint="default"/>
        <w:w w:val="99"/>
        <w:lang w:val="en-US" w:eastAsia="zh-CN" w:bidi="ar-SA"/>
      </w:rPr>
    </w:lvl>
    <w:lvl w:ilvl="3" w:tentative="0">
      <w:start w:val="1"/>
      <w:numFmt w:val="decimal"/>
      <w:lvlText w:val="%1.%2.%3.%4"/>
      <w:lvlJc w:val="left"/>
      <w:pPr>
        <w:ind w:left="218" w:hanging="881"/>
        <w:jc w:val="left"/>
      </w:pPr>
      <w:rPr>
        <w:rFonts w:hint="default"/>
        <w:spacing w:val="-3"/>
        <w:w w:val="100"/>
        <w:lang w:val="en-US" w:eastAsia="zh-CN" w:bidi="ar-SA"/>
      </w:rPr>
    </w:lvl>
    <w:lvl w:ilvl="4" w:tentative="0">
      <w:start w:val="0"/>
      <w:numFmt w:val="bullet"/>
      <w:lvlText w:val="•"/>
      <w:lvlJc w:val="left"/>
      <w:pPr>
        <w:ind w:left="3371" w:hanging="881"/>
      </w:pPr>
      <w:rPr>
        <w:rFonts w:hint="default"/>
        <w:lang w:val="en-US" w:eastAsia="zh-CN" w:bidi="ar-SA"/>
      </w:rPr>
    </w:lvl>
    <w:lvl w:ilvl="5" w:tentative="0">
      <w:start w:val="0"/>
      <w:numFmt w:val="bullet"/>
      <w:lvlText w:val="•"/>
      <w:lvlJc w:val="left"/>
      <w:pPr>
        <w:ind w:left="4397" w:hanging="881"/>
      </w:pPr>
      <w:rPr>
        <w:rFonts w:hint="default"/>
        <w:lang w:val="en-US" w:eastAsia="zh-CN" w:bidi="ar-SA"/>
      </w:rPr>
    </w:lvl>
    <w:lvl w:ilvl="6" w:tentative="0">
      <w:start w:val="0"/>
      <w:numFmt w:val="bullet"/>
      <w:lvlText w:val="•"/>
      <w:lvlJc w:val="left"/>
      <w:pPr>
        <w:ind w:left="5423" w:hanging="881"/>
      </w:pPr>
      <w:rPr>
        <w:rFonts w:hint="default"/>
        <w:lang w:val="en-US" w:eastAsia="zh-CN" w:bidi="ar-SA"/>
      </w:rPr>
    </w:lvl>
    <w:lvl w:ilvl="7" w:tentative="0">
      <w:start w:val="0"/>
      <w:numFmt w:val="bullet"/>
      <w:lvlText w:val="•"/>
      <w:lvlJc w:val="left"/>
      <w:pPr>
        <w:ind w:left="6449" w:hanging="881"/>
      </w:pPr>
      <w:rPr>
        <w:rFonts w:hint="default"/>
        <w:lang w:val="en-US" w:eastAsia="zh-CN" w:bidi="ar-SA"/>
      </w:rPr>
    </w:lvl>
    <w:lvl w:ilvl="8" w:tentative="0">
      <w:start w:val="0"/>
      <w:numFmt w:val="bullet"/>
      <w:lvlText w:val="•"/>
      <w:lvlJc w:val="left"/>
      <w:pPr>
        <w:ind w:left="7474" w:hanging="881"/>
      </w:pPr>
      <w:rPr>
        <w:rFonts w:hint="default"/>
        <w:lang w:val="en-US" w:eastAsia="zh-CN" w:bidi="ar-SA"/>
      </w:rPr>
    </w:lvl>
  </w:abstractNum>
  <w:abstractNum w:abstractNumId="36">
    <w:nsid w:val="4C1BAE26"/>
    <w:multiLevelType w:val="multilevel"/>
    <w:tmpl w:val="4C1BAE26"/>
    <w:lvl w:ilvl="0" w:tentative="0">
      <w:start w:val="19"/>
      <w:numFmt w:val="decimal"/>
      <w:lvlText w:val="%1"/>
      <w:lvlJc w:val="left"/>
      <w:pPr>
        <w:ind w:left="218" w:hanging="473"/>
        <w:jc w:val="left"/>
      </w:pPr>
      <w:rPr>
        <w:rFonts w:hint="default"/>
        <w:lang w:val="en-US" w:eastAsia="zh-CN" w:bidi="ar-SA"/>
      </w:rPr>
    </w:lvl>
    <w:lvl w:ilvl="1" w:tentative="0">
      <w:start w:val="1"/>
      <w:numFmt w:val="decimal"/>
      <w:lvlText w:val="%1.%2"/>
      <w:lvlJc w:val="left"/>
      <w:pPr>
        <w:ind w:left="218" w:hanging="473"/>
        <w:jc w:val="left"/>
      </w:pPr>
      <w:rPr>
        <w:rFonts w:hint="default" w:ascii="宋体" w:hAnsi="宋体" w:eastAsia="宋体" w:cs="宋体"/>
        <w:b w:val="0"/>
        <w:bCs w:val="0"/>
        <w:i w:val="0"/>
        <w:iCs w:val="0"/>
        <w:w w:val="100"/>
        <w:sz w:val="21"/>
        <w:szCs w:val="21"/>
        <w:lang w:val="en-US" w:eastAsia="zh-CN" w:bidi="ar-SA"/>
      </w:rPr>
    </w:lvl>
    <w:lvl w:ilvl="2" w:tentative="0">
      <w:start w:val="0"/>
      <w:numFmt w:val="bullet"/>
      <w:lvlText w:val="•"/>
      <w:lvlJc w:val="left"/>
      <w:pPr>
        <w:ind w:left="2081" w:hanging="473"/>
      </w:pPr>
      <w:rPr>
        <w:rFonts w:hint="default"/>
        <w:lang w:val="en-US" w:eastAsia="zh-CN" w:bidi="ar-SA"/>
      </w:rPr>
    </w:lvl>
    <w:lvl w:ilvl="3" w:tentative="0">
      <w:start w:val="0"/>
      <w:numFmt w:val="bullet"/>
      <w:lvlText w:val="•"/>
      <w:lvlJc w:val="left"/>
      <w:pPr>
        <w:ind w:left="3011" w:hanging="473"/>
      </w:pPr>
      <w:rPr>
        <w:rFonts w:hint="default"/>
        <w:lang w:val="en-US" w:eastAsia="zh-CN" w:bidi="ar-SA"/>
      </w:rPr>
    </w:lvl>
    <w:lvl w:ilvl="4" w:tentative="0">
      <w:start w:val="0"/>
      <w:numFmt w:val="bullet"/>
      <w:lvlText w:val="•"/>
      <w:lvlJc w:val="left"/>
      <w:pPr>
        <w:ind w:left="3942" w:hanging="473"/>
      </w:pPr>
      <w:rPr>
        <w:rFonts w:hint="default"/>
        <w:lang w:val="en-US" w:eastAsia="zh-CN" w:bidi="ar-SA"/>
      </w:rPr>
    </w:lvl>
    <w:lvl w:ilvl="5" w:tentative="0">
      <w:start w:val="0"/>
      <w:numFmt w:val="bullet"/>
      <w:lvlText w:val="•"/>
      <w:lvlJc w:val="left"/>
      <w:pPr>
        <w:ind w:left="4873" w:hanging="473"/>
      </w:pPr>
      <w:rPr>
        <w:rFonts w:hint="default"/>
        <w:lang w:val="en-US" w:eastAsia="zh-CN" w:bidi="ar-SA"/>
      </w:rPr>
    </w:lvl>
    <w:lvl w:ilvl="6" w:tentative="0">
      <w:start w:val="0"/>
      <w:numFmt w:val="bullet"/>
      <w:lvlText w:val="•"/>
      <w:lvlJc w:val="left"/>
      <w:pPr>
        <w:ind w:left="5803" w:hanging="473"/>
      </w:pPr>
      <w:rPr>
        <w:rFonts w:hint="default"/>
        <w:lang w:val="en-US" w:eastAsia="zh-CN" w:bidi="ar-SA"/>
      </w:rPr>
    </w:lvl>
    <w:lvl w:ilvl="7" w:tentative="0">
      <w:start w:val="0"/>
      <w:numFmt w:val="bullet"/>
      <w:lvlText w:val="•"/>
      <w:lvlJc w:val="left"/>
      <w:pPr>
        <w:ind w:left="6734" w:hanging="473"/>
      </w:pPr>
      <w:rPr>
        <w:rFonts w:hint="default"/>
        <w:lang w:val="en-US" w:eastAsia="zh-CN" w:bidi="ar-SA"/>
      </w:rPr>
    </w:lvl>
    <w:lvl w:ilvl="8" w:tentative="0">
      <w:start w:val="0"/>
      <w:numFmt w:val="bullet"/>
      <w:lvlText w:val="•"/>
      <w:lvlJc w:val="left"/>
      <w:pPr>
        <w:ind w:left="7665" w:hanging="473"/>
      </w:pPr>
      <w:rPr>
        <w:rFonts w:hint="default"/>
        <w:lang w:val="en-US" w:eastAsia="zh-CN" w:bidi="ar-SA"/>
      </w:rPr>
    </w:lvl>
  </w:abstractNum>
  <w:abstractNum w:abstractNumId="37">
    <w:nsid w:val="4C3D7A74"/>
    <w:multiLevelType w:val="multilevel"/>
    <w:tmpl w:val="4C3D7A74"/>
    <w:lvl w:ilvl="0" w:tentative="0">
      <w:start w:val="19"/>
      <w:numFmt w:val="decimal"/>
      <w:lvlText w:val="%1)"/>
      <w:lvlJc w:val="left"/>
      <w:pPr>
        <w:ind w:left="638" w:hanging="420"/>
        <w:jc w:val="left"/>
      </w:pPr>
      <w:rPr>
        <w:rFonts w:hint="default" w:ascii="宋体" w:hAnsi="宋体" w:eastAsia="宋体" w:cs="宋体"/>
        <w:b/>
        <w:bCs/>
        <w:i w:val="0"/>
        <w:iCs w:val="0"/>
        <w:w w:val="99"/>
        <w:sz w:val="24"/>
        <w:szCs w:val="24"/>
        <w:lang w:val="en-US" w:eastAsia="zh-CN" w:bidi="ar-SA"/>
      </w:rPr>
    </w:lvl>
    <w:lvl w:ilvl="1" w:tentative="0">
      <w:start w:val="1"/>
      <w:numFmt w:val="decimal"/>
      <w:lvlText w:val="%2."/>
      <w:lvlJc w:val="left"/>
      <w:pPr>
        <w:ind w:left="939" w:hanging="241"/>
        <w:jc w:val="left"/>
      </w:pPr>
      <w:rPr>
        <w:rFonts w:hint="default"/>
        <w:spacing w:val="-1"/>
        <w:w w:val="100"/>
        <w:lang w:val="en-US" w:eastAsia="zh-CN" w:bidi="ar-SA"/>
      </w:rPr>
    </w:lvl>
    <w:lvl w:ilvl="2" w:tentative="0">
      <w:start w:val="0"/>
      <w:numFmt w:val="bullet"/>
      <w:lvlText w:val="•"/>
      <w:lvlJc w:val="left"/>
      <w:pPr>
        <w:ind w:left="1894" w:hanging="241"/>
      </w:pPr>
      <w:rPr>
        <w:rFonts w:hint="default"/>
        <w:lang w:val="en-US" w:eastAsia="zh-CN" w:bidi="ar-SA"/>
      </w:rPr>
    </w:lvl>
    <w:lvl w:ilvl="3" w:tentative="0">
      <w:start w:val="0"/>
      <w:numFmt w:val="bullet"/>
      <w:lvlText w:val="•"/>
      <w:lvlJc w:val="left"/>
      <w:pPr>
        <w:ind w:left="2848" w:hanging="241"/>
      </w:pPr>
      <w:rPr>
        <w:rFonts w:hint="default"/>
        <w:lang w:val="en-US" w:eastAsia="zh-CN" w:bidi="ar-SA"/>
      </w:rPr>
    </w:lvl>
    <w:lvl w:ilvl="4" w:tentative="0">
      <w:start w:val="0"/>
      <w:numFmt w:val="bullet"/>
      <w:lvlText w:val="•"/>
      <w:lvlJc w:val="left"/>
      <w:pPr>
        <w:ind w:left="3802" w:hanging="241"/>
      </w:pPr>
      <w:rPr>
        <w:rFonts w:hint="default"/>
        <w:lang w:val="en-US" w:eastAsia="zh-CN" w:bidi="ar-SA"/>
      </w:rPr>
    </w:lvl>
    <w:lvl w:ilvl="5" w:tentative="0">
      <w:start w:val="0"/>
      <w:numFmt w:val="bullet"/>
      <w:lvlText w:val="•"/>
      <w:lvlJc w:val="left"/>
      <w:pPr>
        <w:ind w:left="4756" w:hanging="241"/>
      </w:pPr>
      <w:rPr>
        <w:rFonts w:hint="default"/>
        <w:lang w:val="en-US" w:eastAsia="zh-CN" w:bidi="ar-SA"/>
      </w:rPr>
    </w:lvl>
    <w:lvl w:ilvl="6" w:tentative="0">
      <w:start w:val="0"/>
      <w:numFmt w:val="bullet"/>
      <w:lvlText w:val="•"/>
      <w:lvlJc w:val="left"/>
      <w:pPr>
        <w:ind w:left="5710" w:hanging="241"/>
      </w:pPr>
      <w:rPr>
        <w:rFonts w:hint="default"/>
        <w:lang w:val="en-US" w:eastAsia="zh-CN" w:bidi="ar-SA"/>
      </w:rPr>
    </w:lvl>
    <w:lvl w:ilvl="7" w:tentative="0">
      <w:start w:val="0"/>
      <w:numFmt w:val="bullet"/>
      <w:lvlText w:val="•"/>
      <w:lvlJc w:val="left"/>
      <w:pPr>
        <w:ind w:left="6664" w:hanging="241"/>
      </w:pPr>
      <w:rPr>
        <w:rFonts w:hint="default"/>
        <w:lang w:val="en-US" w:eastAsia="zh-CN" w:bidi="ar-SA"/>
      </w:rPr>
    </w:lvl>
    <w:lvl w:ilvl="8" w:tentative="0">
      <w:start w:val="0"/>
      <w:numFmt w:val="bullet"/>
      <w:lvlText w:val="•"/>
      <w:lvlJc w:val="left"/>
      <w:pPr>
        <w:ind w:left="7618" w:hanging="241"/>
      </w:pPr>
      <w:rPr>
        <w:rFonts w:hint="default"/>
        <w:lang w:val="en-US" w:eastAsia="zh-CN" w:bidi="ar-SA"/>
      </w:rPr>
    </w:lvl>
  </w:abstractNum>
  <w:abstractNum w:abstractNumId="38">
    <w:nsid w:val="4D4DC07F"/>
    <w:multiLevelType w:val="multilevel"/>
    <w:tmpl w:val="4D4DC07F"/>
    <w:lvl w:ilvl="0" w:tentative="0">
      <w:start w:val="1"/>
      <w:numFmt w:val="decimal"/>
      <w:lvlText w:val="（%1）"/>
      <w:lvlJc w:val="left"/>
      <w:pPr>
        <w:ind w:left="1167" w:hanging="529"/>
        <w:jc w:val="left"/>
      </w:pPr>
      <w:rPr>
        <w:rFonts w:hint="default" w:ascii="宋体" w:hAnsi="宋体" w:eastAsia="宋体" w:cs="宋体"/>
        <w:b w:val="0"/>
        <w:bCs w:val="0"/>
        <w:i w:val="0"/>
        <w:iCs w:val="0"/>
        <w:spacing w:val="-3"/>
        <w:w w:val="100"/>
        <w:sz w:val="19"/>
        <w:szCs w:val="19"/>
        <w:lang w:val="en-US" w:eastAsia="zh-CN" w:bidi="ar-SA"/>
      </w:rPr>
    </w:lvl>
    <w:lvl w:ilvl="1" w:tentative="0">
      <w:start w:val="0"/>
      <w:numFmt w:val="bullet"/>
      <w:lvlText w:val="•"/>
      <w:lvlJc w:val="left"/>
      <w:pPr>
        <w:ind w:left="1996" w:hanging="529"/>
      </w:pPr>
      <w:rPr>
        <w:rFonts w:hint="default"/>
        <w:lang w:val="en-US" w:eastAsia="zh-CN" w:bidi="ar-SA"/>
      </w:rPr>
    </w:lvl>
    <w:lvl w:ilvl="2" w:tentative="0">
      <w:start w:val="0"/>
      <w:numFmt w:val="bullet"/>
      <w:lvlText w:val="•"/>
      <w:lvlJc w:val="left"/>
      <w:pPr>
        <w:ind w:left="2833" w:hanging="529"/>
      </w:pPr>
      <w:rPr>
        <w:rFonts w:hint="default"/>
        <w:lang w:val="en-US" w:eastAsia="zh-CN" w:bidi="ar-SA"/>
      </w:rPr>
    </w:lvl>
    <w:lvl w:ilvl="3" w:tentative="0">
      <w:start w:val="0"/>
      <w:numFmt w:val="bullet"/>
      <w:lvlText w:val="•"/>
      <w:lvlJc w:val="left"/>
      <w:pPr>
        <w:ind w:left="3669" w:hanging="529"/>
      </w:pPr>
      <w:rPr>
        <w:rFonts w:hint="default"/>
        <w:lang w:val="en-US" w:eastAsia="zh-CN" w:bidi="ar-SA"/>
      </w:rPr>
    </w:lvl>
    <w:lvl w:ilvl="4" w:tentative="0">
      <w:start w:val="0"/>
      <w:numFmt w:val="bullet"/>
      <w:lvlText w:val="•"/>
      <w:lvlJc w:val="left"/>
      <w:pPr>
        <w:ind w:left="4506" w:hanging="529"/>
      </w:pPr>
      <w:rPr>
        <w:rFonts w:hint="default"/>
        <w:lang w:val="en-US" w:eastAsia="zh-CN" w:bidi="ar-SA"/>
      </w:rPr>
    </w:lvl>
    <w:lvl w:ilvl="5" w:tentative="0">
      <w:start w:val="0"/>
      <w:numFmt w:val="bullet"/>
      <w:lvlText w:val="•"/>
      <w:lvlJc w:val="left"/>
      <w:pPr>
        <w:ind w:left="5343" w:hanging="529"/>
      </w:pPr>
      <w:rPr>
        <w:rFonts w:hint="default"/>
        <w:lang w:val="en-US" w:eastAsia="zh-CN" w:bidi="ar-SA"/>
      </w:rPr>
    </w:lvl>
    <w:lvl w:ilvl="6" w:tentative="0">
      <w:start w:val="0"/>
      <w:numFmt w:val="bullet"/>
      <w:lvlText w:val="•"/>
      <w:lvlJc w:val="left"/>
      <w:pPr>
        <w:ind w:left="6179" w:hanging="529"/>
      </w:pPr>
      <w:rPr>
        <w:rFonts w:hint="default"/>
        <w:lang w:val="en-US" w:eastAsia="zh-CN" w:bidi="ar-SA"/>
      </w:rPr>
    </w:lvl>
    <w:lvl w:ilvl="7" w:tentative="0">
      <w:start w:val="0"/>
      <w:numFmt w:val="bullet"/>
      <w:lvlText w:val="•"/>
      <w:lvlJc w:val="left"/>
      <w:pPr>
        <w:ind w:left="7016" w:hanging="529"/>
      </w:pPr>
      <w:rPr>
        <w:rFonts w:hint="default"/>
        <w:lang w:val="en-US" w:eastAsia="zh-CN" w:bidi="ar-SA"/>
      </w:rPr>
    </w:lvl>
    <w:lvl w:ilvl="8" w:tentative="0">
      <w:start w:val="0"/>
      <w:numFmt w:val="bullet"/>
      <w:lvlText w:val="•"/>
      <w:lvlJc w:val="left"/>
      <w:pPr>
        <w:ind w:left="7853" w:hanging="529"/>
      </w:pPr>
      <w:rPr>
        <w:rFonts w:hint="default"/>
        <w:lang w:val="en-US" w:eastAsia="zh-CN" w:bidi="ar-SA"/>
      </w:rPr>
    </w:lvl>
  </w:abstractNum>
  <w:abstractNum w:abstractNumId="39">
    <w:nsid w:val="4D94DA66"/>
    <w:multiLevelType w:val="multilevel"/>
    <w:tmpl w:val="4D94DA66"/>
    <w:lvl w:ilvl="0" w:tentative="0">
      <w:start w:val="6"/>
      <w:numFmt w:val="decimal"/>
      <w:lvlText w:val="%1"/>
      <w:lvlJc w:val="left"/>
      <w:pPr>
        <w:ind w:left="641" w:hanging="423"/>
        <w:jc w:val="left"/>
      </w:pPr>
      <w:rPr>
        <w:rFonts w:hint="default"/>
        <w:lang w:val="en-US" w:eastAsia="zh-CN" w:bidi="ar-SA"/>
      </w:rPr>
    </w:lvl>
    <w:lvl w:ilvl="1" w:tentative="0">
      <w:start w:val="1"/>
      <w:numFmt w:val="decimal"/>
      <w:lvlText w:val="%1.%2"/>
      <w:lvlJc w:val="left"/>
      <w:pPr>
        <w:ind w:left="641" w:hanging="423"/>
        <w:jc w:val="left"/>
      </w:pPr>
      <w:rPr>
        <w:rFonts w:hint="default" w:ascii="宋体" w:hAnsi="宋体" w:eastAsia="宋体" w:cs="宋体"/>
        <w:b w:val="0"/>
        <w:bCs w:val="0"/>
        <w:i w:val="0"/>
        <w:iCs w:val="0"/>
        <w:w w:val="100"/>
        <w:sz w:val="21"/>
        <w:szCs w:val="21"/>
        <w:lang w:val="en-US" w:eastAsia="zh-CN" w:bidi="ar-SA"/>
      </w:rPr>
    </w:lvl>
    <w:lvl w:ilvl="2" w:tentative="0">
      <w:start w:val="1"/>
      <w:numFmt w:val="decimal"/>
      <w:lvlText w:val="%1.%2.%3"/>
      <w:lvlJc w:val="left"/>
      <w:pPr>
        <w:ind w:left="218" w:hanging="634"/>
        <w:jc w:val="left"/>
      </w:pPr>
      <w:rPr>
        <w:rFonts w:hint="default" w:ascii="宋体" w:hAnsi="宋体" w:eastAsia="宋体" w:cs="宋体"/>
        <w:b w:val="0"/>
        <w:bCs w:val="0"/>
        <w:i w:val="0"/>
        <w:iCs w:val="0"/>
        <w:w w:val="100"/>
        <w:sz w:val="21"/>
        <w:szCs w:val="21"/>
        <w:lang w:val="en-US" w:eastAsia="zh-CN" w:bidi="ar-SA"/>
      </w:rPr>
    </w:lvl>
    <w:lvl w:ilvl="3" w:tentative="0">
      <w:start w:val="0"/>
      <w:numFmt w:val="bullet"/>
      <w:lvlText w:val="•"/>
      <w:lvlJc w:val="left"/>
      <w:pPr>
        <w:ind w:left="2614" w:hanging="634"/>
      </w:pPr>
      <w:rPr>
        <w:rFonts w:hint="default"/>
        <w:lang w:val="en-US" w:eastAsia="zh-CN" w:bidi="ar-SA"/>
      </w:rPr>
    </w:lvl>
    <w:lvl w:ilvl="4" w:tentative="0">
      <w:start w:val="0"/>
      <w:numFmt w:val="bullet"/>
      <w:lvlText w:val="•"/>
      <w:lvlJc w:val="left"/>
      <w:pPr>
        <w:ind w:left="3602" w:hanging="634"/>
      </w:pPr>
      <w:rPr>
        <w:rFonts w:hint="default"/>
        <w:lang w:val="en-US" w:eastAsia="zh-CN" w:bidi="ar-SA"/>
      </w:rPr>
    </w:lvl>
    <w:lvl w:ilvl="5" w:tentative="0">
      <w:start w:val="0"/>
      <w:numFmt w:val="bullet"/>
      <w:lvlText w:val="•"/>
      <w:lvlJc w:val="left"/>
      <w:pPr>
        <w:ind w:left="4589" w:hanging="634"/>
      </w:pPr>
      <w:rPr>
        <w:rFonts w:hint="default"/>
        <w:lang w:val="en-US" w:eastAsia="zh-CN" w:bidi="ar-SA"/>
      </w:rPr>
    </w:lvl>
    <w:lvl w:ilvl="6" w:tentative="0">
      <w:start w:val="0"/>
      <w:numFmt w:val="bullet"/>
      <w:lvlText w:val="•"/>
      <w:lvlJc w:val="left"/>
      <w:pPr>
        <w:ind w:left="5576" w:hanging="634"/>
      </w:pPr>
      <w:rPr>
        <w:rFonts w:hint="default"/>
        <w:lang w:val="en-US" w:eastAsia="zh-CN" w:bidi="ar-SA"/>
      </w:rPr>
    </w:lvl>
    <w:lvl w:ilvl="7" w:tentative="0">
      <w:start w:val="0"/>
      <w:numFmt w:val="bullet"/>
      <w:lvlText w:val="•"/>
      <w:lvlJc w:val="left"/>
      <w:pPr>
        <w:ind w:left="6564" w:hanging="634"/>
      </w:pPr>
      <w:rPr>
        <w:rFonts w:hint="default"/>
        <w:lang w:val="en-US" w:eastAsia="zh-CN" w:bidi="ar-SA"/>
      </w:rPr>
    </w:lvl>
    <w:lvl w:ilvl="8" w:tentative="0">
      <w:start w:val="0"/>
      <w:numFmt w:val="bullet"/>
      <w:lvlText w:val="•"/>
      <w:lvlJc w:val="left"/>
      <w:pPr>
        <w:ind w:left="7551" w:hanging="634"/>
      </w:pPr>
      <w:rPr>
        <w:rFonts w:hint="default"/>
        <w:lang w:val="en-US" w:eastAsia="zh-CN" w:bidi="ar-SA"/>
      </w:rPr>
    </w:lvl>
  </w:abstractNum>
  <w:abstractNum w:abstractNumId="40">
    <w:nsid w:val="58765686"/>
    <w:multiLevelType w:val="multilevel"/>
    <w:tmpl w:val="58765686"/>
    <w:lvl w:ilvl="0" w:tentative="0">
      <w:start w:val="27"/>
      <w:numFmt w:val="decimal"/>
      <w:lvlText w:val="%1"/>
      <w:lvlJc w:val="left"/>
      <w:pPr>
        <w:ind w:left="218" w:hanging="473"/>
        <w:jc w:val="left"/>
      </w:pPr>
      <w:rPr>
        <w:rFonts w:hint="default"/>
        <w:lang w:val="en-US" w:eastAsia="zh-CN" w:bidi="ar-SA"/>
      </w:rPr>
    </w:lvl>
    <w:lvl w:ilvl="1" w:tentative="0">
      <w:start w:val="1"/>
      <w:numFmt w:val="decimal"/>
      <w:lvlText w:val="%1.%2"/>
      <w:lvlJc w:val="left"/>
      <w:pPr>
        <w:ind w:left="218" w:hanging="473"/>
        <w:jc w:val="left"/>
      </w:pPr>
      <w:rPr>
        <w:rFonts w:hint="default" w:ascii="宋体" w:hAnsi="宋体" w:eastAsia="宋体" w:cs="宋体"/>
        <w:b w:val="0"/>
        <w:bCs w:val="0"/>
        <w:i w:val="0"/>
        <w:iCs w:val="0"/>
        <w:w w:val="100"/>
        <w:sz w:val="21"/>
        <w:szCs w:val="21"/>
        <w:lang w:val="en-US" w:eastAsia="zh-CN" w:bidi="ar-SA"/>
      </w:rPr>
    </w:lvl>
    <w:lvl w:ilvl="2" w:tentative="0">
      <w:start w:val="0"/>
      <w:numFmt w:val="bullet"/>
      <w:lvlText w:val="•"/>
      <w:lvlJc w:val="left"/>
      <w:pPr>
        <w:ind w:left="2081" w:hanging="473"/>
      </w:pPr>
      <w:rPr>
        <w:rFonts w:hint="default"/>
        <w:lang w:val="en-US" w:eastAsia="zh-CN" w:bidi="ar-SA"/>
      </w:rPr>
    </w:lvl>
    <w:lvl w:ilvl="3" w:tentative="0">
      <w:start w:val="0"/>
      <w:numFmt w:val="bullet"/>
      <w:lvlText w:val="•"/>
      <w:lvlJc w:val="left"/>
      <w:pPr>
        <w:ind w:left="3011" w:hanging="473"/>
      </w:pPr>
      <w:rPr>
        <w:rFonts w:hint="default"/>
        <w:lang w:val="en-US" w:eastAsia="zh-CN" w:bidi="ar-SA"/>
      </w:rPr>
    </w:lvl>
    <w:lvl w:ilvl="4" w:tentative="0">
      <w:start w:val="0"/>
      <w:numFmt w:val="bullet"/>
      <w:lvlText w:val="•"/>
      <w:lvlJc w:val="left"/>
      <w:pPr>
        <w:ind w:left="3942" w:hanging="473"/>
      </w:pPr>
      <w:rPr>
        <w:rFonts w:hint="default"/>
        <w:lang w:val="en-US" w:eastAsia="zh-CN" w:bidi="ar-SA"/>
      </w:rPr>
    </w:lvl>
    <w:lvl w:ilvl="5" w:tentative="0">
      <w:start w:val="0"/>
      <w:numFmt w:val="bullet"/>
      <w:lvlText w:val="•"/>
      <w:lvlJc w:val="left"/>
      <w:pPr>
        <w:ind w:left="4873" w:hanging="473"/>
      </w:pPr>
      <w:rPr>
        <w:rFonts w:hint="default"/>
        <w:lang w:val="en-US" w:eastAsia="zh-CN" w:bidi="ar-SA"/>
      </w:rPr>
    </w:lvl>
    <w:lvl w:ilvl="6" w:tentative="0">
      <w:start w:val="0"/>
      <w:numFmt w:val="bullet"/>
      <w:lvlText w:val="•"/>
      <w:lvlJc w:val="left"/>
      <w:pPr>
        <w:ind w:left="5803" w:hanging="473"/>
      </w:pPr>
      <w:rPr>
        <w:rFonts w:hint="default"/>
        <w:lang w:val="en-US" w:eastAsia="zh-CN" w:bidi="ar-SA"/>
      </w:rPr>
    </w:lvl>
    <w:lvl w:ilvl="7" w:tentative="0">
      <w:start w:val="0"/>
      <w:numFmt w:val="bullet"/>
      <w:lvlText w:val="•"/>
      <w:lvlJc w:val="left"/>
      <w:pPr>
        <w:ind w:left="6734" w:hanging="473"/>
      </w:pPr>
      <w:rPr>
        <w:rFonts w:hint="default"/>
        <w:lang w:val="en-US" w:eastAsia="zh-CN" w:bidi="ar-SA"/>
      </w:rPr>
    </w:lvl>
    <w:lvl w:ilvl="8" w:tentative="0">
      <w:start w:val="0"/>
      <w:numFmt w:val="bullet"/>
      <w:lvlText w:val="•"/>
      <w:lvlJc w:val="left"/>
      <w:pPr>
        <w:ind w:left="7665" w:hanging="473"/>
      </w:pPr>
      <w:rPr>
        <w:rFonts w:hint="default"/>
        <w:lang w:val="en-US" w:eastAsia="zh-CN" w:bidi="ar-SA"/>
      </w:rPr>
    </w:lvl>
  </w:abstractNum>
  <w:abstractNum w:abstractNumId="41">
    <w:nsid w:val="59ADCABA"/>
    <w:multiLevelType w:val="multilevel"/>
    <w:tmpl w:val="59ADCABA"/>
    <w:lvl w:ilvl="0" w:tentative="0">
      <w:start w:val="1"/>
      <w:numFmt w:val="decimal"/>
      <w:lvlText w:val="%1."/>
      <w:lvlJc w:val="left"/>
      <w:pPr>
        <w:ind w:left="851" w:hanging="213"/>
        <w:jc w:val="left"/>
      </w:pPr>
      <w:rPr>
        <w:rFonts w:hint="default"/>
        <w:spacing w:val="-1"/>
        <w:w w:val="100"/>
        <w:lang w:val="en-US" w:eastAsia="zh-CN" w:bidi="ar-SA"/>
      </w:rPr>
    </w:lvl>
    <w:lvl w:ilvl="1" w:tentative="0">
      <w:start w:val="0"/>
      <w:numFmt w:val="bullet"/>
      <w:lvlText w:val="•"/>
      <w:lvlJc w:val="left"/>
      <w:pPr>
        <w:ind w:left="1726" w:hanging="213"/>
      </w:pPr>
      <w:rPr>
        <w:rFonts w:hint="default"/>
        <w:lang w:val="en-US" w:eastAsia="zh-CN" w:bidi="ar-SA"/>
      </w:rPr>
    </w:lvl>
    <w:lvl w:ilvl="2" w:tentative="0">
      <w:start w:val="0"/>
      <w:numFmt w:val="bullet"/>
      <w:lvlText w:val="•"/>
      <w:lvlJc w:val="left"/>
      <w:pPr>
        <w:ind w:left="2593" w:hanging="213"/>
      </w:pPr>
      <w:rPr>
        <w:rFonts w:hint="default"/>
        <w:lang w:val="en-US" w:eastAsia="zh-CN" w:bidi="ar-SA"/>
      </w:rPr>
    </w:lvl>
    <w:lvl w:ilvl="3" w:tentative="0">
      <w:start w:val="0"/>
      <w:numFmt w:val="bullet"/>
      <w:lvlText w:val="•"/>
      <w:lvlJc w:val="left"/>
      <w:pPr>
        <w:ind w:left="3459" w:hanging="213"/>
      </w:pPr>
      <w:rPr>
        <w:rFonts w:hint="default"/>
        <w:lang w:val="en-US" w:eastAsia="zh-CN" w:bidi="ar-SA"/>
      </w:rPr>
    </w:lvl>
    <w:lvl w:ilvl="4" w:tentative="0">
      <w:start w:val="0"/>
      <w:numFmt w:val="bullet"/>
      <w:lvlText w:val="•"/>
      <w:lvlJc w:val="left"/>
      <w:pPr>
        <w:ind w:left="4326" w:hanging="213"/>
      </w:pPr>
      <w:rPr>
        <w:rFonts w:hint="default"/>
        <w:lang w:val="en-US" w:eastAsia="zh-CN" w:bidi="ar-SA"/>
      </w:rPr>
    </w:lvl>
    <w:lvl w:ilvl="5" w:tentative="0">
      <w:start w:val="0"/>
      <w:numFmt w:val="bullet"/>
      <w:lvlText w:val="•"/>
      <w:lvlJc w:val="left"/>
      <w:pPr>
        <w:ind w:left="5193" w:hanging="213"/>
      </w:pPr>
      <w:rPr>
        <w:rFonts w:hint="default"/>
        <w:lang w:val="en-US" w:eastAsia="zh-CN" w:bidi="ar-SA"/>
      </w:rPr>
    </w:lvl>
    <w:lvl w:ilvl="6" w:tentative="0">
      <w:start w:val="0"/>
      <w:numFmt w:val="bullet"/>
      <w:lvlText w:val="•"/>
      <w:lvlJc w:val="left"/>
      <w:pPr>
        <w:ind w:left="6059" w:hanging="213"/>
      </w:pPr>
      <w:rPr>
        <w:rFonts w:hint="default"/>
        <w:lang w:val="en-US" w:eastAsia="zh-CN" w:bidi="ar-SA"/>
      </w:rPr>
    </w:lvl>
    <w:lvl w:ilvl="7" w:tentative="0">
      <w:start w:val="0"/>
      <w:numFmt w:val="bullet"/>
      <w:lvlText w:val="•"/>
      <w:lvlJc w:val="left"/>
      <w:pPr>
        <w:ind w:left="6926" w:hanging="213"/>
      </w:pPr>
      <w:rPr>
        <w:rFonts w:hint="default"/>
        <w:lang w:val="en-US" w:eastAsia="zh-CN" w:bidi="ar-SA"/>
      </w:rPr>
    </w:lvl>
    <w:lvl w:ilvl="8" w:tentative="0">
      <w:start w:val="0"/>
      <w:numFmt w:val="bullet"/>
      <w:lvlText w:val="•"/>
      <w:lvlJc w:val="left"/>
      <w:pPr>
        <w:ind w:left="7793" w:hanging="213"/>
      </w:pPr>
      <w:rPr>
        <w:rFonts w:hint="default"/>
        <w:lang w:val="en-US" w:eastAsia="zh-CN" w:bidi="ar-SA"/>
      </w:rPr>
    </w:lvl>
  </w:abstractNum>
  <w:abstractNum w:abstractNumId="42">
    <w:nsid w:val="5A241D34"/>
    <w:multiLevelType w:val="multilevel"/>
    <w:tmpl w:val="5A241D34"/>
    <w:lvl w:ilvl="0" w:tentative="0">
      <w:start w:val="1"/>
      <w:numFmt w:val="decimal"/>
      <w:lvlText w:val="（%1）"/>
      <w:lvlJc w:val="left"/>
      <w:pPr>
        <w:ind w:left="1167" w:hanging="529"/>
        <w:jc w:val="left"/>
      </w:pPr>
      <w:rPr>
        <w:rFonts w:hint="default" w:ascii="宋体" w:hAnsi="宋体" w:eastAsia="宋体" w:cs="宋体"/>
        <w:b w:val="0"/>
        <w:bCs w:val="0"/>
        <w:i w:val="0"/>
        <w:iCs w:val="0"/>
        <w:spacing w:val="-3"/>
        <w:w w:val="100"/>
        <w:sz w:val="19"/>
        <w:szCs w:val="19"/>
        <w:lang w:val="en-US" w:eastAsia="zh-CN" w:bidi="ar-SA"/>
      </w:rPr>
    </w:lvl>
    <w:lvl w:ilvl="1" w:tentative="0">
      <w:start w:val="0"/>
      <w:numFmt w:val="bullet"/>
      <w:lvlText w:val="•"/>
      <w:lvlJc w:val="left"/>
      <w:pPr>
        <w:ind w:left="1996" w:hanging="529"/>
      </w:pPr>
      <w:rPr>
        <w:rFonts w:hint="default"/>
        <w:lang w:val="en-US" w:eastAsia="zh-CN" w:bidi="ar-SA"/>
      </w:rPr>
    </w:lvl>
    <w:lvl w:ilvl="2" w:tentative="0">
      <w:start w:val="0"/>
      <w:numFmt w:val="bullet"/>
      <w:lvlText w:val="•"/>
      <w:lvlJc w:val="left"/>
      <w:pPr>
        <w:ind w:left="2833" w:hanging="529"/>
      </w:pPr>
      <w:rPr>
        <w:rFonts w:hint="default"/>
        <w:lang w:val="en-US" w:eastAsia="zh-CN" w:bidi="ar-SA"/>
      </w:rPr>
    </w:lvl>
    <w:lvl w:ilvl="3" w:tentative="0">
      <w:start w:val="0"/>
      <w:numFmt w:val="bullet"/>
      <w:lvlText w:val="•"/>
      <w:lvlJc w:val="left"/>
      <w:pPr>
        <w:ind w:left="3669" w:hanging="529"/>
      </w:pPr>
      <w:rPr>
        <w:rFonts w:hint="default"/>
        <w:lang w:val="en-US" w:eastAsia="zh-CN" w:bidi="ar-SA"/>
      </w:rPr>
    </w:lvl>
    <w:lvl w:ilvl="4" w:tentative="0">
      <w:start w:val="0"/>
      <w:numFmt w:val="bullet"/>
      <w:lvlText w:val="•"/>
      <w:lvlJc w:val="left"/>
      <w:pPr>
        <w:ind w:left="4506" w:hanging="529"/>
      </w:pPr>
      <w:rPr>
        <w:rFonts w:hint="default"/>
        <w:lang w:val="en-US" w:eastAsia="zh-CN" w:bidi="ar-SA"/>
      </w:rPr>
    </w:lvl>
    <w:lvl w:ilvl="5" w:tentative="0">
      <w:start w:val="0"/>
      <w:numFmt w:val="bullet"/>
      <w:lvlText w:val="•"/>
      <w:lvlJc w:val="left"/>
      <w:pPr>
        <w:ind w:left="5343" w:hanging="529"/>
      </w:pPr>
      <w:rPr>
        <w:rFonts w:hint="default"/>
        <w:lang w:val="en-US" w:eastAsia="zh-CN" w:bidi="ar-SA"/>
      </w:rPr>
    </w:lvl>
    <w:lvl w:ilvl="6" w:tentative="0">
      <w:start w:val="0"/>
      <w:numFmt w:val="bullet"/>
      <w:lvlText w:val="•"/>
      <w:lvlJc w:val="left"/>
      <w:pPr>
        <w:ind w:left="6179" w:hanging="529"/>
      </w:pPr>
      <w:rPr>
        <w:rFonts w:hint="default"/>
        <w:lang w:val="en-US" w:eastAsia="zh-CN" w:bidi="ar-SA"/>
      </w:rPr>
    </w:lvl>
    <w:lvl w:ilvl="7" w:tentative="0">
      <w:start w:val="0"/>
      <w:numFmt w:val="bullet"/>
      <w:lvlText w:val="•"/>
      <w:lvlJc w:val="left"/>
      <w:pPr>
        <w:ind w:left="7016" w:hanging="529"/>
      </w:pPr>
      <w:rPr>
        <w:rFonts w:hint="default"/>
        <w:lang w:val="en-US" w:eastAsia="zh-CN" w:bidi="ar-SA"/>
      </w:rPr>
    </w:lvl>
    <w:lvl w:ilvl="8" w:tentative="0">
      <w:start w:val="0"/>
      <w:numFmt w:val="bullet"/>
      <w:lvlText w:val="•"/>
      <w:lvlJc w:val="left"/>
      <w:pPr>
        <w:ind w:left="7853" w:hanging="529"/>
      </w:pPr>
      <w:rPr>
        <w:rFonts w:hint="default"/>
        <w:lang w:val="en-US" w:eastAsia="zh-CN" w:bidi="ar-SA"/>
      </w:rPr>
    </w:lvl>
  </w:abstractNum>
  <w:abstractNum w:abstractNumId="43">
    <w:nsid w:val="5E29AB5A"/>
    <w:multiLevelType w:val="multilevel"/>
    <w:tmpl w:val="5E29AB5A"/>
    <w:lvl w:ilvl="0" w:tentative="0">
      <w:start w:val="17"/>
      <w:numFmt w:val="decimal"/>
      <w:lvlText w:val="%1"/>
      <w:lvlJc w:val="left"/>
      <w:pPr>
        <w:ind w:left="218" w:hanging="526"/>
        <w:jc w:val="left"/>
      </w:pPr>
      <w:rPr>
        <w:rFonts w:hint="default"/>
        <w:lang w:val="en-US" w:eastAsia="zh-CN" w:bidi="ar-SA"/>
      </w:rPr>
    </w:lvl>
    <w:lvl w:ilvl="1" w:tentative="0">
      <w:start w:val="1"/>
      <w:numFmt w:val="decimal"/>
      <w:lvlText w:val="%1.%2"/>
      <w:lvlJc w:val="left"/>
      <w:pPr>
        <w:ind w:left="218" w:hanging="526"/>
        <w:jc w:val="left"/>
      </w:pPr>
      <w:rPr>
        <w:rFonts w:hint="default" w:ascii="宋体" w:hAnsi="宋体" w:eastAsia="宋体" w:cs="宋体"/>
        <w:b w:val="0"/>
        <w:bCs w:val="0"/>
        <w:i w:val="0"/>
        <w:iCs w:val="0"/>
        <w:w w:val="100"/>
        <w:sz w:val="21"/>
        <w:szCs w:val="21"/>
        <w:lang w:val="en-US" w:eastAsia="zh-CN" w:bidi="ar-SA"/>
      </w:rPr>
    </w:lvl>
    <w:lvl w:ilvl="2" w:tentative="0">
      <w:start w:val="0"/>
      <w:numFmt w:val="bullet"/>
      <w:lvlText w:val="•"/>
      <w:lvlJc w:val="left"/>
      <w:pPr>
        <w:ind w:left="2081" w:hanging="526"/>
      </w:pPr>
      <w:rPr>
        <w:rFonts w:hint="default"/>
        <w:lang w:val="en-US" w:eastAsia="zh-CN" w:bidi="ar-SA"/>
      </w:rPr>
    </w:lvl>
    <w:lvl w:ilvl="3" w:tentative="0">
      <w:start w:val="0"/>
      <w:numFmt w:val="bullet"/>
      <w:lvlText w:val="•"/>
      <w:lvlJc w:val="left"/>
      <w:pPr>
        <w:ind w:left="3011" w:hanging="526"/>
      </w:pPr>
      <w:rPr>
        <w:rFonts w:hint="default"/>
        <w:lang w:val="en-US" w:eastAsia="zh-CN" w:bidi="ar-SA"/>
      </w:rPr>
    </w:lvl>
    <w:lvl w:ilvl="4" w:tentative="0">
      <w:start w:val="0"/>
      <w:numFmt w:val="bullet"/>
      <w:lvlText w:val="•"/>
      <w:lvlJc w:val="left"/>
      <w:pPr>
        <w:ind w:left="3942" w:hanging="526"/>
      </w:pPr>
      <w:rPr>
        <w:rFonts w:hint="default"/>
        <w:lang w:val="en-US" w:eastAsia="zh-CN" w:bidi="ar-SA"/>
      </w:rPr>
    </w:lvl>
    <w:lvl w:ilvl="5" w:tentative="0">
      <w:start w:val="0"/>
      <w:numFmt w:val="bullet"/>
      <w:lvlText w:val="•"/>
      <w:lvlJc w:val="left"/>
      <w:pPr>
        <w:ind w:left="4873" w:hanging="526"/>
      </w:pPr>
      <w:rPr>
        <w:rFonts w:hint="default"/>
        <w:lang w:val="en-US" w:eastAsia="zh-CN" w:bidi="ar-SA"/>
      </w:rPr>
    </w:lvl>
    <w:lvl w:ilvl="6" w:tentative="0">
      <w:start w:val="0"/>
      <w:numFmt w:val="bullet"/>
      <w:lvlText w:val="•"/>
      <w:lvlJc w:val="left"/>
      <w:pPr>
        <w:ind w:left="5803" w:hanging="526"/>
      </w:pPr>
      <w:rPr>
        <w:rFonts w:hint="default"/>
        <w:lang w:val="en-US" w:eastAsia="zh-CN" w:bidi="ar-SA"/>
      </w:rPr>
    </w:lvl>
    <w:lvl w:ilvl="7" w:tentative="0">
      <w:start w:val="0"/>
      <w:numFmt w:val="bullet"/>
      <w:lvlText w:val="•"/>
      <w:lvlJc w:val="left"/>
      <w:pPr>
        <w:ind w:left="6734" w:hanging="526"/>
      </w:pPr>
      <w:rPr>
        <w:rFonts w:hint="default"/>
        <w:lang w:val="en-US" w:eastAsia="zh-CN" w:bidi="ar-SA"/>
      </w:rPr>
    </w:lvl>
    <w:lvl w:ilvl="8" w:tentative="0">
      <w:start w:val="0"/>
      <w:numFmt w:val="bullet"/>
      <w:lvlText w:val="•"/>
      <w:lvlJc w:val="left"/>
      <w:pPr>
        <w:ind w:left="7665" w:hanging="526"/>
      </w:pPr>
      <w:rPr>
        <w:rFonts w:hint="default"/>
        <w:lang w:val="en-US" w:eastAsia="zh-CN" w:bidi="ar-SA"/>
      </w:rPr>
    </w:lvl>
  </w:abstractNum>
  <w:abstractNum w:abstractNumId="44">
    <w:nsid w:val="5FFFB1A7"/>
    <w:multiLevelType w:val="multilevel"/>
    <w:tmpl w:val="5FFFB1A7"/>
    <w:lvl w:ilvl="0" w:tentative="0">
      <w:start w:val="1"/>
      <w:numFmt w:val="decimal"/>
      <w:lvlText w:val="%1)"/>
      <w:lvlJc w:val="left"/>
      <w:pPr>
        <w:ind w:left="638" w:hanging="420"/>
        <w:jc w:val="left"/>
      </w:pPr>
      <w:rPr>
        <w:rFonts w:hint="default" w:ascii="宋体" w:hAnsi="宋体" w:eastAsia="宋体" w:cs="宋体"/>
        <w:b w:val="0"/>
        <w:bCs w:val="0"/>
        <w:i w:val="0"/>
        <w:iCs w:val="0"/>
        <w:w w:val="100"/>
        <w:sz w:val="24"/>
        <w:szCs w:val="24"/>
        <w:lang w:val="en-US" w:eastAsia="zh-CN" w:bidi="ar-SA"/>
      </w:rPr>
    </w:lvl>
    <w:lvl w:ilvl="1" w:tentative="0">
      <w:start w:val="0"/>
      <w:numFmt w:val="bullet"/>
      <w:lvlText w:val="•"/>
      <w:lvlJc w:val="left"/>
      <w:pPr>
        <w:ind w:left="1528" w:hanging="420"/>
      </w:pPr>
      <w:rPr>
        <w:rFonts w:hint="default"/>
        <w:lang w:val="en-US" w:eastAsia="zh-CN" w:bidi="ar-SA"/>
      </w:rPr>
    </w:lvl>
    <w:lvl w:ilvl="2" w:tentative="0">
      <w:start w:val="0"/>
      <w:numFmt w:val="bullet"/>
      <w:lvlText w:val="•"/>
      <w:lvlJc w:val="left"/>
      <w:pPr>
        <w:ind w:left="2417" w:hanging="420"/>
      </w:pPr>
      <w:rPr>
        <w:rFonts w:hint="default"/>
        <w:lang w:val="en-US" w:eastAsia="zh-CN" w:bidi="ar-SA"/>
      </w:rPr>
    </w:lvl>
    <w:lvl w:ilvl="3" w:tentative="0">
      <w:start w:val="0"/>
      <w:numFmt w:val="bullet"/>
      <w:lvlText w:val="•"/>
      <w:lvlJc w:val="left"/>
      <w:pPr>
        <w:ind w:left="3305" w:hanging="420"/>
      </w:pPr>
      <w:rPr>
        <w:rFonts w:hint="default"/>
        <w:lang w:val="en-US" w:eastAsia="zh-CN" w:bidi="ar-SA"/>
      </w:rPr>
    </w:lvl>
    <w:lvl w:ilvl="4" w:tentative="0">
      <w:start w:val="0"/>
      <w:numFmt w:val="bullet"/>
      <w:lvlText w:val="•"/>
      <w:lvlJc w:val="left"/>
      <w:pPr>
        <w:ind w:left="4194" w:hanging="420"/>
      </w:pPr>
      <w:rPr>
        <w:rFonts w:hint="default"/>
        <w:lang w:val="en-US" w:eastAsia="zh-CN" w:bidi="ar-SA"/>
      </w:rPr>
    </w:lvl>
    <w:lvl w:ilvl="5" w:tentative="0">
      <w:start w:val="0"/>
      <w:numFmt w:val="bullet"/>
      <w:lvlText w:val="•"/>
      <w:lvlJc w:val="left"/>
      <w:pPr>
        <w:ind w:left="5083" w:hanging="420"/>
      </w:pPr>
      <w:rPr>
        <w:rFonts w:hint="default"/>
        <w:lang w:val="en-US" w:eastAsia="zh-CN" w:bidi="ar-SA"/>
      </w:rPr>
    </w:lvl>
    <w:lvl w:ilvl="6" w:tentative="0">
      <w:start w:val="0"/>
      <w:numFmt w:val="bullet"/>
      <w:lvlText w:val="•"/>
      <w:lvlJc w:val="left"/>
      <w:pPr>
        <w:ind w:left="5971" w:hanging="420"/>
      </w:pPr>
      <w:rPr>
        <w:rFonts w:hint="default"/>
        <w:lang w:val="en-US" w:eastAsia="zh-CN" w:bidi="ar-SA"/>
      </w:rPr>
    </w:lvl>
    <w:lvl w:ilvl="7" w:tentative="0">
      <w:start w:val="0"/>
      <w:numFmt w:val="bullet"/>
      <w:lvlText w:val="•"/>
      <w:lvlJc w:val="left"/>
      <w:pPr>
        <w:ind w:left="6860" w:hanging="420"/>
      </w:pPr>
      <w:rPr>
        <w:rFonts w:hint="default"/>
        <w:lang w:val="en-US" w:eastAsia="zh-CN" w:bidi="ar-SA"/>
      </w:rPr>
    </w:lvl>
    <w:lvl w:ilvl="8" w:tentative="0">
      <w:start w:val="0"/>
      <w:numFmt w:val="bullet"/>
      <w:lvlText w:val="•"/>
      <w:lvlJc w:val="left"/>
      <w:pPr>
        <w:ind w:left="7749" w:hanging="420"/>
      </w:pPr>
      <w:rPr>
        <w:rFonts w:hint="default"/>
        <w:lang w:val="en-US" w:eastAsia="zh-CN" w:bidi="ar-SA"/>
      </w:rPr>
    </w:lvl>
  </w:abstractNum>
  <w:abstractNum w:abstractNumId="45">
    <w:nsid w:val="60382F6E"/>
    <w:multiLevelType w:val="multilevel"/>
    <w:tmpl w:val="60382F6E"/>
    <w:lvl w:ilvl="0" w:tentative="0">
      <w:start w:val="20"/>
      <w:numFmt w:val="decimal"/>
      <w:lvlText w:val="%1"/>
      <w:lvlJc w:val="left"/>
      <w:pPr>
        <w:ind w:left="1164" w:hanging="526"/>
        <w:jc w:val="left"/>
      </w:pPr>
      <w:rPr>
        <w:rFonts w:hint="default"/>
        <w:lang w:val="en-US" w:eastAsia="zh-CN" w:bidi="ar-SA"/>
      </w:rPr>
    </w:lvl>
    <w:lvl w:ilvl="1" w:tentative="0">
      <w:start w:val="1"/>
      <w:numFmt w:val="decimal"/>
      <w:lvlText w:val="%1.%2"/>
      <w:lvlJc w:val="left"/>
      <w:pPr>
        <w:ind w:left="1164" w:hanging="526"/>
        <w:jc w:val="left"/>
      </w:pPr>
      <w:rPr>
        <w:rFonts w:hint="default" w:ascii="宋体" w:hAnsi="宋体" w:eastAsia="宋体" w:cs="宋体"/>
        <w:b w:val="0"/>
        <w:bCs w:val="0"/>
        <w:i w:val="0"/>
        <w:iCs w:val="0"/>
        <w:w w:val="100"/>
        <w:sz w:val="21"/>
        <w:szCs w:val="21"/>
        <w:lang w:val="en-US" w:eastAsia="zh-CN" w:bidi="ar-SA"/>
      </w:rPr>
    </w:lvl>
    <w:lvl w:ilvl="2" w:tentative="0">
      <w:start w:val="0"/>
      <w:numFmt w:val="bullet"/>
      <w:lvlText w:val="•"/>
      <w:lvlJc w:val="left"/>
      <w:pPr>
        <w:ind w:left="2833" w:hanging="526"/>
      </w:pPr>
      <w:rPr>
        <w:rFonts w:hint="default"/>
        <w:lang w:val="en-US" w:eastAsia="zh-CN" w:bidi="ar-SA"/>
      </w:rPr>
    </w:lvl>
    <w:lvl w:ilvl="3" w:tentative="0">
      <w:start w:val="0"/>
      <w:numFmt w:val="bullet"/>
      <w:lvlText w:val="•"/>
      <w:lvlJc w:val="left"/>
      <w:pPr>
        <w:ind w:left="3669" w:hanging="526"/>
      </w:pPr>
      <w:rPr>
        <w:rFonts w:hint="default"/>
        <w:lang w:val="en-US" w:eastAsia="zh-CN" w:bidi="ar-SA"/>
      </w:rPr>
    </w:lvl>
    <w:lvl w:ilvl="4" w:tentative="0">
      <w:start w:val="0"/>
      <w:numFmt w:val="bullet"/>
      <w:lvlText w:val="•"/>
      <w:lvlJc w:val="left"/>
      <w:pPr>
        <w:ind w:left="4506" w:hanging="526"/>
      </w:pPr>
      <w:rPr>
        <w:rFonts w:hint="default"/>
        <w:lang w:val="en-US" w:eastAsia="zh-CN" w:bidi="ar-SA"/>
      </w:rPr>
    </w:lvl>
    <w:lvl w:ilvl="5" w:tentative="0">
      <w:start w:val="0"/>
      <w:numFmt w:val="bullet"/>
      <w:lvlText w:val="•"/>
      <w:lvlJc w:val="left"/>
      <w:pPr>
        <w:ind w:left="5343" w:hanging="526"/>
      </w:pPr>
      <w:rPr>
        <w:rFonts w:hint="default"/>
        <w:lang w:val="en-US" w:eastAsia="zh-CN" w:bidi="ar-SA"/>
      </w:rPr>
    </w:lvl>
    <w:lvl w:ilvl="6" w:tentative="0">
      <w:start w:val="0"/>
      <w:numFmt w:val="bullet"/>
      <w:lvlText w:val="•"/>
      <w:lvlJc w:val="left"/>
      <w:pPr>
        <w:ind w:left="6179" w:hanging="526"/>
      </w:pPr>
      <w:rPr>
        <w:rFonts w:hint="default"/>
        <w:lang w:val="en-US" w:eastAsia="zh-CN" w:bidi="ar-SA"/>
      </w:rPr>
    </w:lvl>
    <w:lvl w:ilvl="7" w:tentative="0">
      <w:start w:val="0"/>
      <w:numFmt w:val="bullet"/>
      <w:lvlText w:val="•"/>
      <w:lvlJc w:val="left"/>
      <w:pPr>
        <w:ind w:left="7016" w:hanging="526"/>
      </w:pPr>
      <w:rPr>
        <w:rFonts w:hint="default"/>
        <w:lang w:val="en-US" w:eastAsia="zh-CN" w:bidi="ar-SA"/>
      </w:rPr>
    </w:lvl>
    <w:lvl w:ilvl="8" w:tentative="0">
      <w:start w:val="0"/>
      <w:numFmt w:val="bullet"/>
      <w:lvlText w:val="•"/>
      <w:lvlJc w:val="left"/>
      <w:pPr>
        <w:ind w:left="7853" w:hanging="526"/>
      </w:pPr>
      <w:rPr>
        <w:rFonts w:hint="default"/>
        <w:lang w:val="en-US" w:eastAsia="zh-CN" w:bidi="ar-SA"/>
      </w:rPr>
    </w:lvl>
  </w:abstractNum>
  <w:abstractNum w:abstractNumId="46">
    <w:nsid w:val="629F7852"/>
    <w:multiLevelType w:val="multilevel"/>
    <w:tmpl w:val="629F7852"/>
    <w:lvl w:ilvl="0" w:tentative="0">
      <w:start w:val="22"/>
      <w:numFmt w:val="decimal"/>
      <w:lvlText w:val="%1"/>
      <w:lvlJc w:val="left"/>
      <w:pPr>
        <w:ind w:left="218" w:hanging="473"/>
        <w:jc w:val="left"/>
      </w:pPr>
      <w:rPr>
        <w:rFonts w:hint="default"/>
        <w:lang w:val="en-US" w:eastAsia="zh-CN" w:bidi="ar-SA"/>
      </w:rPr>
    </w:lvl>
    <w:lvl w:ilvl="1" w:tentative="0">
      <w:start w:val="1"/>
      <w:numFmt w:val="decimal"/>
      <w:lvlText w:val="%1.%2"/>
      <w:lvlJc w:val="left"/>
      <w:pPr>
        <w:ind w:left="218" w:hanging="473"/>
        <w:jc w:val="left"/>
      </w:pPr>
      <w:rPr>
        <w:rFonts w:hint="default"/>
        <w:w w:val="100"/>
        <w:lang w:val="en-US" w:eastAsia="zh-CN" w:bidi="ar-SA"/>
      </w:rPr>
    </w:lvl>
    <w:lvl w:ilvl="2" w:tentative="0">
      <w:start w:val="0"/>
      <w:numFmt w:val="bullet"/>
      <w:lvlText w:val="•"/>
      <w:lvlJc w:val="left"/>
      <w:pPr>
        <w:ind w:left="2081" w:hanging="473"/>
      </w:pPr>
      <w:rPr>
        <w:rFonts w:hint="default"/>
        <w:lang w:val="en-US" w:eastAsia="zh-CN" w:bidi="ar-SA"/>
      </w:rPr>
    </w:lvl>
    <w:lvl w:ilvl="3" w:tentative="0">
      <w:start w:val="0"/>
      <w:numFmt w:val="bullet"/>
      <w:lvlText w:val="•"/>
      <w:lvlJc w:val="left"/>
      <w:pPr>
        <w:ind w:left="3011" w:hanging="473"/>
      </w:pPr>
      <w:rPr>
        <w:rFonts w:hint="default"/>
        <w:lang w:val="en-US" w:eastAsia="zh-CN" w:bidi="ar-SA"/>
      </w:rPr>
    </w:lvl>
    <w:lvl w:ilvl="4" w:tentative="0">
      <w:start w:val="0"/>
      <w:numFmt w:val="bullet"/>
      <w:lvlText w:val="•"/>
      <w:lvlJc w:val="left"/>
      <w:pPr>
        <w:ind w:left="3942" w:hanging="473"/>
      </w:pPr>
      <w:rPr>
        <w:rFonts w:hint="default"/>
        <w:lang w:val="en-US" w:eastAsia="zh-CN" w:bidi="ar-SA"/>
      </w:rPr>
    </w:lvl>
    <w:lvl w:ilvl="5" w:tentative="0">
      <w:start w:val="0"/>
      <w:numFmt w:val="bullet"/>
      <w:lvlText w:val="•"/>
      <w:lvlJc w:val="left"/>
      <w:pPr>
        <w:ind w:left="4873" w:hanging="473"/>
      </w:pPr>
      <w:rPr>
        <w:rFonts w:hint="default"/>
        <w:lang w:val="en-US" w:eastAsia="zh-CN" w:bidi="ar-SA"/>
      </w:rPr>
    </w:lvl>
    <w:lvl w:ilvl="6" w:tentative="0">
      <w:start w:val="0"/>
      <w:numFmt w:val="bullet"/>
      <w:lvlText w:val="•"/>
      <w:lvlJc w:val="left"/>
      <w:pPr>
        <w:ind w:left="5803" w:hanging="473"/>
      </w:pPr>
      <w:rPr>
        <w:rFonts w:hint="default"/>
        <w:lang w:val="en-US" w:eastAsia="zh-CN" w:bidi="ar-SA"/>
      </w:rPr>
    </w:lvl>
    <w:lvl w:ilvl="7" w:tentative="0">
      <w:start w:val="0"/>
      <w:numFmt w:val="bullet"/>
      <w:lvlText w:val="•"/>
      <w:lvlJc w:val="left"/>
      <w:pPr>
        <w:ind w:left="6734" w:hanging="473"/>
      </w:pPr>
      <w:rPr>
        <w:rFonts w:hint="default"/>
        <w:lang w:val="en-US" w:eastAsia="zh-CN" w:bidi="ar-SA"/>
      </w:rPr>
    </w:lvl>
    <w:lvl w:ilvl="8" w:tentative="0">
      <w:start w:val="0"/>
      <w:numFmt w:val="bullet"/>
      <w:lvlText w:val="•"/>
      <w:lvlJc w:val="left"/>
      <w:pPr>
        <w:ind w:left="7665" w:hanging="473"/>
      </w:pPr>
      <w:rPr>
        <w:rFonts w:hint="default"/>
        <w:lang w:val="en-US" w:eastAsia="zh-CN" w:bidi="ar-SA"/>
      </w:rPr>
    </w:lvl>
  </w:abstractNum>
  <w:abstractNum w:abstractNumId="47">
    <w:nsid w:val="65CD0074"/>
    <w:multiLevelType w:val="multilevel"/>
    <w:tmpl w:val="65CD0074"/>
    <w:lvl w:ilvl="0" w:tentative="0">
      <w:start w:val="1"/>
      <w:numFmt w:val="decimal"/>
      <w:lvlText w:val="（%1）"/>
      <w:lvlJc w:val="left"/>
      <w:pPr>
        <w:ind w:left="1299" w:hanging="601"/>
        <w:jc w:val="left"/>
      </w:pPr>
      <w:rPr>
        <w:rFonts w:hint="default" w:ascii="宋体" w:hAnsi="宋体" w:eastAsia="宋体" w:cs="宋体"/>
        <w:b w:val="0"/>
        <w:bCs w:val="0"/>
        <w:i w:val="0"/>
        <w:iCs w:val="0"/>
        <w:spacing w:val="-1"/>
        <w:w w:val="100"/>
        <w:sz w:val="22"/>
        <w:szCs w:val="22"/>
        <w:lang w:val="en-US" w:eastAsia="zh-CN" w:bidi="ar-SA"/>
      </w:rPr>
    </w:lvl>
    <w:lvl w:ilvl="1" w:tentative="0">
      <w:start w:val="0"/>
      <w:numFmt w:val="bullet"/>
      <w:lvlText w:val="•"/>
      <w:lvlJc w:val="left"/>
      <w:pPr>
        <w:ind w:left="2122" w:hanging="601"/>
      </w:pPr>
      <w:rPr>
        <w:rFonts w:hint="default"/>
        <w:lang w:val="en-US" w:eastAsia="zh-CN" w:bidi="ar-SA"/>
      </w:rPr>
    </w:lvl>
    <w:lvl w:ilvl="2" w:tentative="0">
      <w:start w:val="0"/>
      <w:numFmt w:val="bullet"/>
      <w:lvlText w:val="•"/>
      <w:lvlJc w:val="left"/>
      <w:pPr>
        <w:ind w:left="2945" w:hanging="601"/>
      </w:pPr>
      <w:rPr>
        <w:rFonts w:hint="default"/>
        <w:lang w:val="en-US" w:eastAsia="zh-CN" w:bidi="ar-SA"/>
      </w:rPr>
    </w:lvl>
    <w:lvl w:ilvl="3" w:tentative="0">
      <w:start w:val="0"/>
      <w:numFmt w:val="bullet"/>
      <w:lvlText w:val="•"/>
      <w:lvlJc w:val="left"/>
      <w:pPr>
        <w:ind w:left="3767" w:hanging="601"/>
      </w:pPr>
      <w:rPr>
        <w:rFonts w:hint="default"/>
        <w:lang w:val="en-US" w:eastAsia="zh-CN" w:bidi="ar-SA"/>
      </w:rPr>
    </w:lvl>
    <w:lvl w:ilvl="4" w:tentative="0">
      <w:start w:val="0"/>
      <w:numFmt w:val="bullet"/>
      <w:lvlText w:val="•"/>
      <w:lvlJc w:val="left"/>
      <w:pPr>
        <w:ind w:left="4590" w:hanging="601"/>
      </w:pPr>
      <w:rPr>
        <w:rFonts w:hint="default"/>
        <w:lang w:val="en-US" w:eastAsia="zh-CN" w:bidi="ar-SA"/>
      </w:rPr>
    </w:lvl>
    <w:lvl w:ilvl="5" w:tentative="0">
      <w:start w:val="0"/>
      <w:numFmt w:val="bullet"/>
      <w:lvlText w:val="•"/>
      <w:lvlJc w:val="left"/>
      <w:pPr>
        <w:ind w:left="5413" w:hanging="601"/>
      </w:pPr>
      <w:rPr>
        <w:rFonts w:hint="default"/>
        <w:lang w:val="en-US" w:eastAsia="zh-CN" w:bidi="ar-SA"/>
      </w:rPr>
    </w:lvl>
    <w:lvl w:ilvl="6" w:tentative="0">
      <w:start w:val="0"/>
      <w:numFmt w:val="bullet"/>
      <w:lvlText w:val="•"/>
      <w:lvlJc w:val="left"/>
      <w:pPr>
        <w:ind w:left="6235" w:hanging="601"/>
      </w:pPr>
      <w:rPr>
        <w:rFonts w:hint="default"/>
        <w:lang w:val="en-US" w:eastAsia="zh-CN" w:bidi="ar-SA"/>
      </w:rPr>
    </w:lvl>
    <w:lvl w:ilvl="7" w:tentative="0">
      <w:start w:val="0"/>
      <w:numFmt w:val="bullet"/>
      <w:lvlText w:val="•"/>
      <w:lvlJc w:val="left"/>
      <w:pPr>
        <w:ind w:left="7058" w:hanging="601"/>
      </w:pPr>
      <w:rPr>
        <w:rFonts w:hint="default"/>
        <w:lang w:val="en-US" w:eastAsia="zh-CN" w:bidi="ar-SA"/>
      </w:rPr>
    </w:lvl>
    <w:lvl w:ilvl="8" w:tentative="0">
      <w:start w:val="0"/>
      <w:numFmt w:val="bullet"/>
      <w:lvlText w:val="•"/>
      <w:lvlJc w:val="left"/>
      <w:pPr>
        <w:ind w:left="7881" w:hanging="601"/>
      </w:pPr>
      <w:rPr>
        <w:rFonts w:hint="default"/>
        <w:lang w:val="en-US" w:eastAsia="zh-CN" w:bidi="ar-SA"/>
      </w:rPr>
    </w:lvl>
  </w:abstractNum>
  <w:abstractNum w:abstractNumId="48">
    <w:nsid w:val="72183CF9"/>
    <w:multiLevelType w:val="multilevel"/>
    <w:tmpl w:val="72183CF9"/>
    <w:lvl w:ilvl="0" w:tentative="0">
      <w:start w:val="4"/>
      <w:numFmt w:val="decimal"/>
      <w:lvlText w:val="%1"/>
      <w:lvlJc w:val="left"/>
      <w:pPr>
        <w:ind w:left="218" w:hanging="423"/>
        <w:jc w:val="left"/>
      </w:pPr>
      <w:rPr>
        <w:rFonts w:hint="default"/>
        <w:lang w:val="en-US" w:eastAsia="zh-CN" w:bidi="ar-SA"/>
      </w:rPr>
    </w:lvl>
    <w:lvl w:ilvl="1" w:tentative="0">
      <w:start w:val="1"/>
      <w:numFmt w:val="decimal"/>
      <w:lvlText w:val="%1.%2"/>
      <w:lvlJc w:val="left"/>
      <w:pPr>
        <w:ind w:left="218" w:hanging="423"/>
        <w:jc w:val="left"/>
      </w:pPr>
      <w:rPr>
        <w:rFonts w:hint="default" w:ascii="宋体" w:hAnsi="宋体" w:eastAsia="宋体" w:cs="宋体"/>
        <w:b w:val="0"/>
        <w:bCs w:val="0"/>
        <w:i w:val="0"/>
        <w:iCs w:val="0"/>
        <w:w w:val="100"/>
        <w:sz w:val="21"/>
        <w:szCs w:val="21"/>
        <w:lang w:val="en-US" w:eastAsia="zh-CN" w:bidi="ar-SA"/>
      </w:rPr>
    </w:lvl>
    <w:lvl w:ilvl="2" w:tentative="0">
      <w:start w:val="0"/>
      <w:numFmt w:val="bullet"/>
      <w:lvlText w:val="•"/>
      <w:lvlJc w:val="left"/>
      <w:pPr>
        <w:ind w:left="2081" w:hanging="423"/>
      </w:pPr>
      <w:rPr>
        <w:rFonts w:hint="default"/>
        <w:lang w:val="en-US" w:eastAsia="zh-CN" w:bidi="ar-SA"/>
      </w:rPr>
    </w:lvl>
    <w:lvl w:ilvl="3" w:tentative="0">
      <w:start w:val="0"/>
      <w:numFmt w:val="bullet"/>
      <w:lvlText w:val="•"/>
      <w:lvlJc w:val="left"/>
      <w:pPr>
        <w:ind w:left="3011" w:hanging="423"/>
      </w:pPr>
      <w:rPr>
        <w:rFonts w:hint="default"/>
        <w:lang w:val="en-US" w:eastAsia="zh-CN" w:bidi="ar-SA"/>
      </w:rPr>
    </w:lvl>
    <w:lvl w:ilvl="4" w:tentative="0">
      <w:start w:val="0"/>
      <w:numFmt w:val="bullet"/>
      <w:lvlText w:val="•"/>
      <w:lvlJc w:val="left"/>
      <w:pPr>
        <w:ind w:left="3942" w:hanging="423"/>
      </w:pPr>
      <w:rPr>
        <w:rFonts w:hint="default"/>
        <w:lang w:val="en-US" w:eastAsia="zh-CN" w:bidi="ar-SA"/>
      </w:rPr>
    </w:lvl>
    <w:lvl w:ilvl="5" w:tentative="0">
      <w:start w:val="0"/>
      <w:numFmt w:val="bullet"/>
      <w:lvlText w:val="•"/>
      <w:lvlJc w:val="left"/>
      <w:pPr>
        <w:ind w:left="4873" w:hanging="423"/>
      </w:pPr>
      <w:rPr>
        <w:rFonts w:hint="default"/>
        <w:lang w:val="en-US" w:eastAsia="zh-CN" w:bidi="ar-SA"/>
      </w:rPr>
    </w:lvl>
    <w:lvl w:ilvl="6" w:tentative="0">
      <w:start w:val="0"/>
      <w:numFmt w:val="bullet"/>
      <w:lvlText w:val="•"/>
      <w:lvlJc w:val="left"/>
      <w:pPr>
        <w:ind w:left="5803" w:hanging="423"/>
      </w:pPr>
      <w:rPr>
        <w:rFonts w:hint="default"/>
        <w:lang w:val="en-US" w:eastAsia="zh-CN" w:bidi="ar-SA"/>
      </w:rPr>
    </w:lvl>
    <w:lvl w:ilvl="7" w:tentative="0">
      <w:start w:val="0"/>
      <w:numFmt w:val="bullet"/>
      <w:lvlText w:val="•"/>
      <w:lvlJc w:val="left"/>
      <w:pPr>
        <w:ind w:left="6734" w:hanging="423"/>
      </w:pPr>
      <w:rPr>
        <w:rFonts w:hint="default"/>
        <w:lang w:val="en-US" w:eastAsia="zh-CN" w:bidi="ar-SA"/>
      </w:rPr>
    </w:lvl>
    <w:lvl w:ilvl="8" w:tentative="0">
      <w:start w:val="0"/>
      <w:numFmt w:val="bullet"/>
      <w:lvlText w:val="•"/>
      <w:lvlJc w:val="left"/>
      <w:pPr>
        <w:ind w:left="7665" w:hanging="423"/>
      </w:pPr>
      <w:rPr>
        <w:rFonts w:hint="default"/>
        <w:lang w:val="en-US" w:eastAsia="zh-CN" w:bidi="ar-SA"/>
      </w:rPr>
    </w:lvl>
  </w:abstractNum>
  <w:abstractNum w:abstractNumId="49">
    <w:nsid w:val="74C28B35"/>
    <w:multiLevelType w:val="multilevel"/>
    <w:tmpl w:val="74C28B35"/>
    <w:lvl w:ilvl="0" w:tentative="0">
      <w:start w:val="8"/>
      <w:numFmt w:val="decimal"/>
      <w:lvlText w:val="%1)"/>
      <w:lvlJc w:val="left"/>
      <w:pPr>
        <w:ind w:left="638" w:hanging="420"/>
        <w:jc w:val="left"/>
      </w:pPr>
      <w:rPr>
        <w:rFonts w:hint="default" w:ascii="宋体" w:hAnsi="宋体" w:eastAsia="宋体" w:cs="宋体"/>
        <w:b w:val="0"/>
        <w:bCs w:val="0"/>
        <w:i w:val="0"/>
        <w:iCs w:val="0"/>
        <w:w w:val="100"/>
        <w:sz w:val="24"/>
        <w:szCs w:val="24"/>
        <w:lang w:val="en-US" w:eastAsia="zh-CN" w:bidi="ar-SA"/>
      </w:rPr>
    </w:lvl>
    <w:lvl w:ilvl="1" w:tentative="0">
      <w:start w:val="0"/>
      <w:numFmt w:val="bullet"/>
      <w:lvlText w:val="•"/>
      <w:lvlJc w:val="left"/>
      <w:pPr>
        <w:ind w:left="1528" w:hanging="420"/>
      </w:pPr>
      <w:rPr>
        <w:rFonts w:hint="default"/>
        <w:lang w:val="en-US" w:eastAsia="zh-CN" w:bidi="ar-SA"/>
      </w:rPr>
    </w:lvl>
    <w:lvl w:ilvl="2" w:tentative="0">
      <w:start w:val="0"/>
      <w:numFmt w:val="bullet"/>
      <w:lvlText w:val="•"/>
      <w:lvlJc w:val="left"/>
      <w:pPr>
        <w:ind w:left="2417" w:hanging="420"/>
      </w:pPr>
      <w:rPr>
        <w:rFonts w:hint="default"/>
        <w:lang w:val="en-US" w:eastAsia="zh-CN" w:bidi="ar-SA"/>
      </w:rPr>
    </w:lvl>
    <w:lvl w:ilvl="3" w:tentative="0">
      <w:start w:val="0"/>
      <w:numFmt w:val="bullet"/>
      <w:lvlText w:val="•"/>
      <w:lvlJc w:val="left"/>
      <w:pPr>
        <w:ind w:left="3305" w:hanging="420"/>
      </w:pPr>
      <w:rPr>
        <w:rFonts w:hint="default"/>
        <w:lang w:val="en-US" w:eastAsia="zh-CN" w:bidi="ar-SA"/>
      </w:rPr>
    </w:lvl>
    <w:lvl w:ilvl="4" w:tentative="0">
      <w:start w:val="0"/>
      <w:numFmt w:val="bullet"/>
      <w:lvlText w:val="•"/>
      <w:lvlJc w:val="left"/>
      <w:pPr>
        <w:ind w:left="4194" w:hanging="420"/>
      </w:pPr>
      <w:rPr>
        <w:rFonts w:hint="default"/>
        <w:lang w:val="en-US" w:eastAsia="zh-CN" w:bidi="ar-SA"/>
      </w:rPr>
    </w:lvl>
    <w:lvl w:ilvl="5" w:tentative="0">
      <w:start w:val="0"/>
      <w:numFmt w:val="bullet"/>
      <w:lvlText w:val="•"/>
      <w:lvlJc w:val="left"/>
      <w:pPr>
        <w:ind w:left="5083" w:hanging="420"/>
      </w:pPr>
      <w:rPr>
        <w:rFonts w:hint="default"/>
        <w:lang w:val="en-US" w:eastAsia="zh-CN" w:bidi="ar-SA"/>
      </w:rPr>
    </w:lvl>
    <w:lvl w:ilvl="6" w:tentative="0">
      <w:start w:val="0"/>
      <w:numFmt w:val="bullet"/>
      <w:lvlText w:val="•"/>
      <w:lvlJc w:val="left"/>
      <w:pPr>
        <w:ind w:left="5971" w:hanging="420"/>
      </w:pPr>
      <w:rPr>
        <w:rFonts w:hint="default"/>
        <w:lang w:val="en-US" w:eastAsia="zh-CN" w:bidi="ar-SA"/>
      </w:rPr>
    </w:lvl>
    <w:lvl w:ilvl="7" w:tentative="0">
      <w:start w:val="0"/>
      <w:numFmt w:val="bullet"/>
      <w:lvlText w:val="•"/>
      <w:lvlJc w:val="left"/>
      <w:pPr>
        <w:ind w:left="6860" w:hanging="420"/>
      </w:pPr>
      <w:rPr>
        <w:rFonts w:hint="default"/>
        <w:lang w:val="en-US" w:eastAsia="zh-CN" w:bidi="ar-SA"/>
      </w:rPr>
    </w:lvl>
    <w:lvl w:ilvl="8" w:tentative="0">
      <w:start w:val="0"/>
      <w:numFmt w:val="bullet"/>
      <w:lvlText w:val="•"/>
      <w:lvlJc w:val="left"/>
      <w:pPr>
        <w:ind w:left="7749" w:hanging="420"/>
      </w:pPr>
      <w:rPr>
        <w:rFonts w:hint="default"/>
        <w:lang w:val="en-US" w:eastAsia="zh-CN" w:bidi="ar-SA"/>
      </w:rPr>
    </w:lvl>
  </w:abstractNum>
  <w:abstractNum w:abstractNumId="50">
    <w:nsid w:val="77ECEA79"/>
    <w:multiLevelType w:val="multilevel"/>
    <w:tmpl w:val="77ECEA79"/>
    <w:lvl w:ilvl="0" w:tentative="0">
      <w:start w:val="1"/>
      <w:numFmt w:val="decimal"/>
      <w:lvlText w:val="(%1)"/>
      <w:lvlJc w:val="left"/>
      <w:pPr>
        <w:ind w:left="218" w:hanging="370"/>
        <w:jc w:val="left"/>
      </w:pPr>
      <w:rPr>
        <w:rFonts w:hint="default" w:ascii="宋体" w:hAnsi="宋体" w:eastAsia="宋体" w:cs="宋体"/>
        <w:b w:val="0"/>
        <w:bCs w:val="0"/>
        <w:i w:val="0"/>
        <w:iCs w:val="0"/>
        <w:w w:val="100"/>
        <w:sz w:val="21"/>
        <w:szCs w:val="21"/>
        <w:lang w:val="en-US" w:eastAsia="zh-CN" w:bidi="ar-SA"/>
      </w:rPr>
    </w:lvl>
    <w:lvl w:ilvl="1" w:tentative="0">
      <w:start w:val="0"/>
      <w:numFmt w:val="bullet"/>
      <w:lvlText w:val="•"/>
      <w:lvlJc w:val="left"/>
      <w:pPr>
        <w:ind w:left="1150" w:hanging="370"/>
      </w:pPr>
      <w:rPr>
        <w:rFonts w:hint="default"/>
        <w:lang w:val="en-US" w:eastAsia="zh-CN" w:bidi="ar-SA"/>
      </w:rPr>
    </w:lvl>
    <w:lvl w:ilvl="2" w:tentative="0">
      <w:start w:val="0"/>
      <w:numFmt w:val="bullet"/>
      <w:lvlText w:val="•"/>
      <w:lvlJc w:val="left"/>
      <w:pPr>
        <w:ind w:left="2081" w:hanging="370"/>
      </w:pPr>
      <w:rPr>
        <w:rFonts w:hint="default"/>
        <w:lang w:val="en-US" w:eastAsia="zh-CN" w:bidi="ar-SA"/>
      </w:rPr>
    </w:lvl>
    <w:lvl w:ilvl="3" w:tentative="0">
      <w:start w:val="0"/>
      <w:numFmt w:val="bullet"/>
      <w:lvlText w:val="•"/>
      <w:lvlJc w:val="left"/>
      <w:pPr>
        <w:ind w:left="3011" w:hanging="370"/>
      </w:pPr>
      <w:rPr>
        <w:rFonts w:hint="default"/>
        <w:lang w:val="en-US" w:eastAsia="zh-CN" w:bidi="ar-SA"/>
      </w:rPr>
    </w:lvl>
    <w:lvl w:ilvl="4" w:tentative="0">
      <w:start w:val="0"/>
      <w:numFmt w:val="bullet"/>
      <w:lvlText w:val="•"/>
      <w:lvlJc w:val="left"/>
      <w:pPr>
        <w:ind w:left="3942" w:hanging="370"/>
      </w:pPr>
      <w:rPr>
        <w:rFonts w:hint="default"/>
        <w:lang w:val="en-US" w:eastAsia="zh-CN" w:bidi="ar-SA"/>
      </w:rPr>
    </w:lvl>
    <w:lvl w:ilvl="5" w:tentative="0">
      <w:start w:val="0"/>
      <w:numFmt w:val="bullet"/>
      <w:lvlText w:val="•"/>
      <w:lvlJc w:val="left"/>
      <w:pPr>
        <w:ind w:left="4873" w:hanging="370"/>
      </w:pPr>
      <w:rPr>
        <w:rFonts w:hint="default"/>
        <w:lang w:val="en-US" w:eastAsia="zh-CN" w:bidi="ar-SA"/>
      </w:rPr>
    </w:lvl>
    <w:lvl w:ilvl="6" w:tentative="0">
      <w:start w:val="0"/>
      <w:numFmt w:val="bullet"/>
      <w:lvlText w:val="•"/>
      <w:lvlJc w:val="left"/>
      <w:pPr>
        <w:ind w:left="5803" w:hanging="370"/>
      </w:pPr>
      <w:rPr>
        <w:rFonts w:hint="default"/>
        <w:lang w:val="en-US" w:eastAsia="zh-CN" w:bidi="ar-SA"/>
      </w:rPr>
    </w:lvl>
    <w:lvl w:ilvl="7" w:tentative="0">
      <w:start w:val="0"/>
      <w:numFmt w:val="bullet"/>
      <w:lvlText w:val="•"/>
      <w:lvlJc w:val="left"/>
      <w:pPr>
        <w:ind w:left="6734" w:hanging="370"/>
      </w:pPr>
      <w:rPr>
        <w:rFonts w:hint="default"/>
        <w:lang w:val="en-US" w:eastAsia="zh-CN" w:bidi="ar-SA"/>
      </w:rPr>
    </w:lvl>
    <w:lvl w:ilvl="8" w:tentative="0">
      <w:start w:val="0"/>
      <w:numFmt w:val="bullet"/>
      <w:lvlText w:val="•"/>
      <w:lvlJc w:val="left"/>
      <w:pPr>
        <w:ind w:left="7665" w:hanging="370"/>
      </w:pPr>
      <w:rPr>
        <w:rFonts w:hint="default"/>
        <w:lang w:val="en-US" w:eastAsia="zh-CN" w:bidi="ar-SA"/>
      </w:rPr>
    </w:lvl>
  </w:abstractNum>
  <w:abstractNum w:abstractNumId="51">
    <w:nsid w:val="79AA4FA4"/>
    <w:multiLevelType w:val="multilevel"/>
    <w:tmpl w:val="79AA4FA4"/>
    <w:lvl w:ilvl="0" w:tentative="0">
      <w:start w:val="12"/>
      <w:numFmt w:val="decimal"/>
      <w:lvlText w:val="%1"/>
      <w:lvlJc w:val="left"/>
      <w:pPr>
        <w:ind w:left="744" w:hanging="526"/>
        <w:jc w:val="left"/>
      </w:pPr>
      <w:rPr>
        <w:rFonts w:hint="default"/>
        <w:lang w:val="en-US" w:eastAsia="zh-CN" w:bidi="ar-SA"/>
      </w:rPr>
    </w:lvl>
    <w:lvl w:ilvl="1" w:tentative="0">
      <w:start w:val="1"/>
      <w:numFmt w:val="decimal"/>
      <w:lvlText w:val="%1.%2"/>
      <w:lvlJc w:val="left"/>
      <w:pPr>
        <w:ind w:left="744" w:hanging="526"/>
        <w:jc w:val="left"/>
      </w:pPr>
      <w:rPr>
        <w:rFonts w:hint="default" w:ascii="宋体" w:hAnsi="宋体" w:eastAsia="宋体" w:cs="宋体"/>
        <w:b w:val="0"/>
        <w:bCs w:val="0"/>
        <w:i w:val="0"/>
        <w:iCs w:val="0"/>
        <w:w w:val="100"/>
        <w:sz w:val="21"/>
        <w:szCs w:val="21"/>
        <w:lang w:val="en-US" w:eastAsia="zh-CN" w:bidi="ar-SA"/>
      </w:rPr>
    </w:lvl>
    <w:lvl w:ilvl="2" w:tentative="0">
      <w:start w:val="0"/>
      <w:numFmt w:val="bullet"/>
      <w:lvlText w:val="•"/>
      <w:lvlJc w:val="left"/>
      <w:pPr>
        <w:ind w:left="2497" w:hanging="526"/>
      </w:pPr>
      <w:rPr>
        <w:rFonts w:hint="default"/>
        <w:lang w:val="en-US" w:eastAsia="zh-CN" w:bidi="ar-SA"/>
      </w:rPr>
    </w:lvl>
    <w:lvl w:ilvl="3" w:tentative="0">
      <w:start w:val="0"/>
      <w:numFmt w:val="bullet"/>
      <w:lvlText w:val="•"/>
      <w:lvlJc w:val="left"/>
      <w:pPr>
        <w:ind w:left="3375" w:hanging="526"/>
      </w:pPr>
      <w:rPr>
        <w:rFonts w:hint="default"/>
        <w:lang w:val="en-US" w:eastAsia="zh-CN" w:bidi="ar-SA"/>
      </w:rPr>
    </w:lvl>
    <w:lvl w:ilvl="4" w:tentative="0">
      <w:start w:val="0"/>
      <w:numFmt w:val="bullet"/>
      <w:lvlText w:val="•"/>
      <w:lvlJc w:val="left"/>
      <w:pPr>
        <w:ind w:left="4254" w:hanging="526"/>
      </w:pPr>
      <w:rPr>
        <w:rFonts w:hint="default"/>
        <w:lang w:val="en-US" w:eastAsia="zh-CN" w:bidi="ar-SA"/>
      </w:rPr>
    </w:lvl>
    <w:lvl w:ilvl="5" w:tentative="0">
      <w:start w:val="0"/>
      <w:numFmt w:val="bullet"/>
      <w:lvlText w:val="•"/>
      <w:lvlJc w:val="left"/>
      <w:pPr>
        <w:ind w:left="5133" w:hanging="526"/>
      </w:pPr>
      <w:rPr>
        <w:rFonts w:hint="default"/>
        <w:lang w:val="en-US" w:eastAsia="zh-CN" w:bidi="ar-SA"/>
      </w:rPr>
    </w:lvl>
    <w:lvl w:ilvl="6" w:tentative="0">
      <w:start w:val="0"/>
      <w:numFmt w:val="bullet"/>
      <w:lvlText w:val="•"/>
      <w:lvlJc w:val="left"/>
      <w:pPr>
        <w:ind w:left="6011" w:hanging="526"/>
      </w:pPr>
      <w:rPr>
        <w:rFonts w:hint="default"/>
        <w:lang w:val="en-US" w:eastAsia="zh-CN" w:bidi="ar-SA"/>
      </w:rPr>
    </w:lvl>
    <w:lvl w:ilvl="7" w:tentative="0">
      <w:start w:val="0"/>
      <w:numFmt w:val="bullet"/>
      <w:lvlText w:val="•"/>
      <w:lvlJc w:val="left"/>
      <w:pPr>
        <w:ind w:left="6890" w:hanging="526"/>
      </w:pPr>
      <w:rPr>
        <w:rFonts w:hint="default"/>
        <w:lang w:val="en-US" w:eastAsia="zh-CN" w:bidi="ar-SA"/>
      </w:rPr>
    </w:lvl>
    <w:lvl w:ilvl="8" w:tentative="0">
      <w:start w:val="0"/>
      <w:numFmt w:val="bullet"/>
      <w:lvlText w:val="•"/>
      <w:lvlJc w:val="left"/>
      <w:pPr>
        <w:ind w:left="7769" w:hanging="526"/>
      </w:pPr>
      <w:rPr>
        <w:rFonts w:hint="default"/>
        <w:lang w:val="en-US" w:eastAsia="zh-CN" w:bidi="ar-SA"/>
      </w:rPr>
    </w:lvl>
  </w:abstractNum>
  <w:abstractNum w:abstractNumId="52">
    <w:nsid w:val="7C246926"/>
    <w:multiLevelType w:val="multilevel"/>
    <w:tmpl w:val="7C246926"/>
    <w:lvl w:ilvl="0" w:tentative="0">
      <w:start w:val="1"/>
      <w:numFmt w:val="decimal"/>
      <w:lvlText w:val="（%1）"/>
      <w:lvlJc w:val="left"/>
      <w:pPr>
        <w:ind w:left="1167" w:hanging="529"/>
        <w:jc w:val="left"/>
      </w:pPr>
      <w:rPr>
        <w:rFonts w:hint="default" w:ascii="宋体" w:hAnsi="宋体" w:eastAsia="宋体" w:cs="宋体"/>
        <w:b w:val="0"/>
        <w:bCs w:val="0"/>
        <w:i w:val="0"/>
        <w:iCs w:val="0"/>
        <w:spacing w:val="-3"/>
        <w:w w:val="100"/>
        <w:sz w:val="19"/>
        <w:szCs w:val="19"/>
        <w:lang w:val="en-US" w:eastAsia="zh-CN" w:bidi="ar-SA"/>
      </w:rPr>
    </w:lvl>
    <w:lvl w:ilvl="1" w:tentative="0">
      <w:start w:val="0"/>
      <w:numFmt w:val="bullet"/>
      <w:lvlText w:val="•"/>
      <w:lvlJc w:val="left"/>
      <w:pPr>
        <w:ind w:left="1996" w:hanging="529"/>
      </w:pPr>
      <w:rPr>
        <w:rFonts w:hint="default"/>
        <w:lang w:val="en-US" w:eastAsia="zh-CN" w:bidi="ar-SA"/>
      </w:rPr>
    </w:lvl>
    <w:lvl w:ilvl="2" w:tentative="0">
      <w:start w:val="0"/>
      <w:numFmt w:val="bullet"/>
      <w:lvlText w:val="•"/>
      <w:lvlJc w:val="left"/>
      <w:pPr>
        <w:ind w:left="2833" w:hanging="529"/>
      </w:pPr>
      <w:rPr>
        <w:rFonts w:hint="default"/>
        <w:lang w:val="en-US" w:eastAsia="zh-CN" w:bidi="ar-SA"/>
      </w:rPr>
    </w:lvl>
    <w:lvl w:ilvl="3" w:tentative="0">
      <w:start w:val="0"/>
      <w:numFmt w:val="bullet"/>
      <w:lvlText w:val="•"/>
      <w:lvlJc w:val="left"/>
      <w:pPr>
        <w:ind w:left="3669" w:hanging="529"/>
      </w:pPr>
      <w:rPr>
        <w:rFonts w:hint="default"/>
        <w:lang w:val="en-US" w:eastAsia="zh-CN" w:bidi="ar-SA"/>
      </w:rPr>
    </w:lvl>
    <w:lvl w:ilvl="4" w:tentative="0">
      <w:start w:val="0"/>
      <w:numFmt w:val="bullet"/>
      <w:lvlText w:val="•"/>
      <w:lvlJc w:val="left"/>
      <w:pPr>
        <w:ind w:left="4506" w:hanging="529"/>
      </w:pPr>
      <w:rPr>
        <w:rFonts w:hint="default"/>
        <w:lang w:val="en-US" w:eastAsia="zh-CN" w:bidi="ar-SA"/>
      </w:rPr>
    </w:lvl>
    <w:lvl w:ilvl="5" w:tentative="0">
      <w:start w:val="0"/>
      <w:numFmt w:val="bullet"/>
      <w:lvlText w:val="•"/>
      <w:lvlJc w:val="left"/>
      <w:pPr>
        <w:ind w:left="5343" w:hanging="529"/>
      </w:pPr>
      <w:rPr>
        <w:rFonts w:hint="default"/>
        <w:lang w:val="en-US" w:eastAsia="zh-CN" w:bidi="ar-SA"/>
      </w:rPr>
    </w:lvl>
    <w:lvl w:ilvl="6" w:tentative="0">
      <w:start w:val="0"/>
      <w:numFmt w:val="bullet"/>
      <w:lvlText w:val="•"/>
      <w:lvlJc w:val="left"/>
      <w:pPr>
        <w:ind w:left="6179" w:hanging="529"/>
      </w:pPr>
      <w:rPr>
        <w:rFonts w:hint="default"/>
        <w:lang w:val="en-US" w:eastAsia="zh-CN" w:bidi="ar-SA"/>
      </w:rPr>
    </w:lvl>
    <w:lvl w:ilvl="7" w:tentative="0">
      <w:start w:val="0"/>
      <w:numFmt w:val="bullet"/>
      <w:lvlText w:val="•"/>
      <w:lvlJc w:val="left"/>
      <w:pPr>
        <w:ind w:left="7016" w:hanging="529"/>
      </w:pPr>
      <w:rPr>
        <w:rFonts w:hint="default"/>
        <w:lang w:val="en-US" w:eastAsia="zh-CN" w:bidi="ar-SA"/>
      </w:rPr>
    </w:lvl>
    <w:lvl w:ilvl="8" w:tentative="0">
      <w:start w:val="0"/>
      <w:numFmt w:val="bullet"/>
      <w:lvlText w:val="•"/>
      <w:lvlJc w:val="left"/>
      <w:pPr>
        <w:ind w:left="7853" w:hanging="529"/>
      </w:pPr>
      <w:rPr>
        <w:rFonts w:hint="default"/>
        <w:lang w:val="en-US" w:eastAsia="zh-CN" w:bidi="ar-SA"/>
      </w:rPr>
    </w:lvl>
  </w:abstractNum>
  <w:abstractNum w:abstractNumId="53">
    <w:nsid w:val="7DEC2089"/>
    <w:multiLevelType w:val="multilevel"/>
    <w:tmpl w:val="7DEC2089"/>
    <w:lvl w:ilvl="0" w:tentative="0">
      <w:start w:val="1"/>
      <w:numFmt w:val="decimal"/>
      <w:lvlText w:val="（%1）"/>
      <w:lvlJc w:val="left"/>
      <w:pPr>
        <w:ind w:left="1167" w:hanging="529"/>
        <w:jc w:val="left"/>
      </w:pPr>
      <w:rPr>
        <w:rFonts w:hint="default" w:ascii="宋体" w:hAnsi="宋体" w:eastAsia="宋体" w:cs="宋体"/>
        <w:b w:val="0"/>
        <w:bCs w:val="0"/>
        <w:i w:val="0"/>
        <w:iCs w:val="0"/>
        <w:spacing w:val="-3"/>
        <w:w w:val="100"/>
        <w:sz w:val="19"/>
        <w:szCs w:val="19"/>
        <w:lang w:val="en-US" w:eastAsia="zh-CN" w:bidi="ar-SA"/>
      </w:rPr>
    </w:lvl>
    <w:lvl w:ilvl="1" w:tentative="0">
      <w:start w:val="0"/>
      <w:numFmt w:val="bullet"/>
      <w:lvlText w:val="•"/>
      <w:lvlJc w:val="left"/>
      <w:pPr>
        <w:ind w:left="1996" w:hanging="529"/>
      </w:pPr>
      <w:rPr>
        <w:rFonts w:hint="default"/>
        <w:lang w:val="en-US" w:eastAsia="zh-CN" w:bidi="ar-SA"/>
      </w:rPr>
    </w:lvl>
    <w:lvl w:ilvl="2" w:tentative="0">
      <w:start w:val="0"/>
      <w:numFmt w:val="bullet"/>
      <w:lvlText w:val="•"/>
      <w:lvlJc w:val="left"/>
      <w:pPr>
        <w:ind w:left="2833" w:hanging="529"/>
      </w:pPr>
      <w:rPr>
        <w:rFonts w:hint="default"/>
        <w:lang w:val="en-US" w:eastAsia="zh-CN" w:bidi="ar-SA"/>
      </w:rPr>
    </w:lvl>
    <w:lvl w:ilvl="3" w:tentative="0">
      <w:start w:val="0"/>
      <w:numFmt w:val="bullet"/>
      <w:lvlText w:val="•"/>
      <w:lvlJc w:val="left"/>
      <w:pPr>
        <w:ind w:left="3669" w:hanging="529"/>
      </w:pPr>
      <w:rPr>
        <w:rFonts w:hint="default"/>
        <w:lang w:val="en-US" w:eastAsia="zh-CN" w:bidi="ar-SA"/>
      </w:rPr>
    </w:lvl>
    <w:lvl w:ilvl="4" w:tentative="0">
      <w:start w:val="0"/>
      <w:numFmt w:val="bullet"/>
      <w:lvlText w:val="•"/>
      <w:lvlJc w:val="left"/>
      <w:pPr>
        <w:ind w:left="4506" w:hanging="529"/>
      </w:pPr>
      <w:rPr>
        <w:rFonts w:hint="default"/>
        <w:lang w:val="en-US" w:eastAsia="zh-CN" w:bidi="ar-SA"/>
      </w:rPr>
    </w:lvl>
    <w:lvl w:ilvl="5" w:tentative="0">
      <w:start w:val="0"/>
      <w:numFmt w:val="bullet"/>
      <w:lvlText w:val="•"/>
      <w:lvlJc w:val="left"/>
      <w:pPr>
        <w:ind w:left="5343" w:hanging="529"/>
      </w:pPr>
      <w:rPr>
        <w:rFonts w:hint="default"/>
        <w:lang w:val="en-US" w:eastAsia="zh-CN" w:bidi="ar-SA"/>
      </w:rPr>
    </w:lvl>
    <w:lvl w:ilvl="6" w:tentative="0">
      <w:start w:val="0"/>
      <w:numFmt w:val="bullet"/>
      <w:lvlText w:val="•"/>
      <w:lvlJc w:val="left"/>
      <w:pPr>
        <w:ind w:left="6179" w:hanging="529"/>
      </w:pPr>
      <w:rPr>
        <w:rFonts w:hint="default"/>
        <w:lang w:val="en-US" w:eastAsia="zh-CN" w:bidi="ar-SA"/>
      </w:rPr>
    </w:lvl>
    <w:lvl w:ilvl="7" w:tentative="0">
      <w:start w:val="0"/>
      <w:numFmt w:val="bullet"/>
      <w:lvlText w:val="•"/>
      <w:lvlJc w:val="left"/>
      <w:pPr>
        <w:ind w:left="7016" w:hanging="529"/>
      </w:pPr>
      <w:rPr>
        <w:rFonts w:hint="default"/>
        <w:lang w:val="en-US" w:eastAsia="zh-CN" w:bidi="ar-SA"/>
      </w:rPr>
    </w:lvl>
    <w:lvl w:ilvl="8" w:tentative="0">
      <w:start w:val="0"/>
      <w:numFmt w:val="bullet"/>
      <w:lvlText w:val="•"/>
      <w:lvlJc w:val="left"/>
      <w:pPr>
        <w:ind w:left="7853" w:hanging="529"/>
      </w:pPr>
      <w:rPr>
        <w:rFonts w:hint="default"/>
        <w:lang w:val="en-US" w:eastAsia="zh-CN" w:bidi="ar-SA"/>
      </w:rPr>
    </w:lvl>
  </w:abstractNum>
  <w:num w:numId="1">
    <w:abstractNumId w:val="21"/>
  </w:num>
  <w:num w:numId="2">
    <w:abstractNumId w:val="15"/>
  </w:num>
  <w:num w:numId="3">
    <w:abstractNumId w:val="41"/>
  </w:num>
  <w:num w:numId="4">
    <w:abstractNumId w:val="13"/>
  </w:num>
  <w:num w:numId="5">
    <w:abstractNumId w:val="9"/>
  </w:num>
  <w:num w:numId="6">
    <w:abstractNumId w:val="23"/>
  </w:num>
  <w:num w:numId="7">
    <w:abstractNumId w:val="30"/>
  </w:num>
  <w:num w:numId="8">
    <w:abstractNumId w:val="48"/>
  </w:num>
  <w:num w:numId="9">
    <w:abstractNumId w:val="22"/>
  </w:num>
  <w:num w:numId="10">
    <w:abstractNumId w:val="5"/>
  </w:num>
  <w:num w:numId="11">
    <w:abstractNumId w:val="31"/>
  </w:num>
  <w:num w:numId="12">
    <w:abstractNumId w:val="42"/>
  </w:num>
  <w:num w:numId="13">
    <w:abstractNumId w:val="14"/>
  </w:num>
  <w:num w:numId="14">
    <w:abstractNumId w:val="38"/>
  </w:num>
  <w:num w:numId="15">
    <w:abstractNumId w:val="19"/>
  </w:num>
  <w:num w:numId="16">
    <w:abstractNumId w:val="29"/>
  </w:num>
  <w:num w:numId="17">
    <w:abstractNumId w:val="17"/>
  </w:num>
  <w:num w:numId="18">
    <w:abstractNumId w:val="16"/>
  </w:num>
  <w:num w:numId="19">
    <w:abstractNumId w:val="7"/>
  </w:num>
  <w:num w:numId="20">
    <w:abstractNumId w:val="36"/>
  </w:num>
  <w:num w:numId="21">
    <w:abstractNumId w:val="45"/>
  </w:num>
  <w:num w:numId="22">
    <w:abstractNumId w:val="26"/>
  </w:num>
  <w:num w:numId="23">
    <w:abstractNumId w:val="35"/>
  </w:num>
  <w:num w:numId="24">
    <w:abstractNumId w:val="8"/>
  </w:num>
  <w:num w:numId="25">
    <w:abstractNumId w:val="52"/>
  </w:num>
  <w:num w:numId="26">
    <w:abstractNumId w:val="50"/>
  </w:num>
  <w:num w:numId="27">
    <w:abstractNumId w:val="12"/>
  </w:num>
  <w:num w:numId="28">
    <w:abstractNumId w:val="46"/>
  </w:num>
  <w:num w:numId="29">
    <w:abstractNumId w:val="6"/>
  </w:num>
  <w:num w:numId="30">
    <w:abstractNumId w:val="34"/>
  </w:num>
  <w:num w:numId="31">
    <w:abstractNumId w:val="2"/>
  </w:num>
  <w:num w:numId="32">
    <w:abstractNumId w:val="40"/>
  </w:num>
  <w:num w:numId="33">
    <w:abstractNumId w:val="53"/>
  </w:num>
  <w:num w:numId="34">
    <w:abstractNumId w:val="0"/>
  </w:num>
  <w:num w:numId="35">
    <w:abstractNumId w:val="28"/>
  </w:num>
  <w:num w:numId="36">
    <w:abstractNumId w:val="39"/>
  </w:num>
  <w:num w:numId="37">
    <w:abstractNumId w:val="20"/>
  </w:num>
  <w:num w:numId="38">
    <w:abstractNumId w:val="18"/>
  </w:num>
  <w:num w:numId="39">
    <w:abstractNumId w:val="32"/>
  </w:num>
  <w:num w:numId="40">
    <w:abstractNumId w:val="51"/>
  </w:num>
  <w:num w:numId="41">
    <w:abstractNumId w:val="11"/>
  </w:num>
  <w:num w:numId="42">
    <w:abstractNumId w:val="4"/>
  </w:num>
  <w:num w:numId="43">
    <w:abstractNumId w:val="10"/>
  </w:num>
  <w:num w:numId="44">
    <w:abstractNumId w:val="43"/>
  </w:num>
  <w:num w:numId="45">
    <w:abstractNumId w:val="1"/>
  </w:num>
  <w:num w:numId="46">
    <w:abstractNumId w:val="27"/>
  </w:num>
  <w:num w:numId="47">
    <w:abstractNumId w:val="3"/>
  </w:num>
  <w:num w:numId="48">
    <w:abstractNumId w:val="44"/>
  </w:num>
  <w:num w:numId="49">
    <w:abstractNumId w:val="49"/>
  </w:num>
  <w:num w:numId="50">
    <w:abstractNumId w:val="37"/>
  </w:num>
  <w:num w:numId="51">
    <w:abstractNumId w:val="33"/>
  </w:num>
  <w:num w:numId="52">
    <w:abstractNumId w:val="47"/>
  </w:num>
  <w:num w:numId="53">
    <w:abstractNumId w:val="24"/>
  </w:num>
  <w:num w:numId="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rsids>
    <w:rsidRoot w:val="00000000"/>
    <w:rsid w:val="035C6226"/>
    <w:rsid w:val="05230CD1"/>
    <w:rsid w:val="06694317"/>
    <w:rsid w:val="09BF125C"/>
    <w:rsid w:val="0B4963E6"/>
    <w:rsid w:val="0DCE11EE"/>
    <w:rsid w:val="0E111A01"/>
    <w:rsid w:val="0F923925"/>
    <w:rsid w:val="11CE506D"/>
    <w:rsid w:val="16564333"/>
    <w:rsid w:val="19E6465A"/>
    <w:rsid w:val="213C5BD7"/>
    <w:rsid w:val="24184829"/>
    <w:rsid w:val="25C805EC"/>
    <w:rsid w:val="26E71FF9"/>
    <w:rsid w:val="294B617C"/>
    <w:rsid w:val="2A2F7769"/>
    <w:rsid w:val="2E2C735B"/>
    <w:rsid w:val="2EDC0D09"/>
    <w:rsid w:val="2F8E4C55"/>
    <w:rsid w:val="300F506A"/>
    <w:rsid w:val="3A4122C4"/>
    <w:rsid w:val="3D5D4522"/>
    <w:rsid w:val="3DFF0731"/>
    <w:rsid w:val="44524D55"/>
    <w:rsid w:val="46752C96"/>
    <w:rsid w:val="46A77952"/>
    <w:rsid w:val="46B856BC"/>
    <w:rsid w:val="4AA87260"/>
    <w:rsid w:val="4ABE4879"/>
    <w:rsid w:val="4ADD7DE7"/>
    <w:rsid w:val="4C6A608C"/>
    <w:rsid w:val="56010E2D"/>
    <w:rsid w:val="570C4260"/>
    <w:rsid w:val="58D97BD3"/>
    <w:rsid w:val="59FB3DE5"/>
    <w:rsid w:val="5A2F6788"/>
    <w:rsid w:val="64656CD0"/>
    <w:rsid w:val="67732AAD"/>
    <w:rsid w:val="6B5E41D4"/>
    <w:rsid w:val="6F1C23DC"/>
    <w:rsid w:val="6FDD54C7"/>
    <w:rsid w:val="70423C64"/>
    <w:rsid w:val="72356B79"/>
    <w:rsid w:val="7B841593"/>
    <w:rsid w:val="7DD763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spacing w:before="37"/>
      <w:ind w:left="203" w:right="219"/>
      <w:jc w:val="center"/>
      <w:outlineLvl w:val="1"/>
    </w:pPr>
    <w:rPr>
      <w:rFonts w:ascii="宋体" w:hAnsi="宋体" w:eastAsia="宋体" w:cs="宋体"/>
      <w:sz w:val="44"/>
      <w:szCs w:val="44"/>
      <w:lang w:val="en-US" w:eastAsia="zh-CN" w:bidi="ar-SA"/>
    </w:rPr>
  </w:style>
  <w:style w:type="paragraph" w:styleId="3">
    <w:name w:val="heading 2"/>
    <w:basedOn w:val="1"/>
    <w:next w:val="1"/>
    <w:qFormat/>
    <w:uiPriority w:val="1"/>
    <w:pPr>
      <w:spacing w:before="33"/>
      <w:ind w:left="203"/>
      <w:jc w:val="center"/>
      <w:outlineLvl w:val="2"/>
    </w:pPr>
    <w:rPr>
      <w:rFonts w:ascii="宋体" w:hAnsi="宋体" w:eastAsia="宋体" w:cs="宋体"/>
      <w:b/>
      <w:bCs/>
      <w:sz w:val="28"/>
      <w:szCs w:val="28"/>
      <w:lang w:val="en-US" w:eastAsia="zh-CN" w:bidi="ar-SA"/>
    </w:rPr>
  </w:style>
  <w:style w:type="paragraph" w:styleId="4">
    <w:name w:val="heading 3"/>
    <w:basedOn w:val="1"/>
    <w:next w:val="1"/>
    <w:qFormat/>
    <w:uiPriority w:val="1"/>
    <w:pPr>
      <w:ind w:left="1418"/>
      <w:outlineLvl w:val="3"/>
    </w:pPr>
    <w:rPr>
      <w:rFonts w:ascii="宋体" w:hAnsi="宋体" w:eastAsia="宋体" w:cs="宋体"/>
      <w:i/>
      <w:iCs/>
      <w:sz w:val="25"/>
      <w:szCs w:val="25"/>
      <w:u w:val="single" w:color="000000"/>
      <w:lang w:val="en-US" w:eastAsia="zh-CN" w:bidi="ar-SA"/>
    </w:rPr>
  </w:style>
  <w:style w:type="paragraph" w:styleId="5">
    <w:name w:val="heading 4"/>
    <w:basedOn w:val="1"/>
    <w:next w:val="1"/>
    <w:qFormat/>
    <w:uiPriority w:val="1"/>
    <w:pPr>
      <w:ind w:left="203"/>
      <w:outlineLvl w:val="4"/>
    </w:pPr>
    <w:rPr>
      <w:rFonts w:ascii="宋体" w:hAnsi="宋体" w:eastAsia="宋体" w:cs="宋体"/>
      <w:b/>
      <w:bCs/>
      <w:sz w:val="24"/>
      <w:szCs w:val="24"/>
      <w:lang w:val="en-US" w:eastAsia="zh-CN" w:bidi="ar-SA"/>
    </w:rPr>
  </w:style>
  <w:style w:type="paragraph" w:styleId="6">
    <w:name w:val="heading 5"/>
    <w:basedOn w:val="1"/>
    <w:next w:val="1"/>
    <w:qFormat/>
    <w:uiPriority w:val="1"/>
    <w:pPr>
      <w:ind w:left="218"/>
      <w:outlineLvl w:val="5"/>
    </w:pPr>
    <w:rPr>
      <w:rFonts w:ascii="宋体" w:hAnsi="宋体" w:eastAsia="宋体" w:cs="宋体"/>
      <w:sz w:val="24"/>
      <w:szCs w:val="24"/>
      <w:lang w:val="en-US" w:eastAsia="zh-CN" w:bidi="ar-SA"/>
    </w:rPr>
  </w:style>
  <w:style w:type="paragraph" w:styleId="7">
    <w:name w:val="heading 6"/>
    <w:basedOn w:val="1"/>
    <w:next w:val="1"/>
    <w:qFormat/>
    <w:uiPriority w:val="1"/>
    <w:pPr>
      <w:ind w:left="638"/>
      <w:outlineLvl w:val="6"/>
    </w:pPr>
    <w:rPr>
      <w:rFonts w:ascii="宋体" w:hAnsi="宋体" w:eastAsia="宋体" w:cs="宋体"/>
      <w:b/>
      <w:bCs/>
      <w:sz w:val="21"/>
      <w:szCs w:val="21"/>
      <w:lang w:val="en-US" w:eastAsia="zh-CN" w:bidi="ar-SA"/>
    </w:rPr>
  </w:style>
  <w:style w:type="character" w:default="1" w:styleId="13">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8">
    <w:name w:val="Body Text"/>
    <w:basedOn w:val="1"/>
    <w:qFormat/>
    <w:uiPriority w:val="1"/>
    <w:rPr>
      <w:rFonts w:ascii="宋体" w:hAnsi="宋体" w:eastAsia="宋体" w:cs="宋体"/>
      <w:sz w:val="21"/>
      <w:szCs w:val="21"/>
      <w:lang w:val="en-US" w:eastAsia="zh-CN" w:bidi="ar-SA"/>
    </w:rPr>
  </w:style>
  <w:style w:type="paragraph" w:styleId="9">
    <w:name w:val="toc 1"/>
    <w:basedOn w:val="1"/>
    <w:next w:val="1"/>
    <w:qFormat/>
    <w:uiPriority w:val="1"/>
    <w:pPr>
      <w:spacing w:before="119"/>
      <w:ind w:left="218"/>
    </w:pPr>
    <w:rPr>
      <w:rFonts w:ascii="宋体" w:hAnsi="宋体" w:eastAsia="宋体" w:cs="宋体"/>
      <w:sz w:val="36"/>
      <w:szCs w:val="36"/>
      <w:lang w:val="en-US" w:eastAsia="zh-CN" w:bidi="ar-SA"/>
    </w:rPr>
  </w:style>
  <w:style w:type="paragraph" w:styleId="10">
    <w:name w:val="toc 2"/>
    <w:basedOn w:val="1"/>
    <w:next w:val="1"/>
    <w:qFormat/>
    <w:uiPriority w:val="1"/>
    <w:pPr>
      <w:spacing w:before="119"/>
      <w:ind w:left="218"/>
    </w:pPr>
    <w:rPr>
      <w:rFonts w:ascii="宋体" w:hAnsi="宋体" w:eastAsia="宋体" w:cs="宋体"/>
      <w:sz w:val="36"/>
      <w:szCs w:val="36"/>
      <w:lang w:val="en-US" w:eastAsia="zh-CN" w:bidi="ar-SA"/>
    </w:rPr>
  </w:style>
  <w:style w:type="paragraph" w:styleId="11">
    <w:name w:val="Title"/>
    <w:basedOn w:val="1"/>
    <w:qFormat/>
    <w:uiPriority w:val="1"/>
    <w:pPr>
      <w:spacing w:line="1059" w:lineRule="exact"/>
      <w:ind w:left="203" w:right="221"/>
      <w:jc w:val="center"/>
    </w:pPr>
    <w:rPr>
      <w:rFonts w:ascii="宋体" w:hAnsi="宋体" w:eastAsia="宋体" w:cs="宋体"/>
      <w:b/>
      <w:bCs/>
      <w:sz w:val="84"/>
      <w:szCs w:val="84"/>
      <w:lang w:val="en-US" w:eastAsia="zh-CN" w:bidi="ar-SA"/>
    </w:rPr>
  </w:style>
  <w:style w:type="character" w:styleId="14">
    <w:name w:val="Strong"/>
    <w:basedOn w:val="13"/>
    <w:qFormat/>
    <w:uiPriority w:val="0"/>
    <w:rPr>
      <w:b/>
      <w:bCs/>
    </w:rPr>
  </w:style>
  <w:style w:type="character" w:styleId="15">
    <w:name w:val="FollowedHyperlink"/>
    <w:basedOn w:val="13"/>
    <w:uiPriority w:val="0"/>
    <w:rPr>
      <w:color w:val="4D7AD8"/>
      <w:u w:val="none"/>
    </w:rPr>
  </w:style>
  <w:style w:type="character" w:styleId="16">
    <w:name w:val="HTML Definition"/>
    <w:basedOn w:val="13"/>
    <w:qFormat/>
    <w:uiPriority w:val="0"/>
    <w:rPr>
      <w:i/>
      <w:iCs/>
      <w:color w:val="000000"/>
      <w:sz w:val="18"/>
      <w:szCs w:val="18"/>
    </w:rPr>
  </w:style>
  <w:style w:type="character" w:styleId="17">
    <w:name w:val="Hyperlink"/>
    <w:basedOn w:val="13"/>
    <w:uiPriority w:val="0"/>
    <w:rPr>
      <w:color w:val="4D7AD8"/>
      <w:u w:val="none"/>
    </w:rPr>
  </w:style>
  <w:style w:type="character" w:styleId="18">
    <w:name w:val="HTML Code"/>
    <w:basedOn w:val="13"/>
    <w:uiPriority w:val="0"/>
    <w:rPr>
      <w:rFonts w:ascii="Consolas" w:hAnsi="Consolas" w:eastAsia="Consolas" w:cs="Consolas"/>
      <w:sz w:val="21"/>
      <w:szCs w:val="21"/>
    </w:rPr>
  </w:style>
  <w:style w:type="character" w:styleId="19">
    <w:name w:val="HTML Keyboard"/>
    <w:basedOn w:val="13"/>
    <w:qFormat/>
    <w:uiPriority w:val="0"/>
    <w:rPr>
      <w:rFonts w:hint="default" w:ascii="Consolas" w:hAnsi="Consolas" w:eastAsia="Consolas" w:cs="Consolas"/>
      <w:sz w:val="21"/>
      <w:szCs w:val="21"/>
    </w:rPr>
  </w:style>
  <w:style w:type="character" w:styleId="20">
    <w:name w:val="HTML Sample"/>
    <w:basedOn w:val="13"/>
    <w:qFormat/>
    <w:uiPriority w:val="0"/>
    <w:rPr>
      <w:rFonts w:hint="default" w:ascii="Consolas" w:hAnsi="Consolas" w:eastAsia="Consolas" w:cs="Consolas"/>
      <w:sz w:val="21"/>
      <w:szCs w:val="21"/>
    </w:rPr>
  </w:style>
  <w:style w:type="table" w:customStyle="1" w:styleId="21">
    <w:name w:val="Table Normal"/>
    <w:semiHidden/>
    <w:unhideWhenUsed/>
    <w:qFormat/>
    <w:uiPriority w:val="2"/>
    <w:tblPr>
      <w:tblCellMar>
        <w:top w:w="0" w:type="dxa"/>
        <w:left w:w="0" w:type="dxa"/>
        <w:bottom w:w="0" w:type="dxa"/>
        <w:right w:w="0" w:type="dxa"/>
      </w:tblCellMar>
    </w:tblPr>
  </w:style>
  <w:style w:type="paragraph" w:styleId="22">
    <w:name w:val="List Paragraph"/>
    <w:basedOn w:val="1"/>
    <w:qFormat/>
    <w:uiPriority w:val="1"/>
    <w:pPr>
      <w:ind w:left="218" w:firstLine="420"/>
    </w:pPr>
    <w:rPr>
      <w:rFonts w:ascii="宋体" w:hAnsi="宋体" w:eastAsia="宋体" w:cs="宋体"/>
      <w:lang w:val="en-US" w:eastAsia="zh-CN" w:bidi="ar-SA"/>
    </w:rPr>
  </w:style>
  <w:style w:type="paragraph" w:customStyle="1" w:styleId="23">
    <w:name w:val="Table Paragraph"/>
    <w:basedOn w:val="1"/>
    <w:qFormat/>
    <w:uiPriority w:val="1"/>
    <w:rPr>
      <w:rFonts w:ascii="宋体" w:hAnsi="宋体" w:eastAsia="宋体" w:cs="宋体"/>
      <w:lang w:val="en-US" w:eastAsia="zh-CN" w:bidi="ar-SA"/>
    </w:rPr>
  </w:style>
  <w:style w:type="character" w:customStyle="1" w:styleId="24">
    <w:name w:val="ant-tree-checkbox8"/>
    <w:basedOn w:val="13"/>
    <w:qFormat/>
    <w:uiPriority w:val="0"/>
  </w:style>
  <w:style w:type="character" w:customStyle="1" w:styleId="25">
    <w:name w:val="wea-dropdown-triangle2"/>
    <w:basedOn w:val="13"/>
    <w:qFormat/>
    <w:uiPriority w:val="0"/>
  </w:style>
  <w:style w:type="character" w:customStyle="1" w:styleId="26">
    <w:name w:val="wea-thumbnails-doc-content-subtitle"/>
    <w:basedOn w:val="13"/>
    <w:qFormat/>
    <w:uiPriority w:val="0"/>
    <w:rPr>
      <w:color w:val="9A9A9A"/>
    </w:rPr>
  </w:style>
  <w:style w:type="character" w:customStyle="1" w:styleId="27">
    <w:name w:val="ant-tree-iconele"/>
    <w:basedOn w:val="13"/>
    <w:uiPriority w:val="0"/>
  </w:style>
  <w:style w:type="character" w:customStyle="1" w:styleId="28">
    <w:name w:val="cke_colorbox"/>
    <w:basedOn w:val="13"/>
    <w:qFormat/>
    <w:uiPriority w:val="0"/>
  </w:style>
  <w:style w:type="character" w:customStyle="1" w:styleId="29">
    <w:name w:val="cke_colorbox1"/>
    <w:basedOn w:val="13"/>
    <w:qFormat/>
    <w:uiPriority w:val="0"/>
    <w:rPr>
      <w:bdr w:val="single" w:color="808080" w:sz="6" w:space="0"/>
    </w:rPr>
  </w:style>
  <w:style w:type="character" w:customStyle="1" w:styleId="30">
    <w:name w:val="cke_colorbox2"/>
    <w:basedOn w:val="13"/>
    <w:qFormat/>
    <w:uiPriority w:val="0"/>
  </w:style>
  <w:style w:type="character" w:customStyle="1" w:styleId="31">
    <w:name w:val="cke_colorbox3"/>
    <w:basedOn w:val="13"/>
    <w:uiPriority w:val="0"/>
  </w:style>
  <w:style w:type="character" w:customStyle="1" w:styleId="32">
    <w:name w:val="ant-table-row-expand-icon"/>
    <w:basedOn w:val="13"/>
    <w:uiPriority w:val="0"/>
    <w:rPr>
      <w:vanish/>
    </w:rPr>
  </w:style>
  <w:style w:type="character" w:customStyle="1" w:styleId="33">
    <w:name w:val="ant-tree-switcher10"/>
    <w:basedOn w:val="13"/>
    <w:qFormat/>
    <w:uiPriority w:val="0"/>
  </w:style>
  <w:style w:type="character" w:customStyle="1" w:styleId="34">
    <w:name w:val="ant-select-tree-checkbox"/>
    <w:basedOn w:val="13"/>
    <w:qFormat/>
    <w:uiPriority w:val="0"/>
  </w:style>
  <w:style w:type="character" w:customStyle="1" w:styleId="35">
    <w:name w:val="current-node"/>
    <w:basedOn w:val="13"/>
    <w:uiPriority w:val="0"/>
    <w:rPr>
      <w:bdr w:val="single" w:color="F5B87B" w:sz="6" w:space="0"/>
      <w:shd w:val="clear" w:fill="FFE8CC"/>
    </w:rPr>
  </w:style>
  <w:style w:type="character" w:customStyle="1" w:styleId="36">
    <w:name w:val="passed-node"/>
    <w:basedOn w:val="13"/>
    <w:uiPriority w:val="0"/>
    <w:rPr>
      <w:bdr w:val="single" w:color="49A8D4" w:sz="6" w:space="0"/>
      <w:shd w:val="clear" w:fill="A9E3FF"/>
    </w:rPr>
  </w:style>
  <w:style w:type="character" w:customStyle="1" w:styleId="37">
    <w:name w:val="not-pass-node"/>
    <w:basedOn w:val="13"/>
    <w:qFormat/>
    <w:uiPriority w:val="0"/>
    <w:rPr>
      <w:bdr w:val="single" w:color="5ABD6B" w:sz="6" w:space="0"/>
      <w:shd w:val="clear" w:fill="BFF3C3"/>
    </w:rPr>
  </w:style>
  <w:style w:type="character" w:customStyle="1" w:styleId="38">
    <w:name w:val="first-of-type"/>
    <w:basedOn w:val="13"/>
    <w:qFormat/>
    <w:uiPriority w:val="0"/>
    <w:rPr>
      <w:color w:val="FF0000"/>
    </w:rPr>
  </w:style>
  <w:style w:type="character" w:customStyle="1" w:styleId="39">
    <w:name w:val="first-of-type1"/>
    <w:basedOn w:val="13"/>
    <w:qFormat/>
    <w:uiPriority w:val="0"/>
    <w:rPr>
      <w:color w:val="FF0000"/>
    </w:rPr>
  </w:style>
  <w:style w:type="character" w:customStyle="1" w:styleId="40">
    <w:name w:val="first-of-type2"/>
    <w:basedOn w:val="13"/>
    <w:qFormat/>
    <w:uiPriority w:val="0"/>
    <w:rPr>
      <w:color w:val="FF0000"/>
    </w:rPr>
  </w:style>
  <w:style w:type="character" w:customStyle="1" w:styleId="41">
    <w:name w:val="ant-radio+*"/>
    <w:basedOn w:val="13"/>
    <w:uiPriority w:val="0"/>
  </w:style>
  <w:style w:type="character" w:customStyle="1" w:styleId="42">
    <w:name w:val="ant-select-tree-switcher"/>
    <w:basedOn w:val="13"/>
    <w:uiPriority w:val="0"/>
  </w:style>
  <w:style w:type="character" w:customStyle="1" w:styleId="43">
    <w:name w:val="isrevision"/>
    <w:basedOn w:val="13"/>
    <w:qFormat/>
    <w:uiPriority w:val="0"/>
    <w:rPr>
      <w:color w:val="000000"/>
      <w:sz w:val="18"/>
      <w:szCs w:val="18"/>
      <w:bdr w:val="single" w:color="E9E9E9" w:sz="6" w:space="0"/>
      <w:shd w:val="clear" w:fill="FFFFFF"/>
    </w:rPr>
  </w:style>
  <w:style w:type="character" w:customStyle="1" w:styleId="44">
    <w:name w:val="button"/>
    <w:basedOn w:val="13"/>
    <w:uiPriority w:val="0"/>
  </w:style>
  <w:style w:type="character" w:customStyle="1" w:styleId="45">
    <w:name w:val="button1"/>
    <w:basedOn w:val="13"/>
    <w:uiPriority w:val="0"/>
  </w:style>
  <w:style w:type="character" w:customStyle="1" w:styleId="46">
    <w:name w:val="tmpztreemove_arrow"/>
    <w:basedOn w:val="13"/>
    <w:qFormat/>
    <w:uiPriority w:val="0"/>
  </w:style>
  <w:style w:type="character" w:customStyle="1" w:styleId="47">
    <w:name w:val="disabled4"/>
    <w:basedOn w:val="13"/>
    <w:qFormat/>
    <w:uiPriority w:val="0"/>
    <w:rPr>
      <w:color w:val="AAAAAA"/>
      <w:shd w:val="clear" w:fill="F7F7F7"/>
    </w:rPr>
  </w:style>
  <w:style w:type="character" w:customStyle="1" w:styleId="48">
    <w:name w:val="auto-pass-node"/>
    <w:basedOn w:val="13"/>
    <w:uiPriority w:val="0"/>
    <w:rPr>
      <w:bdr w:val="single" w:color="DC4446" w:sz="6" w:space="0"/>
      <w:shd w:val="clear" w:fill="A9E2FF"/>
    </w:rPr>
  </w:style>
  <w:style w:type="character" w:customStyle="1" w:styleId="49">
    <w:name w:val="ant-select-tree-iconele"/>
    <w:basedOn w:val="13"/>
    <w:uiPriority w:val="0"/>
  </w:style>
  <w:style w:type="character" w:customStyle="1" w:styleId="50">
    <w:name w:val="cke_notification_progress"/>
    <w:basedOn w:val="13"/>
    <w:qFormat/>
    <w:uiPriority w:val="0"/>
    <w:rPr>
      <w:shd w:val="clear" w:fill="0F74A8"/>
    </w:rPr>
  </w:style>
  <w:style w:type="character" w:customStyle="1" w:styleId="51">
    <w:name w:val="cke_path_empty"/>
    <w:basedOn w:val="13"/>
    <w:uiPriority w:val="0"/>
    <w:rPr>
      <w:b/>
      <w:bCs/>
      <w:color w:val="484848"/>
      <w:sz w:val="16"/>
      <w:szCs w:val="16"/>
      <w:u w:val="none"/>
    </w:rPr>
  </w:style>
  <w:style w:type="character" w:customStyle="1" w:styleId="52">
    <w:name w:val="hover37"/>
    <w:basedOn w:val="13"/>
    <w:uiPriority w:val="0"/>
    <w:rPr>
      <w:color w:val="009DFF"/>
    </w:rPr>
  </w:style>
  <w:style w:type="character" w:customStyle="1" w:styleId="53">
    <w:name w:val="hover38"/>
    <w:basedOn w:val="13"/>
    <w:qFormat/>
    <w:uiPriority w:val="0"/>
    <w:rPr>
      <w:color w:val="009DFF"/>
    </w:rPr>
  </w:style>
  <w:style w:type="character" w:customStyle="1" w:styleId="54">
    <w:name w:val="cke_dialog_ui_button1"/>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0" Type="http://schemas.openxmlformats.org/officeDocument/2006/relationships/fontTable" Target="fontTable.xml"/><Relationship Id="rId5" Type="http://schemas.openxmlformats.org/officeDocument/2006/relationships/footer" Target="footer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theme" Target="theme/theme1.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2021-12-09T02:38:00Z</dcterms:created>
  <dc:creator>政府采购中心</dc:creator>
  <cp:lastModifiedBy>Administrator</cp:lastModifiedBy>
  <dcterms:modified xsi:type="dcterms:W3CDTF">2021-12-10T01:26:19Z</dcterms:modified>
  <dc:title>江苏卫生信息系统业务软件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2021-12-08T00:00:00Z</vt:filetime>
  </property>
  <property fmtid="{D5CDD505-2E9C-101B-9397-08002B2CF9AE}" pid="3" name="Creator">
    <vt:lpwstr>Microsoft® Word 适用于 Microsoft 365</vt:lpwstr>
  </property>
  <property fmtid="{D5CDD505-2E9C-101B-9397-08002B2CF9AE}" pid="4" name="LastSaved">
    <vt:filetime>2021-12-09T00:00:00Z</vt:filetime>
  </property>
  <property fmtid="{D5CDD505-2E9C-101B-9397-08002B2CF9AE}" pid="5" name="KSOProductBuildVer">
    <vt:lpwstr>2052-11.1.0.11115</vt:lpwstr>
  </property>
  <property fmtid="{D5CDD505-2E9C-101B-9397-08002B2CF9AE}" pid="6" name="ICV">
    <vt:lpwstr>FB5BEFBCEB574431B020F0C4424C494A</vt:lpwstr>
  </property>
</Properties>
</file>