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44"/>
          <w:szCs w:val="44"/>
          <w:highlight w:val="none"/>
        </w:rPr>
      </w:pPr>
      <w:bookmarkStart w:id="11" w:name="_GoBack"/>
      <w:bookmarkStart w:id="0" w:name="OLE_LINK2"/>
      <w:bookmarkStart w:id="1" w:name="OLE_LINK1"/>
      <w:r>
        <w:rPr>
          <w:b/>
          <w:color w:val="auto"/>
          <w:sz w:val="44"/>
          <w:szCs w:val="44"/>
          <w:highlight w:val="none"/>
        </w:rPr>
        <w:t>南京信息工程大学</w:t>
      </w:r>
      <w:bookmarkEnd w:id="0"/>
      <w:bookmarkEnd w:id="1"/>
      <w:r>
        <w:rPr>
          <w:rFonts w:hint="eastAsia"/>
          <w:b/>
          <w:color w:val="auto"/>
          <w:sz w:val="44"/>
          <w:szCs w:val="44"/>
          <w:highlight w:val="none"/>
        </w:rPr>
        <w:t>总有机碳总氮分析仪</w:t>
      </w:r>
      <w:r>
        <w:rPr>
          <w:rFonts w:hint="eastAsia"/>
          <w:b/>
          <w:color w:val="auto"/>
          <w:sz w:val="44"/>
          <w:szCs w:val="44"/>
          <w:highlight w:val="none"/>
        </w:rPr>
        <w:t>采</w:t>
      </w:r>
      <w:r>
        <w:rPr>
          <w:rFonts w:hint="eastAsia" w:ascii="宋体" w:hAnsi="宋体"/>
          <w:b/>
          <w:color w:val="auto"/>
          <w:sz w:val="44"/>
          <w:szCs w:val="44"/>
          <w:highlight w:val="none"/>
        </w:rPr>
        <w:t>购</w:t>
      </w:r>
      <w:r>
        <w:rPr>
          <w:rFonts w:hint="eastAsia"/>
          <w:b/>
          <w:color w:val="auto"/>
          <w:sz w:val="44"/>
          <w:szCs w:val="44"/>
          <w:highlight w:val="none"/>
        </w:rPr>
        <w:t>项目</w:t>
      </w:r>
    </w:p>
    <w:p>
      <w:pPr>
        <w:jc w:val="center"/>
        <w:rPr>
          <w:b/>
          <w:color w:val="auto"/>
          <w:sz w:val="44"/>
          <w:szCs w:val="44"/>
          <w:highlight w:val="none"/>
        </w:rPr>
      </w:pPr>
      <w:r>
        <w:rPr>
          <w:b/>
          <w:color w:val="auto"/>
          <w:sz w:val="44"/>
          <w:szCs w:val="44"/>
          <w:highlight w:val="none"/>
        </w:rPr>
        <w:t>招标文件</w:t>
      </w:r>
    </w:p>
    <w:p>
      <w:pPr>
        <w:pStyle w:val="9"/>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w:t>
      </w:r>
      <w:r>
        <w:rPr>
          <w:rFonts w:hint="eastAsia" w:ascii="宋体" w:hAnsi="宋体" w:cs="仿宋"/>
          <w:color w:val="auto"/>
          <w:sz w:val="28"/>
          <w:szCs w:val="28"/>
          <w:highlight w:val="none"/>
          <w:u w:val="single"/>
        </w:rPr>
        <w:t>招标编号：JZCG-2022-00151</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w:t>
      </w:r>
      <w:r>
        <w:rPr>
          <w:rFonts w:hint="eastAsia" w:ascii="宋体" w:hAnsi="宋体" w:cs="仿宋"/>
          <w:color w:val="auto"/>
          <w:sz w:val="28"/>
          <w:szCs w:val="28"/>
          <w:highlight w:val="none"/>
          <w:u w:val="single"/>
          <w:lang w:val="en-US" w:eastAsia="zh-CN"/>
        </w:rPr>
        <w:t>3</w:t>
      </w:r>
      <w:r>
        <w:rPr>
          <w:rFonts w:hint="eastAsia" w:ascii="宋体" w:hAnsi="宋体" w:cs="仿宋"/>
          <w:color w:val="auto"/>
          <w:sz w:val="28"/>
          <w:szCs w:val="28"/>
          <w:highlight w:val="none"/>
          <w:u w:val="single"/>
        </w:rPr>
        <w:t>年0</w:t>
      </w:r>
      <w:r>
        <w:rPr>
          <w:rFonts w:hint="eastAsia" w:ascii="宋体" w:hAnsi="宋体" w:cs="仿宋"/>
          <w:color w:val="auto"/>
          <w:sz w:val="28"/>
          <w:szCs w:val="28"/>
          <w:highlight w:val="none"/>
          <w:u w:val="single"/>
          <w:lang w:val="en-US" w:eastAsia="zh-CN"/>
        </w:rPr>
        <w:t>1</w:t>
      </w:r>
      <w:r>
        <w:rPr>
          <w:rFonts w:hint="eastAsia" w:ascii="宋体" w:hAnsi="宋体" w:cs="仿宋"/>
          <w:color w:val="auto"/>
          <w:sz w:val="28"/>
          <w:szCs w:val="28"/>
          <w:highlight w:val="none"/>
          <w:u w:val="single"/>
        </w:rPr>
        <w:t>月</w:t>
      </w:r>
      <w:r>
        <w:rPr>
          <w:rFonts w:hint="eastAsia" w:ascii="宋体" w:hAnsi="宋体" w:cs="仿宋"/>
          <w:color w:val="auto"/>
          <w:sz w:val="28"/>
          <w:szCs w:val="28"/>
          <w:highlight w:val="none"/>
          <w:u w:val="single"/>
          <w:lang w:val="en-US" w:eastAsia="zh-CN"/>
        </w:rPr>
        <w:t>20</w:t>
      </w:r>
      <w:r>
        <w:rPr>
          <w:rFonts w:hint="eastAsia" w:ascii="宋体" w:hAnsi="宋体" w:cs="仿宋"/>
          <w:color w:val="auto"/>
          <w:sz w:val="28"/>
          <w:szCs w:val="28"/>
          <w:highlight w:val="none"/>
          <w:u w:val="single"/>
        </w:rPr>
        <w:t>日1</w:t>
      </w:r>
      <w:r>
        <w:rPr>
          <w:rFonts w:hint="eastAsia" w:ascii="宋体" w:hAnsi="宋体" w:cs="仿宋"/>
          <w:color w:val="auto"/>
          <w:sz w:val="28"/>
          <w:szCs w:val="28"/>
          <w:highlight w:val="none"/>
          <w:u w:val="single"/>
          <w:lang w:val="en-US" w:eastAsia="zh-CN"/>
        </w:rPr>
        <w:t>2</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w:t>
      </w:r>
      <w:r>
        <w:rPr>
          <w:rFonts w:ascii="宋体" w:hAnsi="宋体"/>
          <w:color w:val="auto"/>
          <w:sz w:val="28"/>
          <w:szCs w:val="28"/>
          <w:highlight w:val="none"/>
        </w:rPr>
        <w:t>实验室与设备管理处</w:t>
      </w:r>
      <w:r>
        <w:rPr>
          <w:rFonts w:ascii="宋体" w:hAnsi="宋体"/>
          <w:color w:val="auto"/>
          <w:sz w:val="28"/>
          <w:szCs w:val="28"/>
          <w:highlight w:val="none"/>
        </w:rPr>
        <w:t>委托，就</w:t>
      </w:r>
      <w:r>
        <w:rPr>
          <w:rFonts w:hint="eastAsia" w:ascii="宋体" w:hAnsi="宋体"/>
          <w:color w:val="auto"/>
          <w:sz w:val="28"/>
          <w:szCs w:val="28"/>
          <w:highlight w:val="none"/>
        </w:rPr>
        <w:t>应用气象学院</w:t>
      </w:r>
      <w:r>
        <w:rPr>
          <w:rFonts w:hint="eastAsia" w:ascii="宋体" w:hAnsi="宋体"/>
          <w:color w:val="auto"/>
          <w:sz w:val="28"/>
          <w:szCs w:val="28"/>
          <w:highlight w:val="none"/>
        </w:rPr>
        <w:t>总有机碳总氮分析仪</w:t>
      </w:r>
      <w:r>
        <w:rPr>
          <w:rFonts w:hint="eastAsia" w:ascii="宋体" w:hAnsi="宋体"/>
          <w:color w:val="auto"/>
          <w:sz w:val="28"/>
          <w:szCs w:val="28"/>
          <w:highlight w:val="none"/>
        </w:rPr>
        <w:t>采购</w:t>
      </w:r>
      <w:r>
        <w:rPr>
          <w:rFonts w:hint="eastAsia" w:ascii="宋体" w:hAnsi="宋体"/>
          <w:color w:val="auto"/>
          <w:sz w:val="28"/>
          <w:szCs w:val="28"/>
          <w:highlight w:val="none"/>
        </w:rPr>
        <w:t>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3"/>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3"/>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kern w:val="2"/>
          <w:sz w:val="28"/>
          <w:szCs w:val="28"/>
          <w:highlight w:val="none"/>
        </w:rPr>
        <w:t>总</w:t>
      </w:r>
      <w:r>
        <w:rPr>
          <w:rFonts w:hint="eastAsia" w:ascii="宋体" w:hAnsi="宋体"/>
          <w:color w:val="auto"/>
          <w:sz w:val="28"/>
          <w:szCs w:val="28"/>
          <w:highlight w:val="none"/>
        </w:rPr>
        <w:t>有机碳总氮分析仪</w:t>
      </w:r>
      <w:r>
        <w:rPr>
          <w:rFonts w:hint="eastAsia" w:ascii="宋体" w:hAnsi="宋体"/>
          <w:color w:val="auto"/>
          <w:sz w:val="28"/>
          <w:szCs w:val="28"/>
          <w:highlight w:val="none"/>
        </w:rPr>
        <w:t>采购项目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u w:val="single"/>
        </w:rPr>
        <w:t>zbc.nuist.edu.cn</w:t>
      </w:r>
      <w:r>
        <w:rPr>
          <w:rFonts w:ascii="宋体" w:hAnsi="宋体"/>
          <w:b/>
          <w:color w:val="auto"/>
          <w:sz w:val="24"/>
          <w:szCs w:val="28"/>
          <w:highlight w:val="none"/>
          <w:u w:val="singl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.招标文件由我校采购人、项目归口管理部门和招标办联合起草；经学校相关职能部门会审通过形成正式招标文件。同时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5.正式的答疑回复文件也按上述方式处理留存。</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6.投标有效期：自开标之日起90天内投标有效。</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8.本项目拒绝下述供应商参加本次采购活动的情形：</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color w:val="auto"/>
          <w:sz w:val="28"/>
          <w:szCs w:val="28"/>
          <w:highlight w:val="none"/>
        </w:rPr>
      </w:pPr>
      <w:r>
        <w:rPr>
          <w:rFonts w:hint="eastAsia" w:ascii="宋体" w:hAnsi="宋体" w:cs="宋体"/>
          <w:bCs/>
          <w:color w:val="auto"/>
          <w:sz w:val="28"/>
          <w:szCs w:val="28"/>
          <w:highlight w:val="none"/>
        </w:rPr>
        <w:t>（3）供应商被“信用中国”网站（www.creditchina.gov.cn）、“中国政府采</w:t>
      </w:r>
      <w:r>
        <w:rPr>
          <w:rFonts w:hint="eastAsia" w:ascii="宋体" w:hAnsi="宋体" w:cs="宋体"/>
          <w:color w:val="auto"/>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9.本项目不接受联合体投标。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六、本项目预算价为</w:t>
      </w:r>
      <w:r>
        <w:rPr>
          <w:rFonts w:hint="eastAsia" w:ascii="宋体" w:hAnsi="宋体" w:cs="宋体"/>
          <w:color w:val="auto"/>
          <w:sz w:val="28"/>
          <w:szCs w:val="28"/>
          <w:highlight w:val="none"/>
        </w:rPr>
        <w:t>2</w:t>
      </w:r>
      <w:r>
        <w:rPr>
          <w:rFonts w:ascii="宋体" w:hAnsi="宋体" w:cs="宋体"/>
          <w:color w:val="auto"/>
          <w:sz w:val="28"/>
          <w:szCs w:val="28"/>
          <w:highlight w:val="none"/>
        </w:rPr>
        <w:t>9.9</w:t>
      </w:r>
      <w:r>
        <w:rPr>
          <w:rFonts w:hint="eastAsia" w:ascii="宋体" w:hAnsi="宋体" w:cs="宋体"/>
          <w:color w:val="auto"/>
          <w:sz w:val="28"/>
          <w:szCs w:val="28"/>
          <w:highlight w:val="none"/>
          <w:lang w:val="en-US" w:eastAsia="zh-CN"/>
        </w:rPr>
        <w:t>0</w:t>
      </w:r>
      <w:r>
        <w:rPr>
          <w:rFonts w:hint="eastAsia" w:ascii="宋体" w:hAnsi="宋体" w:cs="宋体"/>
          <w:color w:val="auto"/>
          <w:sz w:val="28"/>
          <w:szCs w:val="28"/>
          <w:highlight w:val="none"/>
        </w:rPr>
        <w:t>万元，本项目只接受人民币报价。</w:t>
      </w:r>
    </w:p>
    <w:p>
      <w:pPr>
        <w:widowControl/>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七、本项目接受进口产品投标。</w:t>
      </w:r>
    </w:p>
    <w:p>
      <w:pPr>
        <w:widowControl/>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进口货物的外贸代理公司由投标人（中标人）在我校确定的三家外贸代理公司中自行选择，代理费由投标人与所选外贸公司协商确定并含在报价中。我校协助办理入关、免税等相关证明材料手续。</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6"/>
        <w:gridCol w:w="1330"/>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w:t>
            </w:r>
          </w:p>
        </w:tc>
        <w:tc>
          <w:tcPr>
            <w:tcW w:w="638"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联系人</w:t>
            </w:r>
          </w:p>
        </w:tc>
        <w:tc>
          <w:tcPr>
            <w:tcW w:w="2090"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赛尔网络有限公司</w:t>
            </w:r>
          </w:p>
        </w:tc>
        <w:tc>
          <w:tcPr>
            <w:tcW w:w="638"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黄经理</w:t>
            </w:r>
          </w:p>
        </w:tc>
        <w:tc>
          <w:tcPr>
            <w:tcW w:w="2090"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025-84526113；18001581469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江苏苏美达仪器设备有限公司</w:t>
            </w:r>
          </w:p>
        </w:tc>
        <w:tc>
          <w:tcPr>
            <w:tcW w:w="638"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李经理</w:t>
            </w:r>
          </w:p>
        </w:tc>
        <w:tc>
          <w:tcPr>
            <w:tcW w:w="2090" w:type="pct"/>
          </w:tcPr>
          <w:p>
            <w:pPr>
              <w:widowControl/>
              <w:spacing w:line="440" w:lineRule="exact"/>
              <w:rPr>
                <w:rFonts w:ascii="宋体" w:hAnsi="宋体" w:cs="宋体"/>
                <w:color w:val="auto"/>
                <w:sz w:val="28"/>
                <w:szCs w:val="28"/>
                <w:highlight w:val="none"/>
              </w:rPr>
            </w:pPr>
            <w:r>
              <w:rPr>
                <w:rFonts w:ascii="宋体" w:hAnsi="宋体" w:cs="宋体"/>
                <w:color w:val="auto"/>
                <w:sz w:val="28"/>
                <w:szCs w:val="28"/>
                <w:highlight w:val="none"/>
              </w:rPr>
              <w:t>025-84532531</w:t>
            </w:r>
            <w:r>
              <w:rPr>
                <w:rFonts w:hint="eastAsia" w:ascii="宋体" w:hAnsi="宋体" w:cs="宋体"/>
                <w:color w:val="auto"/>
                <w:sz w:val="28"/>
                <w:szCs w:val="28"/>
                <w:highlight w:val="none"/>
              </w:rPr>
              <w:t>；13505170009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江苏海外集团国际技术工程有限公司</w:t>
            </w:r>
          </w:p>
        </w:tc>
        <w:tc>
          <w:tcPr>
            <w:tcW w:w="638"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方经理</w:t>
            </w:r>
          </w:p>
        </w:tc>
        <w:tc>
          <w:tcPr>
            <w:tcW w:w="2090" w:type="pct"/>
          </w:tcPr>
          <w:p>
            <w:pPr>
              <w:widowControl/>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025-84795955；15996350251</w:t>
            </w:r>
          </w:p>
        </w:tc>
      </w:tr>
    </w:tbl>
    <w:p>
      <w:pPr>
        <w:pStyle w:val="5"/>
        <w:rPr>
          <w:color w:val="auto"/>
          <w:highlight w:val="none"/>
        </w:rPr>
      </w:pP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napToGrid w:val="0"/>
        <w:spacing w:line="538" w:lineRule="exact"/>
        <w:ind w:firstLine="560" w:firstLineChars="200"/>
        <w:rPr>
          <w:rFonts w:ascii="宋体" w:hAnsi="宋体" w:cs="宋体"/>
          <w:bCs/>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w:t>
      </w:r>
      <w:r>
        <w:rPr>
          <w:rFonts w:hint="eastAsia" w:ascii="宋体" w:hAnsi="宋体" w:cs="宋体"/>
          <w:bCs/>
          <w:color w:val="auto"/>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hint="eastAsia" w:ascii="宋体" w:hAnsi="宋体" w:cs="宋体"/>
          <w:b/>
          <w:color w:val="auto"/>
          <w:sz w:val="28"/>
          <w:szCs w:val="28"/>
          <w:highlight w:val="none"/>
        </w:rPr>
        <w:t>JZCG-2022-00151资料费</w:t>
      </w:r>
      <w:r>
        <w:rPr>
          <w:rFonts w:hint="eastAsia" w:ascii="宋体" w:hAnsi="宋体" w:cs="宋体"/>
          <w:b/>
          <w:color w:val="auto"/>
          <w:sz w:val="28"/>
          <w:szCs w:val="28"/>
          <w:highlight w:val="none"/>
        </w:rPr>
        <w:t>”</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个工作日内，中标单位须及时缴纳中标价的</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hint="eastAsia" w:ascii="宋体" w:hAnsi="宋体" w:cs="宋体"/>
          <w:color w:val="auto"/>
          <w:sz w:val="28"/>
          <w:szCs w:val="28"/>
          <w:highlight w:val="none"/>
        </w:rPr>
        <w:t>作为履约保证金并前来我校领取《中标通知书》（一式二份）。服务完成，验收合格无息返还。</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6"/>
        <w:rPr>
          <w:color w:val="auto"/>
          <w:highlight w:val="none"/>
        </w:rPr>
      </w:pPr>
      <w:r>
        <w:rPr>
          <w:rFonts w:hint="eastAsia" w:ascii="宋体" w:hAnsi="宋体" w:cs="宋体"/>
          <w:color w:val="auto"/>
          <w:sz w:val="28"/>
          <w:szCs w:val="28"/>
          <w:highlight w:val="none"/>
        </w:rPr>
        <w:t>（3）附件6合同仅为参考样本，最终以通过我校审核后签署的合同为准。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针对国内供应货物，乙方提供全额“增值税专用发票”，凭甲方最终签字和盖章的验收合格报告支付至合同金额95%，剩余金额在质保期满后无质量问题一次付清。具体内容以最终签署的合同约定为准。</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。请各投标人务必在转账留言栏备注填写</w:t>
      </w:r>
      <w:r>
        <w:rPr>
          <w:rFonts w:hint="eastAsia" w:ascii="宋体" w:hAnsi="宋体" w:cs="宋体"/>
          <w:b/>
          <w:color w:val="auto"/>
          <w:sz w:val="28"/>
          <w:szCs w:val="28"/>
          <w:highlight w:val="none"/>
        </w:rPr>
        <w:t>“</w:t>
      </w:r>
      <w:r>
        <w:rPr>
          <w:rFonts w:hint="eastAsia" w:ascii="宋体" w:hAnsi="宋体" w:cs="宋体"/>
          <w:b/>
          <w:color w:val="auto"/>
          <w:sz w:val="28"/>
          <w:szCs w:val="28"/>
          <w:highlight w:val="none"/>
        </w:rPr>
        <w:t>JZCG-2022-00151资料费</w:t>
      </w:r>
      <w:r>
        <w:rPr>
          <w:rFonts w:hint="eastAsia" w:ascii="宋体" w:hAnsi="宋体" w:cs="宋体"/>
          <w:b/>
          <w:color w:val="auto"/>
          <w:sz w:val="28"/>
          <w:szCs w:val="28"/>
          <w:highlight w:val="none"/>
        </w:rPr>
        <w:t>”</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w:t>
      </w:r>
      <w:r>
        <w:rPr>
          <w:rFonts w:hint="eastAsia" w:ascii="宋体" w:hAnsi="宋体" w:cs="宋体"/>
          <w:color w:val="auto"/>
          <w:sz w:val="28"/>
          <w:szCs w:val="28"/>
          <w:highlight w:val="none"/>
        </w:rPr>
        <w:t>中标价</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答疑时间：</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w:t>
      </w:r>
      <w:r>
        <w:rPr>
          <w:rFonts w:hint="eastAsia" w:ascii="宋体" w:hAnsi="宋体"/>
          <w:b/>
          <w:color w:val="auto"/>
          <w:sz w:val="28"/>
          <w:szCs w:val="28"/>
          <w:highlight w:val="none"/>
          <w:u w:val="single"/>
          <w:lang w:val="en-US" w:eastAsia="zh-CN"/>
        </w:rPr>
        <w:t>3</w:t>
      </w:r>
      <w:r>
        <w:rPr>
          <w:rFonts w:hint="eastAsia" w:ascii="宋体" w:hAnsi="宋体"/>
          <w:b/>
          <w:color w:val="auto"/>
          <w:sz w:val="28"/>
          <w:szCs w:val="28"/>
          <w:highlight w:val="none"/>
          <w:u w:val="single"/>
        </w:rPr>
        <w:t>年0</w:t>
      </w:r>
      <w:r>
        <w:rPr>
          <w:rFonts w:hint="eastAsia" w:ascii="宋体" w:hAnsi="宋体"/>
          <w:b/>
          <w:color w:val="auto"/>
          <w:sz w:val="28"/>
          <w:szCs w:val="28"/>
          <w:highlight w:val="none"/>
          <w:u w:val="single"/>
          <w:lang w:val="en-US" w:eastAsia="zh-CN"/>
        </w:rPr>
        <w:t>2</w:t>
      </w:r>
      <w:r>
        <w:rPr>
          <w:rFonts w:hint="eastAsia" w:ascii="宋体" w:hAnsi="宋体"/>
          <w:b/>
          <w:color w:val="auto"/>
          <w:sz w:val="28"/>
          <w:szCs w:val="28"/>
          <w:highlight w:val="none"/>
          <w:u w:val="single"/>
        </w:rPr>
        <w:t>月0</w:t>
      </w:r>
      <w:r>
        <w:rPr>
          <w:rFonts w:hint="eastAsia" w:ascii="宋体" w:hAnsi="宋体"/>
          <w:b/>
          <w:color w:val="auto"/>
          <w:sz w:val="28"/>
          <w:szCs w:val="28"/>
          <w:highlight w:val="none"/>
          <w:u w:val="single"/>
          <w:lang w:val="en-US" w:eastAsia="zh-CN"/>
        </w:rPr>
        <w:t>1</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w:t>
      </w:r>
      <w:r>
        <w:rPr>
          <w:rFonts w:hint="eastAsia" w:ascii="仿宋" w:hAnsi="仿宋" w:eastAsia="仿宋" w:cs="仿宋"/>
          <w:i w:val="0"/>
          <w:iCs w:val="0"/>
          <w:caps w:val="0"/>
          <w:color w:val="auto"/>
          <w:spacing w:val="0"/>
          <w:kern w:val="0"/>
          <w:sz w:val="28"/>
          <w:szCs w:val="28"/>
          <w:highlight w:val="none"/>
          <w:lang w:val="en-US" w:eastAsia="zh-CN" w:bidi="ar"/>
        </w:rPr>
        <w:t>2023年02月14日</w:t>
      </w:r>
      <w:r>
        <w:rPr>
          <w:rFonts w:hint="eastAsia" w:ascii="宋体" w:hAnsi="宋体" w:eastAsia="仿宋"/>
          <w:color w:val="auto"/>
          <w:sz w:val="28"/>
          <w:szCs w:val="28"/>
          <w:highlight w:val="none"/>
          <w:lang w:val="en-US" w:eastAsia="zh-CN"/>
        </w:rPr>
        <w:t>14</w:t>
      </w:r>
      <w:r>
        <w:rPr>
          <w:rFonts w:hint="eastAsia" w:ascii="宋体" w:hAnsi="宋体"/>
          <w:color w:val="auto"/>
          <w:sz w:val="28"/>
          <w:szCs w:val="28"/>
          <w:highlight w:val="none"/>
        </w:rPr>
        <w:t>：00。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招标办。联系人：马老师、罗老师、刘老师；联系电话：025-58731441。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w:t>
      </w:r>
      <w:r>
        <w:rPr>
          <w:rFonts w:hint="eastAsia" w:ascii="仿宋" w:hAnsi="仿宋" w:eastAsia="仿宋" w:cs="仿宋"/>
          <w:i w:val="0"/>
          <w:iCs w:val="0"/>
          <w:caps w:val="0"/>
          <w:color w:val="auto"/>
          <w:spacing w:val="0"/>
          <w:kern w:val="0"/>
          <w:sz w:val="28"/>
          <w:szCs w:val="28"/>
          <w:highlight w:val="none"/>
          <w:lang w:val="en-US" w:eastAsia="zh-CN" w:bidi="ar"/>
        </w:rPr>
        <w:t>2023年02月14日</w:t>
      </w:r>
      <w:r>
        <w:rPr>
          <w:rFonts w:hint="eastAsia" w:ascii="宋体" w:hAnsi="宋体" w:eastAsia="仿宋"/>
          <w:color w:val="auto"/>
          <w:sz w:val="28"/>
          <w:szCs w:val="28"/>
          <w:highlight w:val="none"/>
          <w:lang w:val="en-US" w:eastAsia="zh-CN"/>
        </w:rPr>
        <w:t>14</w:t>
      </w:r>
      <w:r>
        <w:rPr>
          <w:rFonts w:hint="eastAsia" w:ascii="宋体" w:hAnsi="宋体"/>
          <w:color w:val="auto"/>
          <w:sz w:val="28"/>
          <w:szCs w:val="28"/>
          <w:highlight w:val="none"/>
        </w:rPr>
        <w:t>：00</w:t>
      </w:r>
      <w:r>
        <w:rPr>
          <w:rFonts w:hint="eastAsia" w:ascii="宋体" w:hAnsi="宋体"/>
          <w:color w:val="auto"/>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）招标办：联系电话：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，联系人：马老师、罗老师、刘老师；</w:t>
      </w:r>
    </w:p>
    <w:p>
      <w:pPr>
        <w:snapToGrid w:val="0"/>
        <w:spacing w:line="360" w:lineRule="auto"/>
        <w:ind w:firstLine="425" w:firstLineChars="152"/>
        <w:rPr>
          <w:rFonts w:ascii="宋体" w:hAnsi="宋体" w:eastAsia="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w:t>
      </w:r>
      <w:r>
        <w:rPr>
          <w:rFonts w:ascii="宋体" w:hAnsi="宋体" w:eastAsia="宋体"/>
          <w:color w:val="auto"/>
          <w:sz w:val="28"/>
          <w:szCs w:val="28"/>
          <w:highlight w:val="none"/>
        </w:rPr>
        <w:t>13914710299</w:t>
      </w:r>
      <w:r>
        <w:rPr>
          <w:rFonts w:hint="eastAsia" w:ascii="宋体" w:hAnsi="宋体" w:eastAsia="宋体"/>
          <w:color w:val="auto"/>
          <w:sz w:val="28"/>
          <w:szCs w:val="28"/>
          <w:highlight w:val="none"/>
        </w:rPr>
        <w:t>，联系人：</w:t>
      </w:r>
      <w:r>
        <w:rPr>
          <w:rFonts w:hint="eastAsia" w:ascii="宋体" w:hAnsi="宋体" w:eastAsia="宋体"/>
          <w:color w:val="auto"/>
          <w:sz w:val="28"/>
          <w:szCs w:val="28"/>
          <w:highlight w:val="none"/>
          <w:lang w:eastAsia="zh-CN"/>
        </w:rPr>
        <w:t>李</w:t>
      </w:r>
      <w:r>
        <w:rPr>
          <w:rFonts w:hint="eastAsia" w:ascii="宋体" w:hAnsi="宋体" w:eastAsia="宋体"/>
          <w:color w:val="auto"/>
          <w:sz w:val="28"/>
          <w:szCs w:val="28"/>
          <w:highlight w:val="none"/>
        </w:rPr>
        <w:t>老师。</w:t>
      </w:r>
    </w:p>
    <w:p>
      <w:pPr>
        <w:tabs>
          <w:tab w:val="left" w:pos="1260"/>
        </w:tabs>
        <w:spacing w:line="360" w:lineRule="auto"/>
        <w:ind w:left="1959" w:leftChars="933" w:firstLine="4498" w:firstLineChars="16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南京信息工程大学招标办</w:t>
      </w:r>
    </w:p>
    <w:p>
      <w:pPr>
        <w:pStyle w:val="12"/>
        <w:spacing w:line="360" w:lineRule="auto"/>
        <w:ind w:left="99" w:leftChars="47" w:firstLine="7168" w:firstLineChars="2550"/>
        <w:rPr>
          <w:rStyle w:val="40"/>
          <w:rFonts w:ascii="宋体" w:hAnsi="Times New Roman" w:eastAsia="宋体"/>
          <w:color w:val="auto"/>
          <w:sz w:val="28"/>
          <w:szCs w:val="28"/>
          <w:highlight w:val="none"/>
        </w:rPr>
      </w:pPr>
      <w:r>
        <w:rPr>
          <w:rStyle w:val="40"/>
          <w:rFonts w:ascii="宋体" w:hAnsi="宋体" w:eastAsia="宋体"/>
          <w:color w:val="auto"/>
          <w:sz w:val="28"/>
          <w:szCs w:val="28"/>
          <w:highlight w:val="none"/>
        </w:rPr>
        <w:t>20</w:t>
      </w:r>
      <w:r>
        <w:rPr>
          <w:rStyle w:val="40"/>
          <w:rFonts w:hint="eastAsia" w:ascii="宋体" w:hAnsi="宋体" w:eastAsia="宋体"/>
          <w:color w:val="auto"/>
          <w:sz w:val="28"/>
          <w:szCs w:val="28"/>
          <w:highlight w:val="none"/>
        </w:rPr>
        <w:t>2</w:t>
      </w:r>
      <w:r>
        <w:rPr>
          <w:rStyle w:val="40"/>
          <w:rFonts w:hint="eastAsia" w:ascii="宋体" w:hAnsi="宋体"/>
          <w:color w:val="auto"/>
          <w:sz w:val="28"/>
          <w:szCs w:val="28"/>
          <w:highlight w:val="none"/>
          <w:lang w:val="en-US"/>
        </w:rPr>
        <w:t>3</w:t>
      </w:r>
      <w:r>
        <w:rPr>
          <w:rStyle w:val="40"/>
          <w:rFonts w:hint="eastAsia" w:ascii="宋体" w:hAnsi="宋体" w:eastAsia="宋体"/>
          <w:color w:val="auto"/>
          <w:sz w:val="28"/>
          <w:szCs w:val="28"/>
          <w:highlight w:val="none"/>
        </w:rPr>
        <w:t>年</w:t>
      </w:r>
      <w:r>
        <w:rPr>
          <w:rStyle w:val="40"/>
          <w:rFonts w:hint="eastAsia" w:ascii="宋体" w:hAnsi="宋体"/>
          <w:color w:val="auto"/>
          <w:sz w:val="28"/>
          <w:szCs w:val="28"/>
          <w:highlight w:val="none"/>
        </w:rPr>
        <w:t>0</w:t>
      </w:r>
      <w:r>
        <w:rPr>
          <w:rStyle w:val="40"/>
          <w:rFonts w:hint="eastAsia" w:ascii="宋体" w:hAnsi="宋体"/>
          <w:color w:val="auto"/>
          <w:sz w:val="28"/>
          <w:szCs w:val="28"/>
          <w:highlight w:val="none"/>
          <w:lang w:val="en-US"/>
        </w:rPr>
        <w:t>1</w:t>
      </w:r>
      <w:r>
        <w:rPr>
          <w:rStyle w:val="40"/>
          <w:rFonts w:hint="eastAsia" w:ascii="宋体" w:hAnsi="宋体" w:eastAsia="宋体"/>
          <w:color w:val="auto"/>
          <w:sz w:val="28"/>
          <w:szCs w:val="28"/>
          <w:highlight w:val="none"/>
        </w:rPr>
        <w:t>月</w:t>
      </w:r>
      <w:r>
        <w:rPr>
          <w:rStyle w:val="40"/>
          <w:rFonts w:hint="eastAsia" w:ascii="宋体" w:hAnsi="宋体"/>
          <w:color w:val="auto"/>
          <w:sz w:val="28"/>
          <w:szCs w:val="28"/>
          <w:highlight w:val="none"/>
          <w:lang w:val="en-US"/>
        </w:rPr>
        <w:t>20</w:t>
      </w:r>
      <w:r>
        <w:rPr>
          <w:rStyle w:val="40"/>
          <w:rFonts w:hint="eastAsia" w:ascii="宋体" w:hAnsi="宋体" w:eastAsia="宋体"/>
          <w:color w:val="auto"/>
          <w:sz w:val="28"/>
          <w:szCs w:val="28"/>
          <w:highlight w:val="none"/>
        </w:rPr>
        <w:t>日</w:t>
      </w:r>
    </w:p>
    <w:bookmarkEnd w:id="8"/>
    <w:p>
      <w:pPr>
        <w:pStyle w:val="11"/>
        <w:adjustRightInd w:val="0"/>
        <w:snapToGrid w:val="0"/>
        <w:spacing w:before="120" w:after="120" w:line="360" w:lineRule="auto"/>
        <w:rPr>
          <w:rStyle w:val="40"/>
          <w:rFonts w:ascii="宋体" w:hAnsi="宋体" w:eastAsia="宋体"/>
          <w:b w:val="0"/>
          <w:color w:val="auto"/>
          <w:sz w:val="28"/>
          <w:szCs w:val="28"/>
          <w:highlight w:val="none"/>
        </w:rPr>
      </w:pPr>
      <w:r>
        <w:rPr>
          <w:rStyle w:val="40"/>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line="360" w:lineRule="auto"/>
        <w:ind w:left="180"/>
        <w:jc w:val="center"/>
        <w:rPr>
          <w:rFonts w:hAnsi="宋体"/>
          <w:b/>
          <w:color w:val="auto"/>
          <w:sz w:val="28"/>
          <w:szCs w:val="28"/>
          <w:highlight w:val="none"/>
        </w:rPr>
      </w:pPr>
      <w:r>
        <w:rPr>
          <w:rFonts w:hint="eastAsia" w:hAnsi="宋体"/>
          <w:b/>
          <w:color w:val="auto"/>
          <w:sz w:val="28"/>
          <w:szCs w:val="28"/>
          <w:highlight w:val="none"/>
        </w:rPr>
        <w:t>招标项目名称、数量、主要技术要求及其他要求</w:t>
      </w:r>
    </w:p>
    <w:tbl>
      <w:tblPr>
        <w:tblStyle w:val="17"/>
        <w:tblW w:w="5000" w:type="pct"/>
        <w:tblInd w:w="0" w:type="dxa"/>
        <w:tblLayout w:type="autofit"/>
        <w:tblCellMar>
          <w:top w:w="15" w:type="dxa"/>
          <w:left w:w="15" w:type="dxa"/>
          <w:bottom w:w="15" w:type="dxa"/>
          <w:right w:w="15" w:type="dxa"/>
        </w:tblCellMar>
      </w:tblPr>
      <w:tblGrid>
        <w:gridCol w:w="2872"/>
        <w:gridCol w:w="1489"/>
        <w:gridCol w:w="1108"/>
        <w:gridCol w:w="4767"/>
      </w:tblGrid>
      <w:tr>
        <w:tblPrEx>
          <w:tblCellMar>
            <w:top w:w="15" w:type="dxa"/>
            <w:left w:w="15" w:type="dxa"/>
            <w:bottom w:w="15" w:type="dxa"/>
            <w:right w:w="15" w:type="dxa"/>
          </w:tblCellMar>
        </w:tblPrEx>
        <w:tc>
          <w:tcPr>
            <w:tcW w:w="140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仪器设备名称</w:t>
            </w:r>
          </w:p>
        </w:tc>
        <w:tc>
          <w:tcPr>
            <w:tcW w:w="727"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单位</w:t>
            </w:r>
          </w:p>
        </w:tc>
        <w:tc>
          <w:tcPr>
            <w:tcW w:w="541"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数量</w:t>
            </w:r>
          </w:p>
        </w:tc>
        <w:tc>
          <w:tcPr>
            <w:tcW w:w="232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主要配置</w:t>
            </w:r>
            <w:r>
              <w:rPr>
                <w:rFonts w:hint="eastAsia" w:ascii="宋体" w:hAnsi="宋体"/>
                <w:color w:val="auto"/>
                <w:sz w:val="24"/>
                <w:highlight w:val="none"/>
              </w:rPr>
              <w:t>及</w:t>
            </w:r>
            <w:r>
              <w:rPr>
                <w:rFonts w:ascii="宋体" w:hAnsi="宋体"/>
                <w:color w:val="auto"/>
                <w:sz w:val="24"/>
                <w:highlight w:val="none"/>
              </w:rPr>
              <w:t>技术参数</w:t>
            </w:r>
          </w:p>
        </w:tc>
      </w:tr>
      <w:tr>
        <w:tblPrEx>
          <w:tblCellMar>
            <w:top w:w="15" w:type="dxa"/>
            <w:left w:w="15" w:type="dxa"/>
            <w:bottom w:w="15" w:type="dxa"/>
            <w:right w:w="15" w:type="dxa"/>
          </w:tblCellMar>
        </w:tblPrEx>
        <w:tc>
          <w:tcPr>
            <w:tcW w:w="140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Arial" w:hAnsi="Arial" w:cs="Arial"/>
                <w:color w:val="auto"/>
                <w:sz w:val="24"/>
                <w:highlight w:val="none"/>
              </w:rPr>
            </w:pPr>
            <w:r>
              <w:rPr>
                <w:rFonts w:hint="eastAsia" w:ascii="Arial" w:hAnsi="Arial" w:cs="Arial"/>
                <w:color w:val="auto"/>
                <w:sz w:val="24"/>
                <w:highlight w:val="none"/>
              </w:rPr>
              <w:t>总有机碳总氮分析仪</w:t>
            </w:r>
          </w:p>
        </w:tc>
        <w:tc>
          <w:tcPr>
            <w:tcW w:w="727"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hint="eastAsia" w:ascii="宋体" w:hAnsi="宋体"/>
                <w:color w:val="auto"/>
                <w:sz w:val="24"/>
                <w:highlight w:val="none"/>
              </w:rPr>
              <w:t>套</w:t>
            </w:r>
          </w:p>
        </w:tc>
        <w:tc>
          <w:tcPr>
            <w:tcW w:w="541"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1</w:t>
            </w:r>
          </w:p>
        </w:tc>
        <w:tc>
          <w:tcPr>
            <w:tcW w:w="232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详见表后内容</w:t>
            </w:r>
          </w:p>
        </w:tc>
      </w:tr>
    </w:tbl>
    <w:p>
      <w:pPr>
        <w:tabs>
          <w:tab w:val="left" w:pos="851"/>
        </w:tabs>
        <w:spacing w:line="360" w:lineRule="auto"/>
        <w:rPr>
          <w:rFonts w:ascii="宋体" w:hAnsi="宋体" w:cs="Arial"/>
          <w:color w:val="auto"/>
          <w:sz w:val="24"/>
          <w:highlight w:val="none"/>
        </w:rPr>
      </w:pPr>
    </w:p>
    <w:p>
      <w:pPr>
        <w:tabs>
          <w:tab w:val="left" w:pos="851"/>
        </w:tabs>
        <w:spacing w:line="360" w:lineRule="auto"/>
        <w:rPr>
          <w:rFonts w:ascii="宋体" w:hAnsi="宋体" w:cs="Arial"/>
          <w:color w:val="auto"/>
          <w:sz w:val="24"/>
          <w:highlight w:val="none"/>
        </w:rPr>
      </w:pPr>
      <w:r>
        <w:rPr>
          <w:rFonts w:ascii="宋体" w:hAnsi="宋体" w:cs="Arial"/>
          <w:color w:val="auto"/>
          <w:sz w:val="24"/>
          <w:highlight w:val="none"/>
        </w:rPr>
        <w:t>一、工作条件</w:t>
      </w:r>
    </w:p>
    <w:p>
      <w:pPr>
        <w:spacing w:line="360" w:lineRule="auto"/>
        <w:ind w:firstLine="120" w:firstLineChars="50"/>
        <w:outlineLvl w:val="0"/>
        <w:rPr>
          <w:rFonts w:ascii="宋体" w:hAnsi="宋体" w:cs="Arial"/>
          <w:color w:val="auto"/>
          <w:sz w:val="24"/>
          <w:highlight w:val="none"/>
        </w:rPr>
      </w:pPr>
      <w:r>
        <w:rPr>
          <w:rFonts w:ascii="宋体" w:hAnsi="宋体" w:cs="Arial"/>
          <w:color w:val="auto"/>
          <w:sz w:val="24"/>
          <w:highlight w:val="none"/>
        </w:rPr>
        <w:t>1、电源：AC 220V +/- 10%， 50Hz</w:t>
      </w:r>
    </w:p>
    <w:p>
      <w:pPr>
        <w:spacing w:line="360" w:lineRule="auto"/>
        <w:rPr>
          <w:rFonts w:ascii="宋体" w:hAnsi="宋体" w:cs="Arial"/>
          <w:color w:val="auto"/>
          <w:sz w:val="24"/>
          <w:highlight w:val="none"/>
        </w:rPr>
      </w:pPr>
      <w:r>
        <w:rPr>
          <w:rFonts w:ascii="宋体" w:hAnsi="宋体" w:cs="Arial"/>
          <w:color w:val="auto"/>
          <w:sz w:val="24"/>
          <w:highlight w:val="none"/>
        </w:rPr>
        <w:t xml:space="preserve"> 2、环境温度：10-35</w:t>
      </w:r>
      <w:r>
        <w:rPr>
          <w:rFonts w:ascii="宋体" w:hAnsi="宋体" w:cs="Arial"/>
          <w:color w:val="auto"/>
          <w:sz w:val="24"/>
          <w:highlight w:val="none"/>
        </w:rPr>
        <w:sym w:font="Symbol" w:char="00B0"/>
      </w:r>
      <w:r>
        <w:rPr>
          <w:rFonts w:ascii="宋体" w:hAnsi="宋体" w:cs="Arial"/>
          <w:color w:val="auto"/>
          <w:sz w:val="24"/>
          <w:highlight w:val="none"/>
        </w:rPr>
        <w:t>C</w:t>
      </w:r>
    </w:p>
    <w:p>
      <w:pPr>
        <w:spacing w:line="360" w:lineRule="auto"/>
        <w:rPr>
          <w:rFonts w:ascii="宋体" w:hAnsi="宋体" w:cs="Arial"/>
          <w:color w:val="auto"/>
          <w:sz w:val="24"/>
          <w:highlight w:val="none"/>
        </w:rPr>
      </w:pPr>
      <w:r>
        <w:rPr>
          <w:rFonts w:ascii="宋体" w:hAnsi="宋体" w:cs="Arial"/>
          <w:color w:val="auto"/>
          <w:sz w:val="24"/>
          <w:highlight w:val="none"/>
        </w:rPr>
        <w:t xml:space="preserve"> 3、环境湿度：&lt;85%</w:t>
      </w:r>
    </w:p>
    <w:p>
      <w:pPr>
        <w:tabs>
          <w:tab w:val="left" w:pos="851"/>
        </w:tabs>
        <w:spacing w:line="360" w:lineRule="auto"/>
        <w:rPr>
          <w:rFonts w:ascii="宋体" w:hAnsi="宋体" w:cs="Arial"/>
          <w:color w:val="auto"/>
          <w:sz w:val="24"/>
          <w:highlight w:val="none"/>
        </w:rPr>
      </w:pPr>
      <w:r>
        <w:rPr>
          <w:rFonts w:ascii="宋体" w:hAnsi="宋体" w:cs="Arial"/>
          <w:color w:val="auto"/>
          <w:sz w:val="24"/>
          <w:highlight w:val="none"/>
        </w:rPr>
        <w:t>二、技术性能要求</w:t>
      </w:r>
    </w:p>
    <w:p>
      <w:pPr>
        <w:spacing w:line="360" w:lineRule="auto"/>
        <w:ind w:firstLine="480" w:firstLineChars="200"/>
        <w:outlineLvl w:val="0"/>
        <w:rPr>
          <w:rFonts w:ascii="宋体" w:hAnsi="宋体" w:cs="Arial"/>
          <w:color w:val="auto"/>
          <w:sz w:val="24"/>
          <w:highlight w:val="none"/>
        </w:rPr>
      </w:pPr>
      <w:r>
        <w:rPr>
          <w:rFonts w:ascii="宋体" w:hAnsi="宋体" w:cs="Segoe UI Symbol"/>
          <w:color w:val="auto"/>
          <w:sz w:val="24"/>
          <w:highlight w:val="none"/>
        </w:rPr>
        <w:t>★</w:t>
      </w:r>
      <w:r>
        <w:rPr>
          <w:rFonts w:ascii="宋体" w:hAnsi="宋体" w:cs="Arial"/>
          <w:color w:val="auto"/>
          <w:sz w:val="24"/>
          <w:highlight w:val="none"/>
        </w:rPr>
        <w:t>1、该仪器必须能够进行总碳</w:t>
      </w:r>
      <w:r>
        <w:rPr>
          <w:rFonts w:hint="eastAsia" w:ascii="宋体" w:hAnsi="宋体" w:cs="Arial"/>
          <w:color w:val="auto"/>
          <w:sz w:val="24"/>
          <w:highlight w:val="none"/>
        </w:rPr>
        <w:t>（TC）</w:t>
      </w:r>
      <w:r>
        <w:rPr>
          <w:rFonts w:ascii="宋体" w:hAnsi="宋体" w:cs="Arial"/>
          <w:color w:val="auto"/>
          <w:sz w:val="24"/>
          <w:highlight w:val="none"/>
        </w:rPr>
        <w:t>、总有机碳</w:t>
      </w:r>
      <w:r>
        <w:rPr>
          <w:rFonts w:hint="eastAsia" w:ascii="宋体" w:hAnsi="宋体" w:cs="Arial"/>
          <w:color w:val="auto"/>
          <w:sz w:val="24"/>
          <w:highlight w:val="none"/>
        </w:rPr>
        <w:t>（TOC）、总有机碳离子（TOCi）、</w:t>
      </w:r>
      <w:r>
        <w:rPr>
          <w:rFonts w:ascii="宋体" w:hAnsi="宋体" w:cs="Arial"/>
          <w:color w:val="auto"/>
          <w:sz w:val="24"/>
          <w:highlight w:val="none"/>
        </w:rPr>
        <w:t>总无机碳</w:t>
      </w:r>
      <w:r>
        <w:rPr>
          <w:rFonts w:hint="eastAsia" w:ascii="宋体" w:hAnsi="宋体" w:cs="Arial"/>
          <w:color w:val="auto"/>
          <w:sz w:val="24"/>
          <w:highlight w:val="none"/>
        </w:rPr>
        <w:t>（TIC）、挥发性有机碳（POC）和非挥发性有机碳（NPOC）</w:t>
      </w:r>
      <w:r>
        <w:rPr>
          <w:rFonts w:ascii="宋体" w:hAnsi="宋体" w:cs="Arial"/>
          <w:color w:val="auto"/>
          <w:sz w:val="24"/>
          <w:highlight w:val="none"/>
        </w:rPr>
        <w:t>的定量分析，适用于制药用水、超纯水、自来水、地表水、污水、废水、海水、发酵液体等所有水质以及经过前处理的植物、土壤样品分析。</w:t>
      </w:r>
    </w:p>
    <w:p>
      <w:pPr>
        <w:spacing w:line="360" w:lineRule="auto"/>
        <w:ind w:firstLine="480" w:firstLineChars="200"/>
        <w:outlineLvl w:val="0"/>
        <w:rPr>
          <w:rFonts w:ascii="宋体" w:hAnsi="宋体" w:cs="Arial"/>
          <w:color w:val="auto"/>
          <w:sz w:val="24"/>
          <w:highlight w:val="none"/>
        </w:rPr>
      </w:pPr>
      <w:r>
        <w:rPr>
          <w:rFonts w:ascii="宋体" w:hAnsi="宋体" w:cs="Arial"/>
          <w:color w:val="auto"/>
          <w:sz w:val="24"/>
          <w:highlight w:val="none"/>
        </w:rPr>
        <w:t>2、总有机碳分析仪包括下列单元：高温催化燃烧单元、自动进样器、NDIR检测器系统、电子气路控制系统、软件及计算机控制系统。</w:t>
      </w:r>
    </w:p>
    <w:p>
      <w:pPr>
        <w:tabs>
          <w:tab w:val="left" w:pos="360"/>
          <w:tab w:val="left" w:pos="540"/>
          <w:tab w:val="center" w:pos="4153"/>
        </w:tabs>
        <w:spacing w:line="360" w:lineRule="auto"/>
        <w:outlineLvl w:val="0"/>
        <w:rPr>
          <w:rFonts w:ascii="宋体" w:hAnsi="宋体" w:cs="Arial"/>
          <w:color w:val="auto"/>
          <w:sz w:val="24"/>
          <w:highlight w:val="none"/>
        </w:rPr>
      </w:pPr>
      <w:r>
        <w:rPr>
          <w:rFonts w:ascii="宋体" w:hAnsi="宋体" w:cs="Arial"/>
          <w:color w:val="auto"/>
          <w:sz w:val="24"/>
          <w:highlight w:val="none"/>
        </w:rPr>
        <w:t>（一）高温催化燃烧单元</w:t>
      </w:r>
    </w:p>
    <w:p>
      <w:pPr>
        <w:spacing w:line="360" w:lineRule="auto"/>
        <w:rPr>
          <w:rFonts w:ascii="宋体" w:hAnsi="宋体" w:cs="Arial"/>
          <w:color w:val="auto"/>
          <w:sz w:val="24"/>
          <w:highlight w:val="none"/>
        </w:rPr>
      </w:pPr>
      <w:r>
        <w:rPr>
          <w:rFonts w:ascii="宋体" w:hAnsi="宋体" w:cs="Arial"/>
          <w:color w:val="auto"/>
          <w:sz w:val="24"/>
          <w:highlight w:val="none"/>
        </w:rPr>
        <w:t xml:space="preserve">1、最高炉温≥1000 </w:t>
      </w:r>
      <w:r>
        <w:rPr>
          <w:rFonts w:ascii="宋体" w:hAnsi="宋体" w:cs="Cambria Math"/>
          <w:color w:val="auto"/>
          <w:sz w:val="24"/>
          <w:highlight w:val="none"/>
        </w:rPr>
        <w:t>℃</w:t>
      </w:r>
      <w:r>
        <w:rPr>
          <w:rFonts w:ascii="宋体" w:hAnsi="宋体" w:cs="Arial"/>
          <w:color w:val="auto"/>
          <w:sz w:val="24"/>
          <w:highlight w:val="none"/>
        </w:rPr>
        <w:t>；</w:t>
      </w:r>
    </w:p>
    <w:p>
      <w:pPr>
        <w:spacing w:line="360" w:lineRule="auto"/>
        <w:rPr>
          <w:rFonts w:ascii="宋体" w:hAnsi="宋体" w:cs="Arial"/>
          <w:color w:val="auto"/>
          <w:sz w:val="24"/>
          <w:highlight w:val="none"/>
        </w:rPr>
      </w:pPr>
      <w:r>
        <w:rPr>
          <w:rFonts w:ascii="宋体" w:hAnsi="宋体" w:cs="Segoe UI Symbol"/>
          <w:color w:val="auto"/>
          <w:sz w:val="24"/>
          <w:highlight w:val="none"/>
        </w:rPr>
        <w:t>★</w:t>
      </w:r>
      <w:r>
        <w:rPr>
          <w:rFonts w:ascii="宋体" w:hAnsi="宋体" w:cs="Arial"/>
          <w:color w:val="auto"/>
          <w:sz w:val="24"/>
          <w:highlight w:val="none"/>
        </w:rPr>
        <w:t>2、燃烧温度: ＞900</w:t>
      </w:r>
      <w:r>
        <w:rPr>
          <w:rFonts w:ascii="宋体" w:hAnsi="宋体" w:cs="Cambria Math"/>
          <w:color w:val="auto"/>
          <w:sz w:val="24"/>
          <w:highlight w:val="none"/>
        </w:rPr>
        <w:t>℃</w:t>
      </w:r>
    </w:p>
    <w:p>
      <w:pPr>
        <w:spacing w:line="360" w:lineRule="auto"/>
        <w:rPr>
          <w:rFonts w:ascii="宋体" w:hAnsi="宋体" w:cs="Arial"/>
          <w:color w:val="auto"/>
          <w:sz w:val="24"/>
          <w:highlight w:val="none"/>
        </w:rPr>
      </w:pPr>
      <w:r>
        <w:rPr>
          <w:rFonts w:ascii="宋体" w:hAnsi="宋体" w:cs="Arial"/>
          <w:color w:val="auto"/>
          <w:sz w:val="24"/>
          <w:highlight w:val="none"/>
        </w:rPr>
        <w:t>▲3、样品最高允许含盐量: ＞80 g/L</w:t>
      </w:r>
    </w:p>
    <w:p>
      <w:pPr>
        <w:spacing w:line="360" w:lineRule="auto"/>
        <w:rPr>
          <w:rFonts w:ascii="宋体" w:hAnsi="宋体" w:cs="Arial"/>
          <w:color w:val="auto"/>
          <w:sz w:val="24"/>
          <w:highlight w:val="none"/>
        </w:rPr>
      </w:pPr>
      <w:r>
        <w:rPr>
          <w:rFonts w:ascii="宋体" w:hAnsi="宋体" w:cs="Arial"/>
          <w:color w:val="auto"/>
          <w:sz w:val="24"/>
          <w:highlight w:val="none"/>
        </w:rPr>
        <w:t>▲4、样品中颗粒物兼容性＞</w:t>
      </w:r>
      <w:r>
        <w:rPr>
          <w:rFonts w:hint="eastAsia" w:ascii="宋体" w:hAnsi="宋体" w:cs="Arial"/>
          <w:color w:val="auto"/>
          <w:sz w:val="24"/>
          <w:highlight w:val="none"/>
        </w:rPr>
        <w:t>28</w:t>
      </w:r>
      <w:r>
        <w:rPr>
          <w:rFonts w:ascii="宋体" w:hAnsi="宋体" w:cs="Arial"/>
          <w:color w:val="auto"/>
          <w:sz w:val="24"/>
          <w:highlight w:val="none"/>
        </w:rPr>
        <w:t>0μm</w:t>
      </w:r>
    </w:p>
    <w:p>
      <w:pPr>
        <w:spacing w:line="360" w:lineRule="auto"/>
        <w:rPr>
          <w:rFonts w:ascii="宋体" w:hAnsi="宋体" w:cs="Arial"/>
          <w:color w:val="auto"/>
          <w:sz w:val="24"/>
          <w:highlight w:val="none"/>
        </w:rPr>
      </w:pPr>
      <w:r>
        <w:rPr>
          <w:rFonts w:ascii="宋体" w:hAnsi="宋体" w:cs="Arial"/>
          <w:color w:val="auto"/>
          <w:sz w:val="24"/>
          <w:highlight w:val="none"/>
        </w:rPr>
        <w:t>5、催化剂：兼容CeO2</w:t>
      </w:r>
      <w:r>
        <w:rPr>
          <w:rFonts w:hint="eastAsia" w:ascii="宋体" w:hAnsi="宋体" w:cs="Arial"/>
          <w:color w:val="auto"/>
          <w:sz w:val="24"/>
          <w:highlight w:val="none"/>
        </w:rPr>
        <w:t>,Pt</w:t>
      </w:r>
    </w:p>
    <w:p>
      <w:pPr>
        <w:spacing w:line="360" w:lineRule="auto"/>
        <w:rPr>
          <w:rFonts w:ascii="宋体" w:hAnsi="宋体" w:cs="Arial"/>
          <w:color w:val="auto"/>
          <w:sz w:val="24"/>
          <w:highlight w:val="none"/>
        </w:rPr>
      </w:pPr>
      <w:r>
        <w:rPr>
          <w:rFonts w:ascii="宋体" w:hAnsi="宋体" w:cs="Arial"/>
          <w:color w:val="auto"/>
          <w:sz w:val="24"/>
          <w:highlight w:val="none"/>
        </w:rPr>
        <w:t>（二）电子气路控制系统</w:t>
      </w:r>
      <w:r>
        <w:rPr>
          <w:rFonts w:hint="eastAsia" w:ascii="宋体" w:hAnsi="宋体" w:cs="Arial"/>
          <w:color w:val="auto"/>
          <w:sz w:val="24"/>
          <w:highlight w:val="none"/>
        </w:rPr>
        <w:t>：</w:t>
      </w:r>
    </w:p>
    <w:p>
      <w:pPr>
        <w:spacing w:line="360" w:lineRule="auto"/>
        <w:outlineLvl w:val="0"/>
        <w:rPr>
          <w:rFonts w:ascii="宋体" w:hAnsi="宋体" w:cs="Arial"/>
          <w:color w:val="auto"/>
          <w:sz w:val="24"/>
          <w:highlight w:val="none"/>
        </w:rPr>
      </w:pPr>
      <w:r>
        <w:rPr>
          <w:rFonts w:ascii="宋体" w:hAnsi="宋体" w:cs="Arial"/>
          <w:color w:val="auto"/>
          <w:sz w:val="24"/>
          <w:highlight w:val="none"/>
        </w:rPr>
        <w:t>1、具有Vita技术可以补偿气流流速引起的变化</w:t>
      </w:r>
      <w:r>
        <w:rPr>
          <w:rFonts w:hint="eastAsia" w:ascii="宋体" w:hAnsi="宋体" w:cs="Arial"/>
          <w:color w:val="auto"/>
          <w:sz w:val="24"/>
          <w:highlight w:val="none"/>
        </w:rPr>
        <w:t>；</w:t>
      </w:r>
    </w:p>
    <w:p>
      <w:pPr>
        <w:spacing w:line="360" w:lineRule="auto"/>
        <w:rPr>
          <w:rFonts w:ascii="宋体" w:hAnsi="宋体" w:cs="Arial"/>
          <w:color w:val="auto"/>
          <w:sz w:val="24"/>
          <w:highlight w:val="none"/>
        </w:rPr>
      </w:pPr>
      <w:r>
        <w:rPr>
          <w:rFonts w:ascii="宋体" w:hAnsi="宋体" w:cs="Arial"/>
          <w:color w:val="auto"/>
          <w:sz w:val="24"/>
          <w:highlight w:val="none"/>
        </w:rPr>
        <w:t>2、气体流速数字化控制, 带有气体流量自动补偿校正系统</w:t>
      </w:r>
      <w:r>
        <w:rPr>
          <w:rFonts w:hint="eastAsia" w:ascii="宋体" w:hAnsi="宋体" w:cs="Arial"/>
          <w:color w:val="auto"/>
          <w:sz w:val="24"/>
          <w:highlight w:val="none"/>
        </w:rPr>
        <w:t>；</w:t>
      </w:r>
    </w:p>
    <w:p>
      <w:pPr>
        <w:spacing w:line="360" w:lineRule="auto"/>
        <w:rPr>
          <w:rFonts w:ascii="宋体" w:hAnsi="宋体" w:cs="Arial"/>
          <w:color w:val="auto"/>
          <w:sz w:val="24"/>
          <w:highlight w:val="none"/>
        </w:rPr>
      </w:pPr>
      <w:r>
        <w:rPr>
          <w:rFonts w:ascii="宋体" w:hAnsi="宋体" w:cs="Arial"/>
          <w:color w:val="auto"/>
          <w:sz w:val="24"/>
          <w:highlight w:val="none"/>
        </w:rPr>
        <w:t>3、采用免维护的Peliter电子干燥装置，非化学干燥方式</w:t>
      </w:r>
      <w:r>
        <w:rPr>
          <w:rFonts w:hint="eastAsia" w:ascii="宋体" w:hAnsi="宋体" w:cs="Arial"/>
          <w:color w:val="auto"/>
          <w:sz w:val="24"/>
          <w:highlight w:val="none"/>
        </w:rPr>
        <w:t>；</w:t>
      </w:r>
    </w:p>
    <w:p>
      <w:pPr>
        <w:spacing w:line="360" w:lineRule="auto"/>
        <w:rPr>
          <w:rFonts w:ascii="宋体" w:hAnsi="宋体" w:cs="Arial"/>
          <w:color w:val="auto"/>
          <w:sz w:val="24"/>
          <w:highlight w:val="none"/>
        </w:rPr>
      </w:pPr>
      <w:r>
        <w:rPr>
          <w:rFonts w:ascii="宋体" w:hAnsi="宋体" w:cs="Arial"/>
          <w:color w:val="auto"/>
          <w:sz w:val="24"/>
          <w:highlight w:val="none"/>
        </w:rPr>
        <w:t>（三）检测器系统</w:t>
      </w:r>
    </w:p>
    <w:p>
      <w:pPr>
        <w:spacing w:line="360" w:lineRule="auto"/>
        <w:rPr>
          <w:rFonts w:ascii="宋体" w:hAnsi="宋体" w:cs="Arial"/>
          <w:color w:val="auto"/>
          <w:sz w:val="24"/>
          <w:highlight w:val="none"/>
        </w:rPr>
      </w:pPr>
      <w:r>
        <w:rPr>
          <w:rFonts w:ascii="宋体" w:hAnsi="宋体" w:cs="Arial"/>
          <w:color w:val="auto"/>
          <w:sz w:val="24"/>
          <w:highlight w:val="none"/>
        </w:rPr>
        <w:t>1、非色散红外检测器</w:t>
      </w:r>
      <w:r>
        <w:rPr>
          <w:rFonts w:hint="eastAsia" w:ascii="宋体" w:hAnsi="宋体" w:cs="Arial"/>
          <w:color w:val="auto"/>
          <w:sz w:val="24"/>
          <w:highlight w:val="none"/>
        </w:rPr>
        <w:t>（NDIR）；</w:t>
      </w:r>
    </w:p>
    <w:p>
      <w:pPr>
        <w:tabs>
          <w:tab w:val="left" w:pos="360"/>
          <w:tab w:val="left" w:pos="540"/>
          <w:tab w:val="left" w:pos="1260"/>
        </w:tabs>
        <w:spacing w:line="360" w:lineRule="auto"/>
        <w:outlineLvl w:val="0"/>
        <w:rPr>
          <w:rFonts w:ascii="宋体" w:hAnsi="宋体" w:cs="Arial"/>
          <w:color w:val="auto"/>
          <w:sz w:val="24"/>
          <w:highlight w:val="none"/>
        </w:rPr>
      </w:pPr>
      <w:r>
        <w:rPr>
          <w:rFonts w:ascii="宋体" w:hAnsi="宋体" w:cs="Arial"/>
          <w:color w:val="auto"/>
          <w:sz w:val="24"/>
          <w:highlight w:val="none"/>
        </w:rPr>
        <w:t>▲2、测量范围：TOC：0―</w:t>
      </w:r>
      <w:r>
        <w:rPr>
          <w:rFonts w:hint="eastAsia" w:ascii="宋体" w:hAnsi="宋体" w:cs="Arial"/>
          <w:color w:val="auto"/>
          <w:sz w:val="24"/>
          <w:highlight w:val="none"/>
        </w:rPr>
        <w:t>25</w:t>
      </w:r>
      <w:r>
        <w:rPr>
          <w:rFonts w:ascii="宋体" w:hAnsi="宋体" w:cs="Arial"/>
          <w:color w:val="auto"/>
          <w:sz w:val="24"/>
          <w:highlight w:val="none"/>
        </w:rPr>
        <w:t>000 mg/L ，检出限</w:t>
      </w:r>
      <w:r>
        <w:rPr>
          <w:rFonts w:hint="eastAsia" w:ascii="宋体" w:hAnsi="宋体" w:cs="Arial"/>
          <w:color w:val="auto"/>
          <w:sz w:val="24"/>
          <w:highlight w:val="none"/>
        </w:rPr>
        <w:t>≤</w:t>
      </w:r>
      <w:r>
        <w:rPr>
          <w:rFonts w:ascii="宋体" w:hAnsi="宋体" w:cs="Arial"/>
          <w:color w:val="auto"/>
          <w:sz w:val="24"/>
          <w:highlight w:val="none"/>
        </w:rPr>
        <w:t>4ppb；</w:t>
      </w:r>
    </w:p>
    <w:p>
      <w:pPr>
        <w:spacing w:line="360" w:lineRule="auto"/>
        <w:rPr>
          <w:rFonts w:ascii="宋体" w:hAnsi="宋体" w:cs="Arial"/>
          <w:color w:val="auto"/>
          <w:sz w:val="24"/>
          <w:highlight w:val="none"/>
        </w:rPr>
      </w:pPr>
      <w:r>
        <w:rPr>
          <w:rFonts w:ascii="宋体" w:hAnsi="宋体" w:cs="Arial"/>
          <w:color w:val="auto"/>
          <w:sz w:val="24"/>
          <w:highlight w:val="none"/>
        </w:rPr>
        <w:t>3、重现性：优于2%@1ppm</w:t>
      </w:r>
      <w:r>
        <w:rPr>
          <w:rFonts w:hint="eastAsia" w:ascii="宋体" w:hAnsi="宋体" w:cs="Arial"/>
          <w:color w:val="auto"/>
          <w:sz w:val="24"/>
          <w:highlight w:val="none"/>
        </w:rPr>
        <w:t>；</w:t>
      </w:r>
    </w:p>
    <w:p>
      <w:pPr>
        <w:spacing w:line="360" w:lineRule="auto"/>
        <w:rPr>
          <w:rFonts w:ascii="宋体" w:hAnsi="宋体" w:cs="Arial"/>
          <w:color w:val="auto"/>
          <w:sz w:val="24"/>
          <w:highlight w:val="none"/>
        </w:rPr>
      </w:pPr>
      <w:r>
        <w:rPr>
          <w:rFonts w:ascii="宋体" w:hAnsi="宋体" w:cs="Arial"/>
          <w:color w:val="auto"/>
          <w:sz w:val="24"/>
          <w:highlight w:val="none"/>
        </w:rPr>
        <w:t>4、单次样品分析时间</w:t>
      </w:r>
      <w:r>
        <w:rPr>
          <w:rFonts w:hint="eastAsia" w:ascii="宋体" w:hAnsi="宋体" w:cs="Arial"/>
          <w:color w:val="auto"/>
          <w:sz w:val="24"/>
          <w:highlight w:val="none"/>
        </w:rPr>
        <w:t>≤</w:t>
      </w:r>
      <w:r>
        <w:rPr>
          <w:rFonts w:ascii="宋体" w:hAnsi="宋体" w:cs="Arial"/>
          <w:color w:val="auto"/>
          <w:sz w:val="24"/>
          <w:highlight w:val="none"/>
        </w:rPr>
        <w:t>4分钟</w:t>
      </w:r>
      <w:r>
        <w:rPr>
          <w:rFonts w:hint="eastAsia" w:ascii="宋体" w:hAnsi="宋体" w:cs="Arial"/>
          <w:color w:val="auto"/>
          <w:sz w:val="24"/>
          <w:highlight w:val="none"/>
        </w:rPr>
        <w:t>；</w:t>
      </w:r>
    </w:p>
    <w:p>
      <w:pPr>
        <w:spacing w:line="360" w:lineRule="auto"/>
        <w:rPr>
          <w:rFonts w:ascii="宋体" w:hAnsi="宋体" w:cs="Segoe UI Symbol"/>
          <w:color w:val="auto"/>
          <w:sz w:val="24"/>
          <w:highlight w:val="none"/>
        </w:rPr>
      </w:pPr>
      <w:r>
        <w:rPr>
          <w:rFonts w:ascii="宋体" w:hAnsi="宋体" w:cs="Segoe UI Symbol"/>
          <w:color w:val="auto"/>
          <w:sz w:val="24"/>
          <w:highlight w:val="none"/>
        </w:rPr>
        <w:t>★</w:t>
      </w:r>
      <w:r>
        <w:rPr>
          <w:rFonts w:ascii="宋体" w:hAnsi="宋体" w:cs="Arial"/>
          <w:color w:val="auto"/>
          <w:sz w:val="24"/>
          <w:highlight w:val="none"/>
        </w:rPr>
        <w:t>5、设备分析精度要求：可实现同一浓度不同体积绘制标准曲线，以500ppb的标准样品为基准液，设备测量0mL、0.2mL、0.4mL、0.6mL、0.8mL和1.0mL基准液得出标准曲线，要求相关线性系数＞0.999</w:t>
      </w:r>
      <w:r>
        <w:rPr>
          <w:rFonts w:hint="eastAsia" w:ascii="宋体" w:hAnsi="宋体" w:cs="Arial"/>
          <w:color w:val="auto"/>
          <w:sz w:val="24"/>
          <w:highlight w:val="none"/>
        </w:rPr>
        <w:t>（需</w:t>
      </w:r>
      <w:r>
        <w:rPr>
          <w:rFonts w:ascii="宋体" w:hAnsi="宋体" w:cs="Arial"/>
          <w:color w:val="auto"/>
          <w:sz w:val="24"/>
          <w:highlight w:val="none"/>
        </w:rPr>
        <w:t>提供</w:t>
      </w:r>
      <w:r>
        <w:rPr>
          <w:rFonts w:hint="eastAsia" w:ascii="宋体" w:hAnsi="宋体" w:cs="Arial"/>
          <w:color w:val="auto"/>
          <w:sz w:val="24"/>
          <w:highlight w:val="none"/>
        </w:rPr>
        <w:t>实验报告，包含软件界面截图）。</w:t>
      </w:r>
    </w:p>
    <w:p>
      <w:pPr>
        <w:spacing w:line="360" w:lineRule="auto"/>
        <w:rPr>
          <w:rFonts w:ascii="宋体" w:hAnsi="宋体" w:cs="Arial"/>
          <w:color w:val="auto"/>
          <w:sz w:val="24"/>
          <w:highlight w:val="none"/>
        </w:rPr>
      </w:pPr>
      <w:r>
        <w:rPr>
          <w:rFonts w:hint="eastAsia" w:ascii="宋体" w:hAnsi="宋体" w:cs="Arial"/>
          <w:color w:val="auto"/>
          <w:sz w:val="24"/>
          <w:highlight w:val="none"/>
        </w:rPr>
        <w:t>（四）可升级</w:t>
      </w:r>
      <w:r>
        <w:rPr>
          <w:rFonts w:ascii="宋体" w:hAnsi="宋体" w:cs="Arial"/>
          <w:color w:val="auto"/>
          <w:sz w:val="24"/>
          <w:highlight w:val="none"/>
        </w:rPr>
        <w:t>固体样品分析模块：</w:t>
      </w:r>
    </w:p>
    <w:p>
      <w:pPr>
        <w:spacing w:line="360" w:lineRule="auto"/>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w:t>
      </w:r>
      <w:r>
        <w:rPr>
          <w:rFonts w:ascii="宋体" w:hAnsi="宋体" w:cs="Arial"/>
          <w:color w:val="auto"/>
          <w:sz w:val="24"/>
          <w:highlight w:val="none"/>
        </w:rPr>
        <w:t>固体样品最大进样量</w:t>
      </w:r>
      <w:r>
        <w:rPr>
          <w:rFonts w:hint="eastAsia" w:ascii="宋体" w:hAnsi="宋体" w:cs="Arial"/>
          <w:color w:val="auto"/>
          <w:sz w:val="24"/>
          <w:highlight w:val="none"/>
        </w:rPr>
        <w:t>＞2.5</w:t>
      </w:r>
      <w:r>
        <w:rPr>
          <w:rFonts w:ascii="宋体" w:hAnsi="宋体" w:cs="Arial"/>
          <w:color w:val="auto"/>
          <w:sz w:val="24"/>
          <w:highlight w:val="none"/>
        </w:rPr>
        <w:t xml:space="preserve"> g</w:t>
      </w:r>
      <w:r>
        <w:rPr>
          <w:rFonts w:hint="eastAsia" w:ascii="宋体" w:hAnsi="宋体" w:cs="Arial"/>
          <w:color w:val="auto"/>
          <w:sz w:val="24"/>
          <w:highlight w:val="none"/>
        </w:rPr>
        <w:t>；</w:t>
      </w:r>
      <w:r>
        <w:rPr>
          <w:rFonts w:ascii="宋体" w:hAnsi="宋体" w:cs="Arial"/>
          <w:color w:val="auto"/>
          <w:sz w:val="24"/>
          <w:highlight w:val="none"/>
        </w:rPr>
        <w:tab/>
      </w:r>
    </w:p>
    <w:p>
      <w:pPr>
        <w:spacing w:line="360" w:lineRule="auto"/>
        <w:rPr>
          <w:rFonts w:ascii="宋体" w:hAnsi="宋体" w:cs="Arial"/>
          <w:color w:val="auto"/>
          <w:sz w:val="24"/>
          <w:highlight w:val="none"/>
        </w:rPr>
      </w:pPr>
      <w:r>
        <w:rPr>
          <w:rFonts w:ascii="宋体" w:hAnsi="宋体" w:cs="Segoe UI Symbo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固体检测模块必须独立装置，独立供电，液体与固体切换时不需要更换燃烧管或其它硬件设备</w:t>
      </w:r>
      <w:r>
        <w:rPr>
          <w:rFonts w:ascii="宋体" w:hAnsi="宋体" w:cs="Arial"/>
          <w:color w:val="auto"/>
          <w:sz w:val="24"/>
          <w:highlight w:val="none"/>
        </w:rPr>
        <w:t>（需提供独立固体燃烧炉照片</w:t>
      </w:r>
      <w:r>
        <w:rPr>
          <w:rFonts w:hint="eastAsia" w:ascii="宋体" w:hAnsi="宋体" w:cs="Arial"/>
          <w:color w:val="auto"/>
          <w:sz w:val="24"/>
          <w:highlight w:val="none"/>
        </w:rPr>
        <w:t>）；</w:t>
      </w:r>
    </w:p>
    <w:p>
      <w:pPr>
        <w:spacing w:line="360" w:lineRule="auto"/>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固体样品由样品舟直接进样，无需使用锡囊等一次性耗材。敞开式进样系统，非球阀进样，降低机械故障率</w:t>
      </w:r>
      <w:r>
        <w:rPr>
          <w:rFonts w:hint="eastAsia" w:ascii="宋体" w:hAnsi="宋体" w:cs="Arial"/>
          <w:color w:val="auto"/>
          <w:sz w:val="24"/>
          <w:highlight w:val="none"/>
        </w:rPr>
        <w:t>；</w:t>
      </w:r>
    </w:p>
    <w:p>
      <w:pPr>
        <w:spacing w:line="360" w:lineRule="auto"/>
        <w:rPr>
          <w:rFonts w:ascii="宋体" w:hAnsi="宋体" w:cs="Arial"/>
          <w:color w:val="auto"/>
          <w:sz w:val="24"/>
          <w:highlight w:val="none"/>
        </w:rPr>
      </w:pPr>
      <w:r>
        <w:rPr>
          <w:rFonts w:ascii="宋体" w:hAnsi="宋体" w:cs="Arial"/>
          <w:color w:val="auto"/>
          <w:sz w:val="24"/>
          <w:highlight w:val="none"/>
        </w:rPr>
        <w:t>4</w:t>
      </w:r>
      <w:r>
        <w:rPr>
          <w:rFonts w:hint="eastAsia" w:ascii="宋体" w:hAnsi="宋体" w:cs="Arial"/>
          <w:color w:val="auto"/>
          <w:sz w:val="24"/>
          <w:highlight w:val="none"/>
        </w:rPr>
        <w:t>、</w:t>
      </w:r>
      <w:r>
        <w:rPr>
          <w:rFonts w:ascii="宋体" w:hAnsi="宋体" w:cs="Arial"/>
          <w:color w:val="auto"/>
          <w:sz w:val="24"/>
          <w:highlight w:val="none"/>
        </w:rPr>
        <w:t>固体燃烧管：高纯净耐温陶瓷材质。无需内外套管，结构简洁，分析中不使用催化剂。</w:t>
      </w:r>
    </w:p>
    <w:p>
      <w:pPr>
        <w:spacing w:line="360" w:lineRule="auto"/>
        <w:rPr>
          <w:rFonts w:ascii="宋体" w:hAnsi="宋体" w:cs="Arial"/>
          <w:color w:val="auto"/>
          <w:sz w:val="24"/>
          <w:highlight w:val="none"/>
        </w:rPr>
      </w:pPr>
      <w:r>
        <w:rPr>
          <w:rFonts w:hint="eastAsia" w:ascii="宋体" w:hAnsi="宋体" w:cs="Arial"/>
          <w:color w:val="auto"/>
          <w:sz w:val="24"/>
          <w:highlight w:val="none"/>
        </w:rPr>
        <w:t>5、</w:t>
      </w:r>
      <w:r>
        <w:rPr>
          <w:rFonts w:ascii="宋体" w:hAnsi="宋体" w:cs="Arial"/>
          <w:color w:val="auto"/>
          <w:sz w:val="24"/>
          <w:highlight w:val="none"/>
        </w:rPr>
        <w:t>超温报警功能：炉温超过 1350</w:t>
      </w:r>
      <w:r>
        <w:rPr>
          <w:rFonts w:ascii="宋体" w:hAnsi="宋体" w:cs="Cambria Math"/>
          <w:color w:val="auto"/>
          <w:sz w:val="24"/>
          <w:highlight w:val="none"/>
        </w:rPr>
        <w:t>℃</w:t>
      </w:r>
      <w:r>
        <w:rPr>
          <w:rFonts w:ascii="宋体" w:hAnsi="宋体" w:cs="Arial"/>
          <w:color w:val="auto"/>
          <w:sz w:val="24"/>
          <w:highlight w:val="none"/>
        </w:rPr>
        <w:t>时，自动报警提示。</w:t>
      </w:r>
    </w:p>
    <w:p>
      <w:pPr>
        <w:spacing w:line="360" w:lineRule="auto"/>
        <w:rPr>
          <w:rFonts w:ascii="宋体" w:hAnsi="宋体" w:cs="Arial"/>
          <w:color w:val="auto"/>
          <w:sz w:val="24"/>
          <w:szCs w:val="21"/>
          <w:highlight w:val="none"/>
        </w:rPr>
      </w:pPr>
      <w:r>
        <w:rPr>
          <w:rFonts w:hint="eastAsia" w:ascii="宋体" w:hAnsi="宋体" w:cs="Arial"/>
          <w:color w:val="auto"/>
          <w:sz w:val="24"/>
          <w:szCs w:val="21"/>
          <w:highlight w:val="none"/>
        </w:rPr>
        <w:t>（五）</w:t>
      </w:r>
      <w:r>
        <w:rPr>
          <w:rFonts w:ascii="宋体" w:hAnsi="宋体" w:cs="Arial"/>
          <w:color w:val="auto"/>
          <w:sz w:val="24"/>
          <w:szCs w:val="21"/>
          <w:highlight w:val="none"/>
        </w:rPr>
        <w:t>自动进样器</w:t>
      </w:r>
      <w:r>
        <w:rPr>
          <w:rFonts w:hint="eastAsia" w:ascii="宋体" w:hAnsi="宋体" w:cs="Arial"/>
          <w:color w:val="auto"/>
          <w:sz w:val="24"/>
          <w:szCs w:val="21"/>
          <w:highlight w:val="none"/>
        </w:rPr>
        <w:t>要求：</w:t>
      </w:r>
    </w:p>
    <w:p>
      <w:pPr>
        <w:spacing w:line="360" w:lineRule="auto"/>
        <w:rPr>
          <w:rFonts w:ascii="宋体" w:hAnsi="宋体" w:cs="Arial"/>
          <w:color w:val="auto"/>
          <w:sz w:val="24"/>
          <w:szCs w:val="21"/>
          <w:highlight w:val="none"/>
        </w:rPr>
      </w:pPr>
      <w:r>
        <w:rPr>
          <w:rFonts w:ascii="宋体" w:hAnsi="宋体" w:cs="Segoe UI Symbol"/>
          <w:color w:val="auto"/>
          <w:sz w:val="24"/>
          <w:highlight w:val="none"/>
        </w:rPr>
        <w:t>★</w:t>
      </w:r>
      <w:r>
        <w:rPr>
          <w:rFonts w:ascii="宋体" w:hAnsi="宋体" w:cs="Arial"/>
          <w:color w:val="auto"/>
          <w:sz w:val="24"/>
          <w:szCs w:val="21"/>
          <w:highlight w:val="none"/>
        </w:rPr>
        <w:t>1</w:t>
      </w:r>
      <w:r>
        <w:rPr>
          <w:rFonts w:hint="eastAsia" w:ascii="宋体" w:hAnsi="宋体" w:cs="Arial"/>
          <w:color w:val="auto"/>
          <w:sz w:val="24"/>
          <w:szCs w:val="21"/>
          <w:highlight w:val="none"/>
        </w:rPr>
        <w:t>、</w:t>
      </w:r>
      <w:r>
        <w:rPr>
          <w:rFonts w:ascii="宋体" w:hAnsi="宋体" w:cs="Arial"/>
          <w:color w:val="auto"/>
          <w:sz w:val="24"/>
          <w:szCs w:val="21"/>
          <w:highlight w:val="none"/>
        </w:rPr>
        <w:t>自动进样器，样品位</w:t>
      </w:r>
      <w:r>
        <w:rPr>
          <w:rFonts w:hint="eastAsia" w:ascii="宋体" w:hAnsi="宋体" w:cs="Arial"/>
          <w:color w:val="auto"/>
          <w:sz w:val="24"/>
          <w:szCs w:val="21"/>
          <w:highlight w:val="none"/>
        </w:rPr>
        <w:t>14</w:t>
      </w:r>
      <w:r>
        <w:rPr>
          <w:rFonts w:ascii="宋体" w:hAnsi="宋体" w:cs="Arial"/>
          <w:color w:val="auto"/>
          <w:sz w:val="24"/>
          <w:szCs w:val="21"/>
          <w:highlight w:val="none"/>
        </w:rPr>
        <w:t>0个以上</w:t>
      </w:r>
      <w:r>
        <w:rPr>
          <w:rFonts w:hint="eastAsia" w:ascii="宋体" w:hAnsi="宋体" w:cs="Arial"/>
          <w:color w:val="auto"/>
          <w:sz w:val="24"/>
          <w:szCs w:val="21"/>
          <w:highlight w:val="none"/>
        </w:rPr>
        <w:t>；</w:t>
      </w:r>
    </w:p>
    <w:p>
      <w:pPr>
        <w:spacing w:line="360" w:lineRule="auto"/>
        <w:rPr>
          <w:rFonts w:ascii="宋体" w:hAnsi="宋体" w:cs="Arial"/>
          <w:color w:val="auto"/>
          <w:sz w:val="24"/>
          <w:szCs w:val="21"/>
          <w:highlight w:val="none"/>
        </w:rPr>
      </w:pPr>
      <w:r>
        <w:rPr>
          <w:rFonts w:ascii="宋体" w:hAnsi="宋体" w:cs="Arial"/>
          <w:color w:val="auto"/>
          <w:sz w:val="24"/>
          <w:szCs w:val="21"/>
          <w:highlight w:val="none"/>
        </w:rPr>
        <w:t>2</w:t>
      </w:r>
      <w:r>
        <w:rPr>
          <w:rFonts w:hint="eastAsia" w:ascii="宋体" w:hAnsi="宋体" w:cs="Arial"/>
          <w:color w:val="auto"/>
          <w:sz w:val="24"/>
          <w:szCs w:val="21"/>
          <w:highlight w:val="none"/>
        </w:rPr>
        <w:t>、</w:t>
      </w:r>
      <w:r>
        <w:rPr>
          <w:rFonts w:ascii="宋体" w:hAnsi="宋体" w:cs="Arial"/>
          <w:color w:val="auto"/>
          <w:sz w:val="24"/>
          <w:szCs w:val="21"/>
          <w:highlight w:val="none"/>
        </w:rPr>
        <w:t>具有自动清洗功能</w:t>
      </w:r>
      <w:r>
        <w:rPr>
          <w:rFonts w:hint="eastAsia" w:ascii="宋体" w:hAnsi="宋体" w:cs="Arial"/>
          <w:color w:val="auto"/>
          <w:sz w:val="24"/>
          <w:szCs w:val="21"/>
          <w:highlight w:val="none"/>
        </w:rPr>
        <w:t>；</w:t>
      </w:r>
    </w:p>
    <w:p>
      <w:pPr>
        <w:spacing w:line="360" w:lineRule="auto"/>
        <w:rPr>
          <w:rFonts w:ascii="宋体" w:hAnsi="宋体" w:cs="Arial"/>
          <w:color w:val="auto"/>
          <w:sz w:val="24"/>
          <w:szCs w:val="21"/>
          <w:highlight w:val="none"/>
        </w:rPr>
      </w:pPr>
      <w:r>
        <w:rPr>
          <w:rFonts w:ascii="宋体" w:hAnsi="宋体" w:cs="Arial"/>
          <w:color w:val="auto"/>
          <w:sz w:val="24"/>
          <w:highlight w:val="none"/>
        </w:rPr>
        <w:t>▲</w:t>
      </w:r>
      <w:r>
        <w:rPr>
          <w:rFonts w:ascii="宋体" w:hAnsi="宋体" w:cs="Arial"/>
          <w:color w:val="auto"/>
          <w:sz w:val="24"/>
          <w:szCs w:val="21"/>
          <w:highlight w:val="none"/>
        </w:rPr>
        <w:t>3</w:t>
      </w:r>
      <w:r>
        <w:rPr>
          <w:rFonts w:hint="eastAsia" w:ascii="宋体" w:hAnsi="宋体" w:cs="Arial"/>
          <w:color w:val="auto"/>
          <w:sz w:val="24"/>
          <w:szCs w:val="21"/>
          <w:highlight w:val="none"/>
        </w:rPr>
        <w:t>、</w:t>
      </w:r>
      <w:r>
        <w:rPr>
          <w:rFonts w:ascii="宋体" w:hAnsi="宋体" w:cs="Arial"/>
          <w:color w:val="auto"/>
          <w:sz w:val="24"/>
          <w:szCs w:val="21"/>
          <w:highlight w:val="none"/>
        </w:rPr>
        <w:t>有样品位带自动搅拌功能，搅拌速度10级可调。</w:t>
      </w:r>
    </w:p>
    <w:p>
      <w:pPr>
        <w:spacing w:line="360" w:lineRule="auto"/>
        <w:rPr>
          <w:rFonts w:ascii="宋体" w:hAnsi="宋体" w:cs="Arial"/>
          <w:color w:val="auto"/>
          <w:sz w:val="24"/>
          <w:szCs w:val="21"/>
          <w:highlight w:val="none"/>
        </w:rPr>
      </w:pPr>
      <w:r>
        <w:rPr>
          <w:rFonts w:ascii="宋体" w:hAnsi="宋体" w:cs="Arial"/>
          <w:color w:val="auto"/>
          <w:sz w:val="24"/>
          <w:szCs w:val="21"/>
          <w:highlight w:val="none"/>
        </w:rPr>
        <w:t>4</w:t>
      </w:r>
      <w:r>
        <w:rPr>
          <w:rFonts w:hint="eastAsia" w:ascii="宋体" w:hAnsi="宋体" w:cs="Arial"/>
          <w:color w:val="auto"/>
          <w:sz w:val="24"/>
          <w:szCs w:val="21"/>
          <w:highlight w:val="none"/>
        </w:rPr>
        <w:t>、</w:t>
      </w:r>
      <w:r>
        <w:rPr>
          <w:rFonts w:ascii="宋体" w:hAnsi="宋体" w:cs="Arial"/>
          <w:color w:val="auto"/>
          <w:sz w:val="24"/>
          <w:szCs w:val="21"/>
          <w:highlight w:val="none"/>
        </w:rPr>
        <w:t xml:space="preserve"> 所有样品位带自动酸化功能</w:t>
      </w:r>
    </w:p>
    <w:p>
      <w:pPr>
        <w:spacing w:line="360" w:lineRule="auto"/>
        <w:rPr>
          <w:rFonts w:ascii="宋体" w:hAnsi="宋体" w:cs="Arial"/>
          <w:color w:val="auto"/>
          <w:sz w:val="24"/>
          <w:highlight w:val="none"/>
        </w:rPr>
      </w:pPr>
      <w:r>
        <w:rPr>
          <w:rFonts w:ascii="宋体" w:hAnsi="宋体" w:cs="Arial"/>
          <w:color w:val="auto"/>
          <w:sz w:val="24"/>
          <w:highlight w:val="none"/>
        </w:rPr>
        <w:t>（</w:t>
      </w:r>
      <w:r>
        <w:rPr>
          <w:rFonts w:hint="eastAsia" w:ascii="宋体" w:hAnsi="宋体" w:cs="Arial"/>
          <w:color w:val="auto"/>
          <w:sz w:val="24"/>
          <w:highlight w:val="none"/>
        </w:rPr>
        <w:t>六</w:t>
      </w:r>
      <w:r>
        <w:rPr>
          <w:rFonts w:ascii="宋体" w:hAnsi="宋体" w:cs="Arial"/>
          <w:color w:val="auto"/>
          <w:sz w:val="24"/>
          <w:highlight w:val="none"/>
        </w:rPr>
        <w:t>）</w:t>
      </w:r>
      <w:r>
        <w:rPr>
          <w:rFonts w:hint="eastAsia" w:ascii="宋体" w:hAnsi="宋体" w:cs="Arial"/>
          <w:color w:val="auto"/>
          <w:sz w:val="24"/>
          <w:highlight w:val="none"/>
        </w:rPr>
        <w:t>工作站和</w:t>
      </w:r>
      <w:r>
        <w:rPr>
          <w:rFonts w:ascii="宋体" w:hAnsi="宋体" w:cs="Arial"/>
          <w:color w:val="auto"/>
          <w:sz w:val="24"/>
          <w:highlight w:val="none"/>
        </w:rPr>
        <w:t>软件系统</w:t>
      </w:r>
      <w:r>
        <w:rPr>
          <w:rFonts w:hint="eastAsia" w:ascii="宋体" w:hAnsi="宋体" w:cs="Arial"/>
          <w:color w:val="auto"/>
          <w:sz w:val="24"/>
          <w:highlight w:val="none"/>
        </w:rPr>
        <w:t>要求</w:t>
      </w:r>
    </w:p>
    <w:p>
      <w:pPr>
        <w:spacing w:line="360" w:lineRule="auto"/>
        <w:rPr>
          <w:rFonts w:ascii="宋体" w:hAnsi="宋体" w:cs="Arial"/>
          <w:color w:val="auto"/>
          <w:sz w:val="24"/>
          <w:highlight w:val="none"/>
        </w:rPr>
      </w:pPr>
      <w:r>
        <w:rPr>
          <w:rFonts w:ascii="宋体" w:hAnsi="宋体" w:cs="Arial"/>
          <w:color w:val="auto"/>
          <w:sz w:val="24"/>
          <w:highlight w:val="none"/>
        </w:rPr>
        <w:t>1、中文版本Win 2000或更高下运行</w:t>
      </w:r>
      <w:r>
        <w:rPr>
          <w:rFonts w:hint="eastAsia" w:ascii="宋体" w:hAnsi="宋体" w:cs="Arial"/>
          <w:color w:val="auto"/>
          <w:sz w:val="24"/>
          <w:highlight w:val="none"/>
        </w:rPr>
        <w:t>，工作站配置不低于i3处理器，4G内存，1T硬盘，21寸显示器；</w:t>
      </w:r>
    </w:p>
    <w:p>
      <w:pPr>
        <w:spacing w:line="360" w:lineRule="auto"/>
        <w:rPr>
          <w:rFonts w:ascii="宋体" w:hAnsi="宋体" w:cs="Arial"/>
          <w:color w:val="auto"/>
          <w:sz w:val="24"/>
          <w:highlight w:val="none"/>
        </w:rPr>
      </w:pPr>
      <w:r>
        <w:rPr>
          <w:rFonts w:ascii="宋体" w:hAnsi="宋体" w:cs="Arial"/>
          <w:color w:val="auto"/>
          <w:sz w:val="24"/>
          <w:highlight w:val="none"/>
        </w:rPr>
        <w:t>2、具有方法开发和储存功能；</w:t>
      </w:r>
    </w:p>
    <w:p>
      <w:pPr>
        <w:spacing w:line="360" w:lineRule="auto"/>
        <w:rPr>
          <w:rFonts w:ascii="宋体" w:hAnsi="宋体" w:cs="Arial"/>
          <w:color w:val="auto"/>
          <w:sz w:val="24"/>
          <w:highlight w:val="none"/>
        </w:rPr>
      </w:pPr>
      <w:r>
        <w:rPr>
          <w:rFonts w:ascii="宋体" w:hAnsi="宋体" w:cs="Arial"/>
          <w:color w:val="auto"/>
          <w:sz w:val="24"/>
          <w:highlight w:val="none"/>
        </w:rPr>
        <w:t>3、能显示系统状态和参数设定；</w:t>
      </w:r>
    </w:p>
    <w:p>
      <w:pPr>
        <w:spacing w:line="360" w:lineRule="auto"/>
        <w:rPr>
          <w:rFonts w:ascii="宋体" w:hAnsi="宋体" w:cs="Arial"/>
          <w:color w:val="auto"/>
          <w:sz w:val="24"/>
          <w:highlight w:val="none"/>
        </w:rPr>
      </w:pPr>
      <w:r>
        <w:rPr>
          <w:rFonts w:ascii="宋体" w:hAnsi="宋体" w:cs="Arial"/>
          <w:color w:val="auto"/>
          <w:sz w:val="24"/>
          <w:highlight w:val="none"/>
        </w:rPr>
        <w:t>4、具有1次方或2次方线性回归校正曲线；</w:t>
      </w:r>
    </w:p>
    <w:p>
      <w:pPr>
        <w:spacing w:line="360" w:lineRule="auto"/>
        <w:rPr>
          <w:rFonts w:ascii="宋体" w:hAnsi="宋体" w:cs="Arial"/>
          <w:color w:val="auto"/>
          <w:sz w:val="24"/>
          <w:highlight w:val="none"/>
        </w:rPr>
      </w:pPr>
      <w:r>
        <w:rPr>
          <w:rFonts w:ascii="宋体" w:hAnsi="宋体" w:cs="Arial"/>
          <w:color w:val="auto"/>
          <w:sz w:val="24"/>
          <w:highlight w:val="none"/>
        </w:rPr>
        <w:t>5、可以通过接口输出及打印实验结果</w:t>
      </w:r>
    </w:p>
    <w:p>
      <w:pPr>
        <w:spacing w:line="360" w:lineRule="auto"/>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具备</w:t>
      </w:r>
      <w:r>
        <w:rPr>
          <w:rFonts w:ascii="宋体" w:hAnsi="宋体" w:cs="Arial"/>
          <w:color w:val="auto"/>
          <w:sz w:val="24"/>
          <w:highlight w:val="none"/>
        </w:rPr>
        <w:t>中英文操作软件</w:t>
      </w:r>
    </w:p>
    <w:p>
      <w:pPr>
        <w:spacing w:line="360" w:lineRule="auto"/>
        <w:rPr>
          <w:rFonts w:ascii="宋体" w:hAnsi="宋体" w:cs="Arial"/>
          <w:color w:val="auto"/>
          <w:sz w:val="24"/>
          <w:highlight w:val="none"/>
        </w:rPr>
      </w:pPr>
      <w:r>
        <w:rPr>
          <w:rFonts w:hint="eastAsia" w:ascii="宋体" w:hAnsi="宋体" w:cs="Arial"/>
          <w:color w:val="auto"/>
          <w:sz w:val="24"/>
          <w:highlight w:val="none"/>
        </w:rPr>
        <w:t>7、软件测试方法必须至少包含直接法和差减法两种测量方法。</w:t>
      </w:r>
    </w:p>
    <w:p>
      <w:pPr>
        <w:spacing w:line="360" w:lineRule="auto"/>
        <w:outlineLvl w:val="0"/>
        <w:rPr>
          <w:rFonts w:ascii="Arial" w:hAnsi="Arial" w:cs="Arial"/>
          <w:color w:val="auto"/>
          <w:szCs w:val="21"/>
          <w:highlight w:val="none"/>
        </w:rPr>
      </w:pPr>
      <w:r>
        <w:rPr>
          <w:rFonts w:ascii="宋体" w:hAnsi="宋体" w:cs="Arial"/>
          <w:color w:val="auto"/>
          <w:sz w:val="24"/>
          <w:highlight w:val="none"/>
        </w:rPr>
        <w:t>（</w:t>
      </w:r>
      <w:r>
        <w:rPr>
          <w:rFonts w:hint="eastAsia" w:ascii="宋体" w:hAnsi="宋体" w:cs="Arial"/>
          <w:color w:val="auto"/>
          <w:sz w:val="24"/>
          <w:highlight w:val="none"/>
        </w:rPr>
        <w:t>五</w:t>
      </w:r>
      <w:r>
        <w:rPr>
          <w:rFonts w:ascii="宋体" w:hAnsi="宋体" w:cs="Arial"/>
          <w:color w:val="auto"/>
          <w:sz w:val="24"/>
          <w:highlight w:val="none"/>
        </w:rPr>
        <w:t>）配置要求：</w:t>
      </w:r>
    </w:p>
    <w:tbl>
      <w:tblPr>
        <w:tblStyle w:val="17"/>
        <w:tblW w:w="75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82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cs="Arial"/>
                <w:color w:val="auto"/>
                <w:sz w:val="24"/>
                <w:szCs w:val="21"/>
                <w:highlight w:val="none"/>
              </w:rPr>
            </w:pPr>
            <w:r>
              <w:rPr>
                <w:rFonts w:ascii="Arial" w:hAnsi="Arial" w:cs="Arial"/>
                <w:color w:val="auto"/>
                <w:sz w:val="24"/>
                <w:szCs w:val="21"/>
                <w:highlight w:val="none"/>
              </w:rPr>
              <w:t>序号</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cs="Arial"/>
                <w:color w:val="auto"/>
                <w:sz w:val="24"/>
                <w:szCs w:val="21"/>
                <w:highlight w:val="none"/>
              </w:rPr>
            </w:pPr>
            <w:r>
              <w:rPr>
                <w:rFonts w:ascii="Arial" w:hAnsi="Arial" w:cs="Arial"/>
                <w:color w:val="auto"/>
                <w:sz w:val="24"/>
                <w:szCs w:val="21"/>
                <w:highlight w:val="none"/>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cs="Arial"/>
                <w:color w:val="auto"/>
                <w:sz w:val="24"/>
                <w:szCs w:val="21"/>
                <w:highlight w:val="none"/>
              </w:rPr>
            </w:pPr>
            <w:r>
              <w:rPr>
                <w:rFonts w:ascii="Arial" w:hAnsi="Arial" w:cs="Arial"/>
                <w:color w:val="auto"/>
                <w:sz w:val="24"/>
                <w:szCs w:val="21"/>
                <w:highlight w:val="none"/>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cs="Arial"/>
                <w:color w:val="auto"/>
                <w:sz w:val="24"/>
                <w:szCs w:val="21"/>
                <w:highlight w:val="none"/>
              </w:rPr>
            </w:pPr>
            <w:r>
              <w:rPr>
                <w:rFonts w:ascii="Arial" w:hAnsi="Arial" w:cs="Arial"/>
                <w:color w:val="auto"/>
                <w:sz w:val="24"/>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1</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 w:val="24"/>
                <w:szCs w:val="21"/>
                <w:highlight w:val="none"/>
              </w:rPr>
            </w:pPr>
            <w:r>
              <w:rPr>
                <w:rFonts w:ascii="Arial" w:hAnsi="Arial" w:cs="Arial"/>
                <w:color w:val="auto"/>
                <w:sz w:val="24"/>
                <w:szCs w:val="21"/>
                <w:highlight w:val="none"/>
              </w:rPr>
              <w:t>总有机碳/总氮分析仪主机</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2</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 w:val="24"/>
                <w:szCs w:val="21"/>
                <w:highlight w:val="none"/>
              </w:rPr>
            </w:pPr>
            <w:r>
              <w:rPr>
                <w:rFonts w:ascii="Arial" w:hAnsi="Arial" w:cs="Arial"/>
                <w:color w:val="auto"/>
                <w:sz w:val="24"/>
                <w:szCs w:val="21"/>
                <w:highlight w:val="none"/>
              </w:rPr>
              <w:t>中英文专用分析软件</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套</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3</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 w:val="24"/>
                <w:szCs w:val="21"/>
                <w:highlight w:val="none"/>
              </w:rPr>
            </w:pPr>
            <w:r>
              <w:rPr>
                <w:rFonts w:ascii="Arial" w:hAnsi="Arial" w:cs="Arial"/>
                <w:color w:val="auto"/>
                <w:sz w:val="24"/>
                <w:szCs w:val="21"/>
                <w:highlight w:val="none"/>
              </w:rPr>
              <w:t>石英棉/3g</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包</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4</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 w:val="24"/>
                <w:szCs w:val="21"/>
                <w:highlight w:val="none"/>
              </w:rPr>
            </w:pPr>
            <w:r>
              <w:rPr>
                <w:rFonts w:ascii="Arial" w:hAnsi="Arial" w:cs="Arial"/>
                <w:color w:val="auto"/>
                <w:sz w:val="24"/>
                <w:szCs w:val="21"/>
                <w:highlight w:val="none"/>
              </w:rPr>
              <w:t>催化剂/40g</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份</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5</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 w:val="24"/>
                <w:szCs w:val="21"/>
                <w:highlight w:val="none"/>
              </w:rPr>
            </w:pPr>
            <w:r>
              <w:rPr>
                <w:rFonts w:ascii="Arial" w:hAnsi="Arial" w:cs="Arial"/>
                <w:color w:val="auto"/>
                <w:sz w:val="24"/>
                <w:szCs w:val="21"/>
                <w:highlight w:val="none"/>
              </w:rPr>
              <w:t>过滤器/1个</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只</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6</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 w:val="24"/>
                <w:szCs w:val="21"/>
                <w:highlight w:val="none"/>
              </w:rPr>
            </w:pPr>
            <w:r>
              <w:rPr>
                <w:rFonts w:ascii="Arial" w:hAnsi="Arial" w:cs="Arial"/>
                <w:color w:val="auto"/>
                <w:sz w:val="24"/>
                <w:szCs w:val="21"/>
                <w:highlight w:val="none"/>
              </w:rPr>
              <w:t>小过滤器/1个</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只</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7</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 w:val="24"/>
                <w:szCs w:val="21"/>
                <w:highlight w:val="none"/>
              </w:rPr>
            </w:pPr>
            <w:r>
              <w:rPr>
                <w:rFonts w:ascii="Arial" w:hAnsi="Arial" w:cs="Arial"/>
                <w:color w:val="auto"/>
                <w:sz w:val="24"/>
                <w:szCs w:val="21"/>
                <w:highlight w:val="none"/>
              </w:rPr>
              <w:t>卤素吸附填充物/10g</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包</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hint="eastAsia" w:ascii="Arial" w:hAnsi="Arial" w:cs="Arial"/>
                <w:color w:val="auto"/>
                <w:sz w:val="24"/>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8</w:t>
            </w:r>
          </w:p>
        </w:tc>
        <w:tc>
          <w:tcPr>
            <w:tcW w:w="382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color w:val="auto"/>
                <w:sz w:val="24"/>
                <w:szCs w:val="21"/>
                <w:highlight w:val="none"/>
              </w:rPr>
            </w:pPr>
            <w:r>
              <w:rPr>
                <w:rFonts w:ascii="Arial" w:hAnsi="Arial" w:cs="Arial"/>
                <w:color w:val="auto"/>
                <w:sz w:val="24"/>
                <w:szCs w:val="21"/>
                <w:highlight w:val="none"/>
              </w:rPr>
              <w:t>自动进样器系统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套</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Arial" w:hAnsi="Arial" w:cs="Arial"/>
                <w:color w:val="auto"/>
                <w:sz w:val="24"/>
                <w:szCs w:val="21"/>
                <w:highlight w:val="none"/>
              </w:rPr>
            </w:pPr>
            <w:r>
              <w:rPr>
                <w:rFonts w:ascii="Arial" w:hAnsi="Arial" w:cs="Arial"/>
                <w:color w:val="auto"/>
                <w:sz w:val="24"/>
                <w:szCs w:val="21"/>
                <w:highlight w:val="none"/>
              </w:rPr>
              <w:t>1</w:t>
            </w:r>
          </w:p>
        </w:tc>
      </w:tr>
    </w:tbl>
    <w:p>
      <w:pPr>
        <w:spacing w:before="91" w:line="219" w:lineRule="auto"/>
        <w:ind w:left="741"/>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w:t>
      </w:r>
      <w:r>
        <w:rPr>
          <w:rFonts w:ascii="宋体" w:hAnsi="宋体" w:eastAsia="宋体" w:cs="宋体"/>
          <w:color w:val="auto"/>
          <w:spacing w:val="15"/>
          <w:sz w:val="24"/>
          <w:szCs w:val="24"/>
          <w:highlight w:val="none"/>
        </w:rPr>
        <w:t>本</w:t>
      </w:r>
      <w:r>
        <w:rPr>
          <w:rFonts w:ascii="宋体" w:hAnsi="宋体" w:eastAsia="宋体" w:cs="宋体"/>
          <w:color w:val="auto"/>
          <w:spacing w:val="13"/>
          <w:sz w:val="24"/>
          <w:szCs w:val="24"/>
          <w:highlight w:val="none"/>
        </w:rPr>
        <w:t>内容由南京信息工程大学</w:t>
      </w:r>
      <w:r>
        <w:rPr>
          <w:rFonts w:hint="eastAsia" w:ascii="宋体" w:hAnsi="宋体" w:eastAsia="宋体" w:cs="宋体"/>
          <w:color w:val="auto"/>
          <w:spacing w:val="13"/>
          <w:sz w:val="24"/>
          <w:szCs w:val="24"/>
          <w:highlight w:val="none"/>
          <w:lang w:eastAsia="zh-CN"/>
        </w:rPr>
        <w:t>应用气象学院</w:t>
      </w:r>
      <w:r>
        <w:rPr>
          <w:rFonts w:ascii="宋体" w:hAnsi="宋体" w:eastAsia="宋体" w:cs="宋体"/>
          <w:color w:val="auto"/>
          <w:spacing w:val="13"/>
          <w:sz w:val="24"/>
          <w:szCs w:val="24"/>
          <w:highlight w:val="none"/>
        </w:rPr>
        <w:t>提供并负责)</w:t>
      </w:r>
    </w:p>
    <w:p>
      <w:pPr>
        <w:widowControl/>
        <w:jc w:val="left"/>
        <w:rPr>
          <w:rFonts w:hAnsi="宋体"/>
          <w:b/>
          <w:color w:val="auto"/>
          <w:sz w:val="28"/>
          <w:szCs w:val="28"/>
          <w:highlight w:val="none"/>
        </w:rPr>
      </w:pPr>
    </w:p>
    <w:p>
      <w:pPr>
        <w:pStyle w:val="5"/>
        <w:rPr>
          <w:color w:val="auto"/>
          <w:highlight w:val="none"/>
        </w:rPr>
      </w:pPr>
      <w:r>
        <w:rPr>
          <w:color w:val="auto"/>
          <w:highlight w:val="none"/>
        </w:rPr>
        <w:br w:type="page"/>
      </w: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日期：年月日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9"/>
    <w:bookmarkEnd w:id="10"/>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spacing w:line="360" w:lineRule="auto"/>
        <w:rPr>
          <w:bCs/>
          <w:color w:val="auto"/>
          <w:sz w:val="24"/>
          <w:highlight w:val="none"/>
        </w:rPr>
      </w:pPr>
      <w:r>
        <w:rPr>
          <w:rFonts w:hint="eastAsia"/>
          <w:bCs/>
          <w:color w:val="auto"/>
          <w:sz w:val="24"/>
          <w:highlight w:val="none"/>
        </w:rPr>
        <w:t>1、设备需符合</w:t>
      </w:r>
      <w:r>
        <w:rPr>
          <w:bCs/>
          <w:color w:val="auto"/>
          <w:sz w:val="24"/>
          <w:highlight w:val="none"/>
        </w:rPr>
        <w:t>ISO9001</w:t>
      </w:r>
      <w:r>
        <w:rPr>
          <w:rFonts w:hint="eastAsia"/>
          <w:bCs/>
          <w:color w:val="auto"/>
          <w:sz w:val="24"/>
          <w:highlight w:val="none"/>
        </w:rPr>
        <w:t>的质量标准。</w:t>
      </w:r>
    </w:p>
    <w:p>
      <w:pPr>
        <w:spacing w:line="360" w:lineRule="auto"/>
        <w:rPr>
          <w:bCs/>
          <w:color w:val="auto"/>
          <w:sz w:val="24"/>
          <w:highlight w:val="none"/>
        </w:rPr>
      </w:pPr>
      <w:r>
        <w:rPr>
          <w:rFonts w:hint="eastAsia"/>
          <w:bCs/>
          <w:color w:val="auto"/>
          <w:sz w:val="24"/>
          <w:highlight w:val="none"/>
        </w:rPr>
        <w:t>2、所购仪器质量保证期至少1年，提供仪器的终生维修；</w:t>
      </w:r>
    </w:p>
    <w:p>
      <w:pPr>
        <w:spacing w:line="360" w:lineRule="auto"/>
        <w:rPr>
          <w:bCs/>
          <w:color w:val="auto"/>
          <w:sz w:val="24"/>
          <w:highlight w:val="none"/>
        </w:rPr>
      </w:pPr>
      <w:r>
        <w:rPr>
          <w:rFonts w:hint="eastAsia"/>
          <w:bCs/>
          <w:color w:val="auto"/>
          <w:sz w:val="24"/>
          <w:highlight w:val="none"/>
        </w:rPr>
        <w:t>3、在任何时候，包括保修期后，在接到用户故障报告电话后，2小时内响应，24小时内提出解决方案，必要时，工程师在2个工作日内到达现场；</w:t>
      </w:r>
    </w:p>
    <w:p>
      <w:pPr>
        <w:spacing w:line="360" w:lineRule="auto"/>
        <w:rPr>
          <w:bCs/>
          <w:color w:val="auto"/>
          <w:sz w:val="24"/>
          <w:highlight w:val="none"/>
        </w:rPr>
      </w:pPr>
      <w:r>
        <w:rPr>
          <w:rFonts w:hint="eastAsia"/>
          <w:bCs/>
          <w:color w:val="auto"/>
          <w:sz w:val="24"/>
          <w:highlight w:val="none"/>
        </w:rPr>
        <w:t>4、提供软件终生免费升级；</w:t>
      </w:r>
    </w:p>
    <w:p>
      <w:pPr>
        <w:spacing w:line="360" w:lineRule="auto"/>
        <w:rPr>
          <w:bCs/>
          <w:color w:val="auto"/>
          <w:sz w:val="24"/>
          <w:highlight w:val="none"/>
        </w:rPr>
      </w:pPr>
      <w:r>
        <w:rPr>
          <w:rFonts w:hint="eastAsia"/>
          <w:bCs/>
          <w:color w:val="auto"/>
          <w:sz w:val="24"/>
          <w:highlight w:val="none"/>
        </w:rPr>
        <w:t>5、免费安装调试至仪器可正常运行；</w:t>
      </w:r>
    </w:p>
    <w:p>
      <w:pPr>
        <w:spacing w:line="360" w:lineRule="auto"/>
        <w:rPr>
          <w:bCs/>
          <w:color w:val="auto"/>
          <w:sz w:val="24"/>
          <w:highlight w:val="none"/>
        </w:rPr>
      </w:pPr>
      <w:r>
        <w:rPr>
          <w:bCs/>
          <w:color w:val="auto"/>
          <w:sz w:val="24"/>
          <w:highlight w:val="none"/>
        </w:rPr>
        <w:t>6</w:t>
      </w:r>
      <w:r>
        <w:rPr>
          <w:rFonts w:hint="eastAsia"/>
          <w:bCs/>
          <w:color w:val="auto"/>
          <w:sz w:val="24"/>
          <w:highlight w:val="none"/>
        </w:rPr>
        <w:t>、仪器安装调试后进行现场免费培训；</w:t>
      </w:r>
    </w:p>
    <w:p>
      <w:pPr>
        <w:spacing w:line="360" w:lineRule="auto"/>
        <w:rPr>
          <w:rFonts w:hint="eastAsia"/>
          <w:bCs/>
          <w:color w:val="auto"/>
          <w:sz w:val="24"/>
          <w:highlight w:val="none"/>
        </w:rPr>
      </w:pPr>
      <w:r>
        <w:rPr>
          <w:bCs/>
          <w:color w:val="auto"/>
          <w:sz w:val="24"/>
          <w:highlight w:val="none"/>
        </w:rPr>
        <w:t>7</w:t>
      </w:r>
      <w:r>
        <w:rPr>
          <w:rFonts w:hint="eastAsia"/>
          <w:bCs/>
          <w:color w:val="auto"/>
          <w:sz w:val="24"/>
          <w:highlight w:val="none"/>
        </w:rPr>
        <w:t>、提供由生产商安排的2人</w:t>
      </w:r>
      <w:r>
        <w:rPr>
          <w:bCs/>
          <w:color w:val="auto"/>
          <w:sz w:val="24"/>
          <w:highlight w:val="none"/>
        </w:rPr>
        <w:t>/</w:t>
      </w:r>
      <w:r>
        <w:rPr>
          <w:rFonts w:hint="eastAsia"/>
          <w:bCs/>
          <w:color w:val="auto"/>
          <w:sz w:val="24"/>
          <w:highlight w:val="none"/>
        </w:rPr>
        <w:t>次的厂家集中操作应用培训, 免收培训费。</w:t>
      </w:r>
    </w:p>
    <w:p>
      <w:pPr>
        <w:spacing w:line="360" w:lineRule="auto"/>
        <w:rPr>
          <w:rFonts w:hint="eastAsia"/>
          <w:bCs/>
          <w:color w:val="auto"/>
          <w:sz w:val="24"/>
          <w:highlight w:val="none"/>
          <w:lang w:val="en-US" w:eastAsia="zh-CN"/>
        </w:rPr>
      </w:pPr>
      <w:r>
        <w:rPr>
          <w:rFonts w:hint="eastAsia"/>
          <w:bCs/>
          <w:color w:val="auto"/>
          <w:sz w:val="24"/>
          <w:highlight w:val="none"/>
          <w:lang w:val="en-US" w:eastAsia="zh-CN"/>
        </w:rPr>
        <w:t>8、交货时间：合同签订之日起90日内。</w:t>
      </w:r>
    </w:p>
    <w:p>
      <w:pPr>
        <w:spacing w:line="360" w:lineRule="auto"/>
        <w:rPr>
          <w:rFonts w:hint="eastAsia"/>
          <w:bCs/>
          <w:color w:val="auto"/>
          <w:sz w:val="24"/>
          <w:highlight w:val="none"/>
          <w:lang w:val="en-US" w:eastAsia="zh-CN"/>
        </w:rPr>
      </w:pPr>
      <w:r>
        <w:rPr>
          <w:rFonts w:hint="eastAsia"/>
          <w:bCs/>
          <w:color w:val="auto"/>
          <w:sz w:val="24"/>
          <w:highlight w:val="none"/>
          <w:lang w:val="en-US" w:eastAsia="zh-CN"/>
        </w:rPr>
        <w:t>9、交货地点：南京信息工程大学校内。</w:t>
      </w:r>
    </w:p>
    <w:p>
      <w:pPr>
        <w:spacing w:line="360" w:lineRule="auto"/>
        <w:rPr>
          <w:rFonts w:hint="eastAsia"/>
          <w:bCs/>
          <w:color w:val="auto"/>
          <w:sz w:val="24"/>
          <w:highlight w:val="none"/>
          <w:lang w:val="en-US" w:eastAsia="zh-CN"/>
        </w:rPr>
      </w:pPr>
      <w:r>
        <w:rPr>
          <w:rFonts w:hint="eastAsia"/>
          <w:bCs/>
          <w:color w:val="auto"/>
          <w:sz w:val="24"/>
          <w:highlight w:val="none"/>
          <w:lang w:val="en-US" w:eastAsia="zh-CN"/>
        </w:rPr>
        <w:t>10、交货方式：中标单位送货上门并承担运费、运杂费、上下力费等相关费用。</w:t>
      </w:r>
    </w:p>
    <w:p>
      <w:pPr>
        <w:spacing w:line="360" w:lineRule="auto"/>
        <w:rPr>
          <w:rFonts w:hint="eastAsia"/>
          <w:bCs/>
          <w:color w:val="auto"/>
          <w:sz w:val="24"/>
          <w:highlight w:val="none"/>
          <w:lang w:val="en-US" w:eastAsia="zh-CN"/>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pStyle w:val="9"/>
        <w:ind w:left="147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360" w:lineRule="auto"/>
        <w:ind w:firstLine="480" w:firstLineChars="200"/>
        <w:rPr>
          <w:color w:val="auto"/>
          <w:highlight w:val="none"/>
        </w:rPr>
      </w:pPr>
      <w:r>
        <w:rPr>
          <w:rFonts w:hint="eastAsia" w:ascii="宋体" w:hAnsi="宋体"/>
          <w:color w:val="auto"/>
          <w:sz w:val="24"/>
          <w:highlight w:val="none"/>
        </w:rPr>
        <w:t>本项目采用综合评分法，总分为：</w:t>
      </w:r>
      <w:r>
        <w:rPr>
          <w:rFonts w:ascii="宋体" w:hAnsi="宋体"/>
          <w:color w:val="auto"/>
          <w:sz w:val="24"/>
          <w:highlight w:val="none"/>
        </w:rPr>
        <w:t>100</w:t>
      </w:r>
      <w:r>
        <w:rPr>
          <w:rFonts w:hint="eastAsia" w:ascii="宋体" w:hAnsi="宋体"/>
          <w:color w:val="auto"/>
          <w:sz w:val="24"/>
          <w:highlight w:val="none"/>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Pr>
          <w:p>
            <w:pPr>
              <w:kinsoku w:val="0"/>
              <w:overflowPunct w:val="0"/>
              <w:spacing w:before="88" w:after="120"/>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103" w:type="dxa"/>
          </w:tcPr>
          <w:p>
            <w:pPr>
              <w:kinsoku w:val="0"/>
              <w:overflowPunct w:val="0"/>
              <w:spacing w:before="88" w:after="120"/>
              <w:ind w:right="34" w:rightChars="16"/>
              <w:jc w:val="center"/>
              <w:rPr>
                <w:rFonts w:ascii="宋体" w:hAnsi="宋体" w:cs="宋体"/>
                <w:color w:val="auto"/>
                <w:szCs w:val="21"/>
                <w:highlight w:val="none"/>
              </w:rPr>
            </w:pPr>
            <w:r>
              <w:rPr>
                <w:rFonts w:hint="eastAsia" w:ascii="宋体" w:hAnsi="宋体" w:cs="宋体"/>
                <w:color w:val="auto"/>
                <w:szCs w:val="21"/>
                <w:highlight w:val="none"/>
              </w:rPr>
              <w:t>评分细节</w:t>
            </w:r>
          </w:p>
        </w:tc>
        <w:tc>
          <w:tcPr>
            <w:tcW w:w="1048" w:type="dxa"/>
          </w:tcPr>
          <w:p>
            <w:pPr>
              <w:kinsoku w:val="0"/>
              <w:overflowPunct w:val="0"/>
              <w:spacing w:before="88" w:after="120"/>
              <w:ind w:left="172"/>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color w:val="auto"/>
                <w:szCs w:val="21"/>
                <w:highlight w:val="none"/>
              </w:rPr>
            </w:pPr>
            <w:r>
              <w:rPr>
                <w:rFonts w:hint="eastAsia" w:ascii="宋体" w:hAnsi="宋体" w:cs="宋体"/>
                <w:color w:val="auto"/>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276" w:type="dxa"/>
            <w:vAlign w:val="center"/>
          </w:tcPr>
          <w:p>
            <w:pPr>
              <w:kinsoku w:val="0"/>
              <w:overflowPunct w:val="0"/>
              <w:spacing w:after="120" w:line="360" w:lineRule="exact"/>
              <w:ind w:right="155"/>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103" w:type="dxa"/>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276" w:type="dxa"/>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技术参数</w:t>
            </w:r>
          </w:p>
        </w:tc>
        <w:tc>
          <w:tcPr>
            <w:tcW w:w="5103" w:type="dxa"/>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设备技术参数全部满足招标要求的得满分；打★号指标为核心指标项，如有负偏离按无效投标处理；打▲项为重要指标项，有一项负偏离扣5分，扣完为止。非打★号指标，有一项负偏离扣3分，扣完为止。严重负偏离影响设备性能的经半数以上评委认定，本项得零分。</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各投标供应商均应如实填写偏离情况，技术参数性能等偏离不能改变采购产品使用的质量和功能，否则为无效投标。</w:t>
            </w:r>
          </w:p>
          <w:p>
            <w:pPr>
              <w:spacing w:line="360" w:lineRule="exact"/>
              <w:rPr>
                <w:rFonts w:ascii="宋体" w:hAnsi="宋体" w:cs="Arial"/>
                <w:color w:val="auto"/>
                <w:sz w:val="24"/>
                <w:highlight w:val="none"/>
              </w:rPr>
            </w:pPr>
            <w:r>
              <w:rPr>
                <w:rFonts w:hint="eastAsia" w:ascii="宋体" w:hAnsi="宋体" w:cs="宋体"/>
                <w:color w:val="auto"/>
                <w:kern w:val="0"/>
                <w:szCs w:val="21"/>
                <w:highlight w:val="none"/>
              </w:rPr>
              <w:t>技术参数中需要提供证明材料的指标项，如在投标时未能提供有效证明材料，按负偏离处理。</w:t>
            </w: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color w:val="auto"/>
                <w:szCs w:val="21"/>
                <w:highlight w:val="none"/>
              </w:rPr>
            </w:pPr>
            <w:r>
              <w:rPr>
                <w:rFonts w:hint="eastAsia" w:ascii="宋体" w:hAnsi="宋体" w:cs="宋体"/>
                <w:color w:val="auto"/>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color w:val="auto"/>
                <w:szCs w:val="21"/>
                <w:highlight w:val="none"/>
              </w:rPr>
            </w:pPr>
          </w:p>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3.1</w:t>
            </w:r>
          </w:p>
          <w:p>
            <w:pPr>
              <w:spacing w:line="360" w:lineRule="exact"/>
              <w:jc w:val="center"/>
              <w:rPr>
                <w:rFonts w:ascii="宋体" w:hAnsi="宋体" w:cs="宋体"/>
                <w:color w:val="auto"/>
                <w:kern w:val="0"/>
                <w:szCs w:val="21"/>
                <w:highlight w:val="none"/>
              </w:rPr>
            </w:pPr>
          </w:p>
        </w:tc>
        <w:tc>
          <w:tcPr>
            <w:tcW w:w="1276" w:type="dxa"/>
            <w:vAlign w:val="center"/>
          </w:tcPr>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安装调试方案</w:t>
            </w:r>
          </w:p>
        </w:tc>
        <w:tc>
          <w:tcPr>
            <w:tcW w:w="5103" w:type="dxa"/>
            <w:vAlign w:val="center"/>
          </w:tcPr>
          <w:p>
            <w:pPr>
              <w:kinsoku w:val="0"/>
              <w:overflowPunct w:val="0"/>
              <w:spacing w:before="88" w:after="120" w:line="360" w:lineRule="exact"/>
              <w:ind w:right="245"/>
              <w:jc w:val="left"/>
              <w:rPr>
                <w:rFonts w:ascii="宋体" w:hAnsi="宋体" w:cs="宋体"/>
                <w:color w:val="auto"/>
                <w:szCs w:val="21"/>
                <w:highlight w:val="none"/>
              </w:rPr>
            </w:pPr>
            <w:r>
              <w:rPr>
                <w:rFonts w:hint="eastAsia" w:ascii="宋体" w:hAnsi="宋体" w:cs="宋体"/>
                <w:color w:val="auto"/>
                <w:szCs w:val="21"/>
                <w:highlight w:val="none"/>
              </w:rPr>
              <w:t>依据供应商提供的本次招标采购设备到校后的安装调试方案的完整性、合理性最优的得</w:t>
            </w:r>
            <w:r>
              <w:rPr>
                <w:rFonts w:ascii="宋体" w:hAnsi="宋体" w:cs="宋体"/>
                <w:color w:val="auto"/>
                <w:szCs w:val="21"/>
                <w:highlight w:val="none"/>
              </w:rPr>
              <w:t>2</w:t>
            </w:r>
            <w:r>
              <w:rPr>
                <w:rFonts w:hint="eastAsia" w:ascii="宋体" w:hAnsi="宋体" w:cs="宋体"/>
                <w:color w:val="auto"/>
                <w:szCs w:val="21"/>
                <w:highlight w:val="none"/>
              </w:rPr>
              <w:t>分，一般得1分，其他不得分。</w:t>
            </w: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276" w:type="dxa"/>
            <w:vAlign w:val="center"/>
          </w:tcPr>
          <w:p>
            <w:pPr>
              <w:kinsoku w:val="0"/>
              <w:overflowPunct w:val="0"/>
              <w:spacing w:after="120" w:line="360" w:lineRule="exact"/>
              <w:ind w:left="337"/>
              <w:jc w:val="center"/>
              <w:rPr>
                <w:rFonts w:ascii="宋体" w:hAnsi="宋体" w:cs="宋体"/>
                <w:color w:val="auto"/>
                <w:szCs w:val="21"/>
                <w:highlight w:val="none"/>
              </w:rPr>
            </w:pPr>
          </w:p>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p>
            <w:pPr>
              <w:spacing w:line="360" w:lineRule="exact"/>
              <w:jc w:val="center"/>
              <w:rPr>
                <w:rFonts w:ascii="宋体" w:hAnsi="宋体" w:cs="宋体"/>
                <w:color w:val="auto"/>
                <w:kern w:val="0"/>
                <w:szCs w:val="21"/>
                <w:highlight w:val="none"/>
              </w:rPr>
            </w:pPr>
          </w:p>
        </w:tc>
        <w:tc>
          <w:tcPr>
            <w:tcW w:w="5103" w:type="dxa"/>
            <w:vAlign w:val="center"/>
          </w:tcPr>
          <w:p>
            <w:pPr>
              <w:kinsoku w:val="0"/>
              <w:overflowPunct w:val="0"/>
              <w:spacing w:before="88" w:after="120" w:line="360" w:lineRule="exact"/>
              <w:jc w:val="left"/>
              <w:rPr>
                <w:rFonts w:ascii="宋体" w:hAnsi="宋体" w:cs="宋体"/>
                <w:color w:val="auto"/>
                <w:szCs w:val="21"/>
                <w:highlight w:val="none"/>
              </w:rPr>
            </w:pPr>
            <w:r>
              <w:rPr>
                <w:rFonts w:hint="eastAsia" w:ascii="宋体" w:hAnsi="宋体" w:cs="宋体"/>
                <w:color w:val="auto"/>
                <w:szCs w:val="21"/>
                <w:highlight w:val="none"/>
              </w:rPr>
              <w:t>售后服务方案（服务体系、服务内容、故障解决方案、专业技术人员保障及服务电话）最优的得</w:t>
            </w:r>
            <w:r>
              <w:rPr>
                <w:rFonts w:ascii="宋体" w:hAnsi="宋体" w:cs="宋体"/>
                <w:color w:val="auto"/>
                <w:szCs w:val="21"/>
                <w:highlight w:val="none"/>
              </w:rPr>
              <w:t>3</w:t>
            </w:r>
            <w:r>
              <w:rPr>
                <w:rFonts w:hint="eastAsia" w:ascii="宋体" w:hAnsi="宋体" w:cs="宋体"/>
                <w:color w:val="auto"/>
                <w:szCs w:val="21"/>
                <w:highlight w:val="none"/>
              </w:rPr>
              <w:t>分，一般得1分，其他不得分。</w:t>
            </w: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color w:val="auto"/>
                <w:szCs w:val="21"/>
                <w:highlight w:val="none"/>
              </w:rPr>
            </w:pPr>
            <w:r>
              <w:rPr>
                <w:rFonts w:hint="eastAsia" w:ascii="宋体" w:hAnsi="宋体" w:cs="宋体"/>
                <w:color w:val="auto"/>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704" w:type="dxa"/>
          </w:tcPr>
          <w:p>
            <w:pPr>
              <w:kinsoku w:val="0"/>
              <w:overflowPunct w:val="0"/>
              <w:spacing w:after="120" w:line="360" w:lineRule="exact"/>
              <w:ind w:left="213"/>
              <w:rPr>
                <w:rFonts w:ascii="宋体" w:hAnsi="宋体" w:cs="宋体"/>
                <w:color w:val="auto"/>
                <w:szCs w:val="21"/>
                <w:highlight w:val="none"/>
              </w:rPr>
            </w:pPr>
          </w:p>
          <w:p>
            <w:pPr>
              <w:kinsoku w:val="0"/>
              <w:overflowPunct w:val="0"/>
              <w:spacing w:after="120" w:line="360" w:lineRule="exact"/>
              <w:ind w:left="213"/>
              <w:rPr>
                <w:rFonts w:ascii="宋体" w:hAnsi="宋体" w:cs="宋体"/>
                <w:color w:val="auto"/>
                <w:szCs w:val="21"/>
                <w:highlight w:val="none"/>
              </w:rPr>
            </w:pPr>
            <w:r>
              <w:rPr>
                <w:rFonts w:hint="eastAsia" w:ascii="宋体" w:hAnsi="宋体" w:cs="宋体"/>
                <w:color w:val="auto"/>
                <w:szCs w:val="21"/>
                <w:highlight w:val="none"/>
              </w:rPr>
              <w:t>4.1</w:t>
            </w:r>
          </w:p>
        </w:tc>
        <w:tc>
          <w:tcPr>
            <w:tcW w:w="1276" w:type="dxa"/>
          </w:tcPr>
          <w:p>
            <w:pPr>
              <w:kinsoku w:val="0"/>
              <w:overflowPunct w:val="0"/>
              <w:spacing w:after="120" w:line="360" w:lineRule="exact"/>
              <w:ind w:left="155" w:right="155"/>
              <w:jc w:val="center"/>
              <w:rPr>
                <w:rFonts w:ascii="宋体" w:hAnsi="宋体" w:cs="宋体"/>
                <w:color w:val="auto"/>
                <w:szCs w:val="21"/>
                <w:highlight w:val="none"/>
              </w:rPr>
            </w:pPr>
          </w:p>
          <w:p>
            <w:pPr>
              <w:kinsoku w:val="0"/>
              <w:overflowPunct w:val="0"/>
              <w:spacing w:after="120" w:line="360" w:lineRule="exact"/>
              <w:ind w:left="155" w:right="155"/>
              <w:jc w:val="center"/>
              <w:rPr>
                <w:rFonts w:ascii="宋体" w:hAnsi="宋体" w:cs="宋体"/>
                <w:color w:val="auto"/>
                <w:kern w:val="0"/>
                <w:szCs w:val="21"/>
                <w:highlight w:val="none"/>
              </w:rPr>
            </w:pPr>
            <w:r>
              <w:rPr>
                <w:rFonts w:hint="eastAsia" w:ascii="宋体" w:hAnsi="宋体" w:cs="宋体"/>
                <w:color w:val="auto"/>
                <w:szCs w:val="21"/>
                <w:highlight w:val="none"/>
              </w:rPr>
              <w:t>业绩</w:t>
            </w:r>
          </w:p>
        </w:tc>
        <w:tc>
          <w:tcPr>
            <w:tcW w:w="5103" w:type="dxa"/>
          </w:tcPr>
          <w:p>
            <w:pPr>
              <w:kinsoku w:val="0"/>
              <w:overflowPunct w:val="0"/>
              <w:spacing w:before="88" w:after="120" w:line="360" w:lineRule="exact"/>
              <w:ind w:right="155"/>
              <w:rPr>
                <w:rFonts w:ascii="宋体" w:hAnsi="宋体" w:cs="宋体"/>
                <w:color w:val="auto"/>
                <w:szCs w:val="21"/>
                <w:highlight w:val="none"/>
              </w:rPr>
            </w:pPr>
            <w:r>
              <w:rPr>
                <w:rFonts w:hint="eastAsia" w:ascii="宋体" w:hAnsi="宋体" w:cs="宋体"/>
                <w:color w:val="auto"/>
                <w:szCs w:val="21"/>
                <w:highlight w:val="none"/>
              </w:rPr>
              <w:t>依据投标人或投标产品自2019年1月1日以来的成功案例，</w:t>
            </w:r>
            <w:r>
              <w:rPr>
                <w:rFonts w:hint="eastAsia" w:ascii="宋体" w:hAnsi="宋体" w:cs="宋体"/>
                <w:color w:val="auto"/>
                <w:szCs w:val="21"/>
                <w:highlight w:val="none"/>
              </w:rPr>
              <w:t>每提供一个得</w:t>
            </w:r>
            <w:r>
              <w:rPr>
                <w:rFonts w:ascii="宋体" w:hAnsi="宋体" w:cs="宋体"/>
                <w:color w:val="auto"/>
                <w:szCs w:val="21"/>
                <w:highlight w:val="none"/>
              </w:rPr>
              <w:t>1</w:t>
            </w:r>
            <w:r>
              <w:rPr>
                <w:rFonts w:hint="eastAsia" w:ascii="宋体" w:hAnsi="宋体" w:cs="宋体"/>
                <w:color w:val="auto"/>
                <w:szCs w:val="21"/>
                <w:highlight w:val="none"/>
              </w:rPr>
              <w:t>分，最多</w:t>
            </w:r>
            <w:r>
              <w:rPr>
                <w:rFonts w:ascii="宋体" w:hAnsi="宋体" w:cs="宋体"/>
                <w:color w:val="auto"/>
                <w:szCs w:val="21"/>
                <w:highlight w:val="none"/>
              </w:rPr>
              <w:t>5</w:t>
            </w:r>
            <w:r>
              <w:rPr>
                <w:rFonts w:hint="eastAsia" w:ascii="宋体" w:hAnsi="宋体" w:cs="宋体"/>
                <w:color w:val="auto"/>
                <w:szCs w:val="21"/>
                <w:highlight w:val="none"/>
              </w:rPr>
              <w:t>分。须提供有效的合同（时间以合同签订日期为准）。（复印件加盖公章，原件备查）。</w:t>
            </w:r>
          </w:p>
        </w:tc>
        <w:tc>
          <w:tcPr>
            <w:tcW w:w="1048" w:type="dxa"/>
          </w:tcPr>
          <w:p>
            <w:pPr>
              <w:spacing w:line="360" w:lineRule="exact"/>
              <w:rPr>
                <w:rFonts w:ascii="宋体" w:hAnsi="宋体" w:cs="宋体"/>
                <w:color w:val="auto"/>
                <w:kern w:val="0"/>
                <w:szCs w:val="21"/>
                <w:highlight w:val="none"/>
              </w:rPr>
            </w:pPr>
          </w:p>
          <w:p>
            <w:pPr>
              <w:spacing w:line="360" w:lineRule="exact"/>
              <w:ind w:firstLine="210" w:firstLineChars="100"/>
              <w:rPr>
                <w:rFonts w:ascii="宋体" w:hAnsi="宋体" w:cs="宋体"/>
                <w:color w:val="auto"/>
                <w:kern w:val="0"/>
                <w:szCs w:val="21"/>
                <w:highlight w:val="none"/>
              </w:rPr>
            </w:pPr>
            <w:r>
              <w:rPr>
                <w:rFonts w:ascii="宋体" w:hAnsi="宋体" w:cs="宋体"/>
                <w:color w:val="auto"/>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color w:val="auto"/>
                <w:szCs w:val="21"/>
                <w:highlight w:val="none"/>
              </w:rPr>
            </w:pPr>
            <w:r>
              <w:rPr>
                <w:rFonts w:hint="eastAsia" w:ascii="宋体" w:hAnsi="宋体" w:cs="宋体"/>
                <w:color w:val="auto"/>
                <w:szCs w:val="21"/>
                <w:highlight w:val="none"/>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rPr>
                <w:rFonts w:ascii="宋体" w:hAnsi="宋体" w:cs="宋体"/>
                <w:color w:val="auto"/>
                <w:szCs w:val="21"/>
                <w:highlight w:val="none"/>
              </w:rPr>
            </w:pPr>
          </w:p>
          <w:p>
            <w:pPr>
              <w:kinsoku w:val="0"/>
              <w:overflowPunct w:val="0"/>
              <w:spacing w:after="120" w:line="360" w:lineRule="exact"/>
              <w:ind w:left="213"/>
              <w:jc w:val="center"/>
              <w:rPr>
                <w:rFonts w:ascii="宋体" w:hAnsi="宋体" w:cs="宋体"/>
                <w:color w:val="auto"/>
                <w:szCs w:val="21"/>
                <w:highlight w:val="none"/>
              </w:rPr>
            </w:pPr>
            <w:r>
              <w:rPr>
                <w:rFonts w:hint="eastAsia" w:ascii="宋体" w:hAnsi="宋体" w:cs="宋体"/>
                <w:color w:val="auto"/>
                <w:szCs w:val="21"/>
                <w:highlight w:val="none"/>
              </w:rPr>
              <w:t>5.1</w:t>
            </w:r>
          </w:p>
          <w:p>
            <w:pPr>
              <w:spacing w:line="360" w:lineRule="exact"/>
              <w:jc w:val="center"/>
              <w:rPr>
                <w:rFonts w:ascii="宋体" w:hAnsi="宋体" w:cs="宋体"/>
                <w:color w:val="auto"/>
                <w:kern w:val="0"/>
                <w:szCs w:val="21"/>
                <w:highlight w:val="none"/>
              </w:rPr>
            </w:pPr>
          </w:p>
        </w:tc>
        <w:tc>
          <w:tcPr>
            <w:tcW w:w="1276" w:type="dxa"/>
            <w:vAlign w:val="center"/>
          </w:tcPr>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质量安全体系认证</w:t>
            </w:r>
          </w:p>
          <w:p>
            <w:pPr>
              <w:spacing w:line="360" w:lineRule="exact"/>
              <w:jc w:val="center"/>
              <w:rPr>
                <w:rFonts w:ascii="宋体" w:hAnsi="宋体" w:cs="宋体"/>
                <w:color w:val="auto"/>
                <w:kern w:val="0"/>
                <w:szCs w:val="21"/>
                <w:highlight w:val="none"/>
              </w:rPr>
            </w:pPr>
          </w:p>
        </w:tc>
        <w:tc>
          <w:tcPr>
            <w:tcW w:w="5103" w:type="dxa"/>
          </w:tcPr>
          <w:p>
            <w:pPr>
              <w:kinsoku w:val="0"/>
              <w:overflowPunct w:val="0"/>
              <w:spacing w:before="88" w:after="120" w:line="360" w:lineRule="exact"/>
              <w:ind w:right="155"/>
              <w:rPr>
                <w:rFonts w:ascii="宋体" w:hAnsi="宋体" w:cs="宋体"/>
                <w:color w:val="auto"/>
                <w:szCs w:val="21"/>
                <w:highlight w:val="none"/>
              </w:rPr>
            </w:pPr>
            <w:r>
              <w:rPr>
                <w:rFonts w:hint="eastAsia" w:ascii="宋体" w:hAnsi="宋体" w:cs="宋体"/>
                <w:color w:val="auto"/>
                <w:szCs w:val="21"/>
                <w:highlight w:val="none"/>
              </w:rPr>
              <w:t>投标人或制造厂商</w:t>
            </w:r>
            <w:r>
              <w:rPr>
                <w:rFonts w:hint="eastAsia" w:ascii="宋体" w:hAnsi="宋体" w:cs="宋体"/>
                <w:color w:val="auto"/>
                <w:szCs w:val="21"/>
                <w:highlight w:val="none"/>
              </w:rPr>
              <w:t>具有效期内的ISO9001质量体系认证，提供1个得</w:t>
            </w:r>
            <w:r>
              <w:rPr>
                <w:rFonts w:ascii="宋体" w:hAnsi="宋体" w:cs="宋体"/>
                <w:color w:val="auto"/>
                <w:szCs w:val="21"/>
                <w:highlight w:val="none"/>
              </w:rPr>
              <w:t>3</w:t>
            </w:r>
            <w:r>
              <w:rPr>
                <w:rFonts w:hint="eastAsia" w:ascii="宋体" w:hAnsi="宋体" w:cs="宋体"/>
                <w:color w:val="auto"/>
                <w:szCs w:val="21"/>
                <w:highlight w:val="none"/>
              </w:rPr>
              <w:t>分，没有不得分，最多得3分。（复印件加盖单位公章）</w:t>
            </w:r>
          </w:p>
        </w:tc>
        <w:tc>
          <w:tcPr>
            <w:tcW w:w="1048" w:type="dxa"/>
          </w:tcPr>
          <w:p>
            <w:pPr>
              <w:spacing w:line="360" w:lineRule="exact"/>
              <w:rPr>
                <w:rFonts w:ascii="宋体" w:hAnsi="宋体" w:cs="宋体"/>
                <w:color w:val="auto"/>
                <w:kern w:val="0"/>
                <w:szCs w:val="21"/>
                <w:highlight w:val="none"/>
              </w:rPr>
            </w:pPr>
          </w:p>
          <w:p>
            <w:pPr>
              <w:spacing w:line="36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color w:val="auto"/>
                <w:szCs w:val="21"/>
                <w:highlight w:val="none"/>
              </w:rPr>
            </w:pPr>
            <w:r>
              <w:rPr>
                <w:rFonts w:hint="eastAsia" w:ascii="宋体" w:hAnsi="宋体"/>
                <w:color w:val="auto"/>
                <w:szCs w:val="21"/>
                <w:highlight w:val="none"/>
              </w:rPr>
              <w:t>6.1</w:t>
            </w:r>
          </w:p>
        </w:tc>
        <w:tc>
          <w:tcPr>
            <w:tcW w:w="1276" w:type="dxa"/>
            <w:vAlign w:val="center"/>
          </w:tcPr>
          <w:p>
            <w:pPr>
              <w:jc w:val="center"/>
              <w:rPr>
                <w:rFonts w:ascii="宋体" w:hAnsi="宋体"/>
                <w:color w:val="auto"/>
                <w:szCs w:val="21"/>
                <w:highlight w:val="none"/>
              </w:rPr>
            </w:pPr>
            <w:r>
              <w:rPr>
                <w:rFonts w:hint="eastAsia" w:ascii="宋体" w:hAnsi="宋体"/>
                <w:color w:val="auto"/>
                <w:szCs w:val="21"/>
                <w:highlight w:val="none"/>
              </w:rPr>
              <w:t>投标文件便于评审</w:t>
            </w:r>
          </w:p>
        </w:tc>
        <w:tc>
          <w:tcPr>
            <w:tcW w:w="5103" w:type="dxa"/>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r>
    </w:tbl>
    <w:p>
      <w:pPr>
        <w:spacing w:before="91" w:line="219" w:lineRule="auto"/>
        <w:ind w:left="741"/>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w:t>
      </w:r>
      <w:r>
        <w:rPr>
          <w:rFonts w:ascii="宋体" w:hAnsi="宋体" w:eastAsia="宋体" w:cs="宋体"/>
          <w:color w:val="auto"/>
          <w:spacing w:val="15"/>
          <w:sz w:val="24"/>
          <w:szCs w:val="24"/>
          <w:highlight w:val="none"/>
        </w:rPr>
        <w:t>本</w:t>
      </w:r>
      <w:r>
        <w:rPr>
          <w:rFonts w:ascii="宋体" w:hAnsi="宋体" w:eastAsia="宋体" w:cs="宋体"/>
          <w:color w:val="auto"/>
          <w:spacing w:val="13"/>
          <w:sz w:val="24"/>
          <w:szCs w:val="24"/>
          <w:highlight w:val="none"/>
        </w:rPr>
        <w:t>内容由南京信息工程大学</w:t>
      </w:r>
      <w:r>
        <w:rPr>
          <w:rFonts w:hint="eastAsia" w:ascii="宋体" w:hAnsi="宋体" w:eastAsia="宋体" w:cs="宋体"/>
          <w:color w:val="auto"/>
          <w:spacing w:val="13"/>
          <w:sz w:val="24"/>
          <w:szCs w:val="24"/>
          <w:highlight w:val="none"/>
          <w:lang w:eastAsia="zh-CN"/>
        </w:rPr>
        <w:t>应用气象学院</w:t>
      </w:r>
      <w:r>
        <w:rPr>
          <w:rFonts w:ascii="宋体" w:hAnsi="宋体" w:eastAsia="宋体" w:cs="宋体"/>
          <w:color w:val="auto"/>
          <w:spacing w:val="13"/>
          <w:sz w:val="24"/>
          <w:szCs w:val="24"/>
          <w:highlight w:val="none"/>
        </w:rPr>
        <w:t>提供并负责)</w:t>
      </w: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rPr>
          <w:rFonts w:hint="eastAsia"/>
          <w:b/>
          <w:color w:val="auto"/>
          <w:sz w:val="28"/>
          <w:szCs w:val="28"/>
          <w:highlight w:val="none"/>
        </w:rPr>
      </w:pPr>
      <w:r>
        <w:rPr>
          <w:rFonts w:hint="eastAsia"/>
          <w:b/>
          <w:color w:val="auto"/>
          <w:sz w:val="28"/>
          <w:szCs w:val="28"/>
          <w:highlight w:val="none"/>
        </w:rPr>
        <w:br w:type="page"/>
      </w: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tabs>
          <w:tab w:val="left" w:pos="5460"/>
        </w:tabs>
        <w:adjustRightInd w:val="0"/>
        <w:snapToGrid w:val="0"/>
        <w:spacing w:before="120" w:beforeLines="50" w:after="120" w:afterLines="50" w:line="360" w:lineRule="auto"/>
        <w:jc w:val="center"/>
        <w:outlineLvl w:val="0"/>
        <w:rPr>
          <w:rFonts w:ascii="宋体" w:hAnsi="宋体"/>
          <w:b/>
          <w:color w:val="auto"/>
          <w:sz w:val="34"/>
          <w:highlight w:val="none"/>
        </w:rPr>
      </w:pPr>
      <w:r>
        <w:rPr>
          <w:rFonts w:hint="eastAsia" w:ascii="宋体" w:hAnsi="宋体"/>
          <w:b/>
          <w:color w:val="auto"/>
          <w:sz w:val="34"/>
          <w:highlight w:val="none"/>
        </w:rPr>
        <w:t>采购合同</w:t>
      </w:r>
    </w:p>
    <w:p>
      <w:pPr>
        <w:adjustRightInd w:val="0"/>
        <w:snapToGrid w:val="0"/>
        <w:spacing w:before="120" w:beforeLines="50" w:after="120" w:afterLines="50" w:line="360" w:lineRule="auto"/>
        <w:jc w:val="center"/>
        <w:outlineLvl w:val="0"/>
        <w:rPr>
          <w:rFonts w:hint="eastAsia" w:ascii="宋体" w:hAnsi="宋体"/>
          <w:b/>
          <w:bCs/>
          <w:color w:val="auto"/>
          <w:sz w:val="24"/>
          <w:highlight w:val="none"/>
        </w:rPr>
      </w:pPr>
      <w:r>
        <w:rPr>
          <w:rFonts w:hint="eastAsia" w:ascii="宋体" w:hAnsi="宋体"/>
          <w:b/>
          <w:color w:val="auto"/>
          <w:sz w:val="24"/>
          <w:highlight w:val="none"/>
        </w:rPr>
        <w:t>（本参考文本供职能部门参考，合同的具体条款可由职能部门依据实际情况进行修改）</w:t>
      </w:r>
    </w:p>
    <w:p>
      <w:pPr>
        <w:pStyle w:val="11"/>
        <w:adjustRightInd w:val="0"/>
        <w:snapToGrid w:val="0"/>
        <w:spacing w:before="120" w:after="120" w:line="360" w:lineRule="auto"/>
        <w:rPr>
          <w:rFonts w:hint="eastAsia" w:hAnsi="宋体"/>
          <w:color w:val="auto"/>
          <w:sz w:val="24"/>
          <w:szCs w:val="24"/>
          <w:highlight w:val="none"/>
        </w:rPr>
      </w:pPr>
      <w:r>
        <w:rPr>
          <w:rFonts w:hint="eastAsia" w:hAnsi="宋体"/>
          <w:color w:val="auto"/>
          <w:sz w:val="24"/>
          <w:szCs w:val="24"/>
          <w:highlight w:val="none"/>
        </w:rPr>
        <w:t xml:space="preserve">项目名称：                                      </w:t>
      </w:r>
    </w:p>
    <w:p>
      <w:pPr>
        <w:pStyle w:val="11"/>
        <w:adjustRightInd w:val="0"/>
        <w:snapToGrid w:val="0"/>
        <w:spacing w:before="120" w:after="120" w:line="360" w:lineRule="auto"/>
        <w:rPr>
          <w:rFonts w:hint="eastAsia" w:hAnsi="宋体"/>
          <w:color w:val="auto"/>
          <w:sz w:val="24"/>
          <w:szCs w:val="24"/>
          <w:highlight w:val="none"/>
        </w:rPr>
      </w:pPr>
      <w:r>
        <w:rPr>
          <w:rFonts w:hint="eastAsia" w:hAnsi="宋体"/>
          <w:color w:val="auto"/>
          <w:sz w:val="24"/>
          <w:szCs w:val="24"/>
          <w:highlight w:val="none"/>
        </w:rPr>
        <w:t>合同编号：</w:t>
      </w:r>
    </w:p>
    <w:p>
      <w:pPr>
        <w:pStyle w:val="11"/>
        <w:adjustRightInd w:val="0"/>
        <w:snapToGrid w:val="0"/>
        <w:spacing w:before="120" w:after="120" w:line="360" w:lineRule="auto"/>
        <w:rPr>
          <w:rFonts w:hint="eastAsia" w:hAnsi="宋体"/>
          <w:color w:val="auto"/>
          <w:sz w:val="24"/>
          <w:szCs w:val="24"/>
          <w:highlight w:val="none"/>
          <w:u w:val="single"/>
        </w:rPr>
      </w:pPr>
      <w:r>
        <w:rPr>
          <w:rFonts w:hint="eastAsia" w:hAnsi="宋体"/>
          <w:color w:val="auto"/>
          <w:sz w:val="24"/>
          <w:szCs w:val="24"/>
          <w:highlight w:val="none"/>
        </w:rPr>
        <w:t>甲方：（买方）</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pPr>
        <w:pStyle w:val="11"/>
        <w:adjustRightInd w:val="0"/>
        <w:snapToGrid w:val="0"/>
        <w:spacing w:before="120" w:after="120" w:line="360" w:lineRule="auto"/>
        <w:rPr>
          <w:rFonts w:hint="eastAsia" w:hAnsi="宋体"/>
          <w:color w:val="auto"/>
          <w:sz w:val="24"/>
          <w:szCs w:val="24"/>
          <w:highlight w:val="none"/>
        </w:rPr>
      </w:pPr>
      <w:r>
        <w:rPr>
          <w:rFonts w:hint="eastAsia" w:hAnsi="宋体"/>
          <w:color w:val="auto"/>
          <w:sz w:val="24"/>
          <w:szCs w:val="24"/>
          <w:highlight w:val="none"/>
        </w:rPr>
        <w:t>乙方：（卖方）</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rPr>
        <w:t xml:space="preserve">         </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color w:val="auto"/>
          <w:sz w:val="24"/>
          <w:szCs w:val="24"/>
          <w:highlight w:val="none"/>
        </w:rPr>
        <w:t>甲、乙双方根据甲方</w:t>
      </w:r>
      <w:r>
        <w:rPr>
          <w:rFonts w:hint="eastAsia" w:hAnsi="宋体"/>
          <w:color w:val="auto"/>
          <w:sz w:val="24"/>
          <w:szCs w:val="24"/>
          <w:highlight w:val="none"/>
          <w:u w:val="single"/>
        </w:rPr>
        <w:t xml:space="preserve">               </w:t>
      </w:r>
      <w:r>
        <w:rPr>
          <w:rFonts w:hint="eastAsia" w:hAnsi="宋体"/>
          <w:color w:val="auto"/>
          <w:sz w:val="24"/>
          <w:szCs w:val="24"/>
          <w:highlight w:val="none"/>
        </w:rPr>
        <w:t>项目采购谈判的结果，签署本合同。</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一、货物内容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31"/>
        <w:gridCol w:w="247"/>
        <w:gridCol w:w="741"/>
        <w:gridCol w:w="1031"/>
        <w:gridCol w:w="1031"/>
        <w:gridCol w:w="1031"/>
        <w:gridCol w:w="1031"/>
        <w:gridCol w:w="1033"/>
        <w:gridCol w:w="102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分包号</w:t>
            </w:r>
          </w:p>
        </w:tc>
        <w:tc>
          <w:tcPr>
            <w:tcW w:w="1032" w:type="dxa"/>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货物</w:t>
            </w:r>
          </w:p>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名称</w:t>
            </w:r>
          </w:p>
        </w:tc>
        <w:tc>
          <w:tcPr>
            <w:tcW w:w="988" w:type="dxa"/>
            <w:gridSpan w:val="2"/>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型号/</w:t>
            </w:r>
          </w:p>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规格</w:t>
            </w:r>
          </w:p>
        </w:tc>
        <w:tc>
          <w:tcPr>
            <w:tcW w:w="1031" w:type="dxa"/>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品牌/生产厂家/国别</w:t>
            </w:r>
          </w:p>
        </w:tc>
        <w:tc>
          <w:tcPr>
            <w:tcW w:w="1031" w:type="dxa"/>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计量</w:t>
            </w:r>
          </w:p>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单位</w:t>
            </w:r>
          </w:p>
        </w:tc>
        <w:tc>
          <w:tcPr>
            <w:tcW w:w="1031" w:type="dxa"/>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数量</w:t>
            </w:r>
          </w:p>
        </w:tc>
        <w:tc>
          <w:tcPr>
            <w:tcW w:w="1031" w:type="dxa"/>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tc>
        <w:tc>
          <w:tcPr>
            <w:tcW w:w="1033" w:type="dxa"/>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每项</w:t>
            </w:r>
          </w:p>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总价</w:t>
            </w:r>
          </w:p>
        </w:tc>
        <w:tc>
          <w:tcPr>
            <w:tcW w:w="1033" w:type="dxa"/>
            <w:gridSpan w:val="2"/>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noWrap w:val="0"/>
            <w:vAlign w:val="center"/>
          </w:tcPr>
          <w:p>
            <w:pPr>
              <w:spacing w:line="360" w:lineRule="auto"/>
              <w:jc w:val="center"/>
              <w:rPr>
                <w:rFonts w:hint="eastAsia" w:ascii="宋体" w:hAnsi="宋体"/>
                <w:color w:val="auto"/>
                <w:sz w:val="24"/>
                <w:highlight w:val="none"/>
              </w:rPr>
            </w:pPr>
          </w:p>
        </w:tc>
        <w:tc>
          <w:tcPr>
            <w:tcW w:w="1032" w:type="dxa"/>
            <w:noWrap w:val="0"/>
            <w:vAlign w:val="center"/>
          </w:tcPr>
          <w:p>
            <w:pPr>
              <w:spacing w:line="360" w:lineRule="auto"/>
              <w:jc w:val="center"/>
              <w:rPr>
                <w:rFonts w:hint="eastAsia" w:ascii="宋体" w:hAnsi="宋体"/>
                <w:color w:val="auto"/>
                <w:sz w:val="24"/>
                <w:highlight w:val="none"/>
              </w:rPr>
            </w:pPr>
          </w:p>
        </w:tc>
        <w:tc>
          <w:tcPr>
            <w:tcW w:w="988" w:type="dxa"/>
            <w:gridSpan w:val="2"/>
            <w:noWrap w:val="0"/>
            <w:vAlign w:val="top"/>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3" w:type="dxa"/>
            <w:noWrap w:val="0"/>
            <w:vAlign w:val="center"/>
          </w:tcPr>
          <w:p>
            <w:pPr>
              <w:spacing w:line="360" w:lineRule="auto"/>
              <w:jc w:val="center"/>
              <w:rPr>
                <w:rFonts w:hint="eastAsia" w:ascii="宋体" w:hAnsi="宋体"/>
                <w:color w:val="auto"/>
                <w:sz w:val="24"/>
                <w:highlight w:val="none"/>
              </w:rPr>
            </w:pPr>
          </w:p>
        </w:tc>
        <w:tc>
          <w:tcPr>
            <w:tcW w:w="1033" w:type="dxa"/>
            <w:gridSpan w:val="2"/>
            <w:noWrap w:val="0"/>
            <w:vAlign w:val="top"/>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noWrap w:val="0"/>
            <w:vAlign w:val="center"/>
          </w:tcPr>
          <w:p>
            <w:pPr>
              <w:spacing w:line="360" w:lineRule="auto"/>
              <w:jc w:val="center"/>
              <w:rPr>
                <w:rFonts w:hint="eastAsia" w:ascii="宋体" w:hAnsi="宋体"/>
                <w:color w:val="auto"/>
                <w:sz w:val="24"/>
                <w:highlight w:val="none"/>
              </w:rPr>
            </w:pPr>
          </w:p>
        </w:tc>
        <w:tc>
          <w:tcPr>
            <w:tcW w:w="1032" w:type="dxa"/>
            <w:noWrap w:val="0"/>
            <w:vAlign w:val="center"/>
          </w:tcPr>
          <w:p>
            <w:pPr>
              <w:spacing w:line="360" w:lineRule="auto"/>
              <w:jc w:val="center"/>
              <w:rPr>
                <w:rFonts w:hint="eastAsia" w:ascii="宋体" w:hAnsi="宋体"/>
                <w:color w:val="auto"/>
                <w:sz w:val="24"/>
                <w:highlight w:val="none"/>
              </w:rPr>
            </w:pPr>
          </w:p>
        </w:tc>
        <w:tc>
          <w:tcPr>
            <w:tcW w:w="988" w:type="dxa"/>
            <w:gridSpan w:val="2"/>
            <w:noWrap w:val="0"/>
            <w:vAlign w:val="top"/>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3" w:type="dxa"/>
            <w:noWrap w:val="0"/>
            <w:vAlign w:val="center"/>
          </w:tcPr>
          <w:p>
            <w:pPr>
              <w:spacing w:line="360" w:lineRule="auto"/>
              <w:jc w:val="center"/>
              <w:rPr>
                <w:rFonts w:hint="eastAsia" w:ascii="宋体" w:hAnsi="宋体"/>
                <w:color w:val="auto"/>
                <w:sz w:val="24"/>
                <w:highlight w:val="none"/>
              </w:rPr>
            </w:pPr>
          </w:p>
        </w:tc>
        <w:tc>
          <w:tcPr>
            <w:tcW w:w="1033" w:type="dxa"/>
            <w:gridSpan w:val="2"/>
            <w:noWrap w:val="0"/>
            <w:vAlign w:val="top"/>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2" w:type="dxa"/>
            <w:noWrap w:val="0"/>
            <w:vAlign w:val="center"/>
          </w:tcPr>
          <w:p>
            <w:pPr>
              <w:spacing w:line="360" w:lineRule="auto"/>
              <w:jc w:val="center"/>
              <w:rPr>
                <w:rFonts w:hint="eastAsia" w:ascii="宋体" w:hAnsi="宋体"/>
                <w:color w:val="auto"/>
                <w:sz w:val="24"/>
                <w:highlight w:val="none"/>
              </w:rPr>
            </w:pPr>
          </w:p>
        </w:tc>
        <w:tc>
          <w:tcPr>
            <w:tcW w:w="1032" w:type="dxa"/>
            <w:noWrap w:val="0"/>
            <w:vAlign w:val="center"/>
          </w:tcPr>
          <w:p>
            <w:pPr>
              <w:spacing w:line="360" w:lineRule="auto"/>
              <w:jc w:val="center"/>
              <w:rPr>
                <w:rFonts w:hint="eastAsia" w:ascii="宋体" w:hAnsi="宋体"/>
                <w:color w:val="auto"/>
                <w:sz w:val="24"/>
                <w:highlight w:val="none"/>
              </w:rPr>
            </w:pPr>
          </w:p>
        </w:tc>
        <w:tc>
          <w:tcPr>
            <w:tcW w:w="988" w:type="dxa"/>
            <w:gridSpan w:val="2"/>
            <w:noWrap w:val="0"/>
            <w:vAlign w:val="top"/>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1" w:type="dxa"/>
            <w:noWrap w:val="0"/>
            <w:vAlign w:val="center"/>
          </w:tcPr>
          <w:p>
            <w:pPr>
              <w:spacing w:line="360" w:lineRule="auto"/>
              <w:jc w:val="center"/>
              <w:rPr>
                <w:rFonts w:hint="eastAsia" w:ascii="宋体" w:hAnsi="宋体"/>
                <w:color w:val="auto"/>
                <w:sz w:val="24"/>
                <w:highlight w:val="none"/>
              </w:rPr>
            </w:pPr>
          </w:p>
        </w:tc>
        <w:tc>
          <w:tcPr>
            <w:tcW w:w="1033" w:type="dxa"/>
            <w:noWrap w:val="0"/>
            <w:vAlign w:val="center"/>
          </w:tcPr>
          <w:p>
            <w:pPr>
              <w:spacing w:line="360" w:lineRule="auto"/>
              <w:jc w:val="center"/>
              <w:rPr>
                <w:rFonts w:hint="eastAsia" w:ascii="宋体" w:hAnsi="宋体"/>
                <w:color w:val="auto"/>
                <w:sz w:val="24"/>
                <w:highlight w:val="none"/>
              </w:rPr>
            </w:pPr>
          </w:p>
        </w:tc>
        <w:tc>
          <w:tcPr>
            <w:tcW w:w="1033" w:type="dxa"/>
            <w:gridSpan w:val="2"/>
            <w:noWrap w:val="0"/>
            <w:vAlign w:val="top"/>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71" w:hRule="atLeast"/>
        </w:trPr>
        <w:tc>
          <w:tcPr>
            <w:tcW w:w="2311" w:type="dxa"/>
            <w:gridSpan w:val="3"/>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合计总价</w:t>
            </w:r>
          </w:p>
        </w:tc>
        <w:tc>
          <w:tcPr>
            <w:tcW w:w="6924" w:type="dxa"/>
            <w:gridSpan w:val="7"/>
            <w:noWrap w:val="0"/>
            <w:vAlign w:val="center"/>
          </w:tcPr>
          <w:p>
            <w:pPr>
              <w:spacing w:line="360" w:lineRule="auto"/>
              <w:rPr>
                <w:rFonts w:hint="eastAsia" w:ascii="宋体" w:hAnsi="宋体"/>
                <w:color w:val="auto"/>
                <w:sz w:val="24"/>
                <w:highlight w:val="none"/>
                <w:u w:val="singl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bl>
    <w:p>
      <w:pPr>
        <w:pStyle w:val="11"/>
        <w:adjustRightInd w:val="0"/>
        <w:snapToGrid w:val="0"/>
        <w:spacing w:before="120" w:after="120" w:line="360" w:lineRule="auto"/>
        <w:ind w:firstLine="480"/>
        <w:rPr>
          <w:rFonts w:hint="eastAsia" w:hAnsi="宋体"/>
          <w:b/>
          <w:color w:val="auto"/>
          <w:sz w:val="24"/>
          <w:szCs w:val="24"/>
          <w:highlight w:val="none"/>
        </w:rPr>
      </w:pP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二、合同金额</w:t>
      </w:r>
    </w:p>
    <w:p>
      <w:pPr>
        <w:pStyle w:val="11"/>
        <w:adjustRightInd w:val="0"/>
        <w:snapToGrid w:val="0"/>
        <w:spacing w:before="120" w:after="120" w:line="360" w:lineRule="auto"/>
        <w:ind w:left="48" w:firstLine="480"/>
        <w:rPr>
          <w:rFonts w:hint="eastAsia" w:hAnsi="宋体"/>
          <w:color w:val="auto"/>
          <w:sz w:val="24"/>
          <w:szCs w:val="24"/>
          <w:highlight w:val="none"/>
        </w:rPr>
      </w:pPr>
      <w:r>
        <w:rPr>
          <w:rFonts w:hint="eastAsia" w:hAnsi="宋体"/>
          <w:color w:val="auto"/>
          <w:sz w:val="24"/>
          <w:szCs w:val="24"/>
          <w:highlight w:val="none"/>
        </w:rPr>
        <w:t>2.1 本合同项下货物总价款为</w:t>
      </w:r>
      <w:r>
        <w:rPr>
          <w:rFonts w:hAnsi="宋体"/>
          <w:color w:val="auto"/>
          <w:sz w:val="24"/>
          <w:szCs w:val="24"/>
          <w:highlight w:val="none"/>
          <w:u w:val="single"/>
        </w:rPr>
        <w:t xml:space="preserve">             </w:t>
      </w:r>
      <w:r>
        <w:rPr>
          <w:rFonts w:hint="eastAsia" w:hAnsi="宋体"/>
          <w:color w:val="auto"/>
          <w:sz w:val="24"/>
          <w:szCs w:val="24"/>
          <w:highlight w:val="none"/>
        </w:rPr>
        <w:t>元人民币，大写</w:t>
      </w:r>
      <w:r>
        <w:rPr>
          <w:rFonts w:hAnsi="宋体"/>
          <w:color w:val="auto"/>
          <w:sz w:val="24"/>
          <w:szCs w:val="24"/>
          <w:highlight w:val="none"/>
          <w:u w:val="single"/>
        </w:rPr>
        <w:t xml:space="preserve">               </w:t>
      </w:r>
      <w:r>
        <w:rPr>
          <w:rFonts w:hint="eastAsia" w:hAnsi="宋体"/>
          <w:color w:val="auto"/>
          <w:sz w:val="24"/>
          <w:szCs w:val="24"/>
          <w:highlight w:val="none"/>
        </w:rPr>
        <w:t xml:space="preserve">元整； </w:t>
      </w:r>
    </w:p>
    <w:p>
      <w:pPr>
        <w:pStyle w:val="11"/>
        <w:adjustRightInd w:val="0"/>
        <w:snapToGrid w:val="0"/>
        <w:spacing w:before="120" w:after="120" w:line="360" w:lineRule="auto"/>
        <w:ind w:left="48" w:firstLine="480"/>
        <w:rPr>
          <w:rFonts w:hint="eastAsia" w:hAnsi="宋体"/>
          <w:color w:val="auto"/>
          <w:sz w:val="24"/>
          <w:szCs w:val="24"/>
          <w:highlight w:val="none"/>
        </w:rPr>
      </w:pPr>
      <w:r>
        <w:rPr>
          <w:rFonts w:hint="eastAsia" w:hAnsi="宋体"/>
          <w:color w:val="auto"/>
          <w:sz w:val="24"/>
          <w:szCs w:val="24"/>
          <w:highlight w:val="none"/>
        </w:rPr>
        <w:t>本合同总价款包括货物设计、制造、包装、仓储、运输、专用工具、安装、调试、检验、技术培训及相关资料、以及验收合格之前及保修期内备品备件发生的所有含税费用，同时还包含乙方应当提供的售后服务等费用。</w:t>
      </w:r>
      <w:r>
        <w:rPr>
          <w:rFonts w:hint="eastAsia" w:hAnsi="宋体"/>
          <w:b/>
          <w:bCs/>
          <w:color w:val="auto"/>
          <w:sz w:val="24"/>
          <w:szCs w:val="24"/>
          <w:highlight w:val="none"/>
        </w:rPr>
        <w:t>如果货物为进口货物的，合同金额还包括委托进口代理服务所需的相关费用。</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三、技术资料</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3.1乙方应按采购文件规定的时间向甲方提供使用货物的有关技术资料。乙方未按合同约定向甲方提交有关技术资料的，视为未按要求交付货物，应当承担相应的违约责任。</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adjustRightInd w:val="0"/>
        <w:snapToGrid w:val="0"/>
        <w:spacing w:before="120" w:after="120" w:line="360" w:lineRule="auto"/>
        <w:ind w:left="50" w:firstLine="360"/>
        <w:rPr>
          <w:rFonts w:hint="eastAsia" w:hAnsi="宋体"/>
          <w:b/>
          <w:color w:val="auto"/>
          <w:sz w:val="24"/>
          <w:szCs w:val="24"/>
          <w:highlight w:val="none"/>
        </w:rPr>
      </w:pPr>
      <w:r>
        <w:rPr>
          <w:rFonts w:hint="eastAsia" w:hAnsi="宋体"/>
          <w:b/>
          <w:color w:val="auto"/>
          <w:sz w:val="24"/>
          <w:szCs w:val="24"/>
          <w:highlight w:val="none"/>
        </w:rPr>
        <w:t>四、知识产权</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4.1乙方应保证甲方在使用、接受本合同货物和服务或其任何一部分时不受乙方及任何第三方提出侵犯其专利权、版权、商标权和工业设计权等知识产权的起诉。一旦出现侵权起诉，由乙方负全部责任。</w:t>
      </w:r>
    </w:p>
    <w:p>
      <w:pPr>
        <w:pStyle w:val="11"/>
        <w:adjustRightInd w:val="0"/>
        <w:snapToGrid w:val="0"/>
        <w:spacing w:before="120" w:after="120" w:line="360" w:lineRule="auto"/>
        <w:ind w:firstLine="480"/>
        <w:rPr>
          <w:rFonts w:hint="eastAsia" w:hAnsi="宋体"/>
          <w:color w:val="auto"/>
          <w:sz w:val="24"/>
          <w:szCs w:val="24"/>
          <w:highlight w:val="none"/>
          <w:u w:val="single"/>
        </w:rPr>
      </w:pPr>
      <w:r>
        <w:rPr>
          <w:rFonts w:hint="eastAsia" w:hAnsi="宋体"/>
          <w:b/>
          <w:color w:val="auto"/>
          <w:sz w:val="24"/>
          <w:szCs w:val="24"/>
          <w:highlight w:val="none"/>
        </w:rPr>
        <w:t>五、产权担保</w:t>
      </w:r>
    </w:p>
    <w:p>
      <w:pPr>
        <w:pStyle w:val="11"/>
        <w:adjustRightInd w:val="0"/>
        <w:snapToGrid w:val="0"/>
        <w:spacing w:before="120" w:after="120" w:line="360" w:lineRule="auto"/>
        <w:ind w:firstLine="408"/>
        <w:rPr>
          <w:rFonts w:hint="eastAsia" w:hAnsi="宋体"/>
          <w:color w:val="auto"/>
          <w:sz w:val="24"/>
          <w:szCs w:val="24"/>
          <w:highlight w:val="none"/>
          <w:u w:val="single"/>
        </w:rPr>
      </w:pPr>
      <w:r>
        <w:rPr>
          <w:rFonts w:hint="eastAsia" w:hAnsi="宋体"/>
          <w:color w:val="auto"/>
          <w:sz w:val="24"/>
          <w:szCs w:val="24"/>
          <w:highlight w:val="none"/>
        </w:rPr>
        <w:t>5.1 乙方保证所交付的货物的所有权完全属于乙方且无任何抵押、查封等产权瑕疵。</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六、履约保证金</w:t>
      </w:r>
    </w:p>
    <w:p>
      <w:pPr>
        <w:pStyle w:val="11"/>
        <w:adjustRightInd w:val="0"/>
        <w:snapToGrid w:val="0"/>
        <w:spacing w:before="120" w:after="120" w:line="360" w:lineRule="auto"/>
        <w:ind w:left="2" w:firstLine="480"/>
        <w:rPr>
          <w:rFonts w:hAnsi="宋体"/>
          <w:color w:val="auto"/>
          <w:sz w:val="24"/>
          <w:szCs w:val="24"/>
          <w:highlight w:val="none"/>
        </w:rPr>
      </w:pPr>
      <w:r>
        <w:rPr>
          <w:rFonts w:hint="eastAsia" w:hAnsi="宋体"/>
          <w:color w:val="auto"/>
          <w:sz w:val="24"/>
          <w:szCs w:val="24"/>
          <w:highlight w:val="none"/>
        </w:rPr>
        <w:t>6.1 乙方在签订本合同之前，按合同总价款（</w:t>
      </w:r>
      <w:r>
        <w:rPr>
          <w:rFonts w:hAnsi="宋体"/>
          <w:color w:val="auto"/>
          <w:sz w:val="24"/>
          <w:szCs w:val="24"/>
          <w:highlight w:val="none"/>
          <w:u w:val="single"/>
        </w:rPr>
        <w:t xml:space="preserve">       </w:t>
      </w:r>
      <w:r>
        <w:rPr>
          <w:rFonts w:hint="eastAsia" w:hAnsi="宋体"/>
          <w:color w:val="auto"/>
          <w:sz w:val="24"/>
          <w:szCs w:val="24"/>
          <w:highlight w:val="none"/>
        </w:rPr>
        <w:t>%）比例向甲方提交履约保证金人民币</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元整。</w:t>
      </w:r>
      <w:r>
        <w:rPr>
          <w:rFonts w:hint="eastAsia" w:hAnsi="宋体"/>
          <w:color w:val="auto"/>
          <w:sz w:val="24"/>
          <w:szCs w:val="24"/>
          <w:highlight w:val="none"/>
        </w:rPr>
        <w:t>待项目最终验收合格且甲乙双方签署验收单且加盖甲方公章无异议后 10个工作日内无息返还。</w:t>
      </w:r>
    </w:p>
    <w:p>
      <w:pPr>
        <w:pStyle w:val="11"/>
        <w:adjustRightInd w:val="0"/>
        <w:snapToGrid w:val="0"/>
        <w:spacing w:before="120" w:after="120" w:line="360" w:lineRule="auto"/>
        <w:ind w:left="2" w:firstLine="480"/>
        <w:rPr>
          <w:rFonts w:hAnsi="宋体"/>
          <w:color w:val="auto"/>
          <w:sz w:val="24"/>
          <w:szCs w:val="24"/>
          <w:highlight w:val="none"/>
        </w:rPr>
      </w:pPr>
      <w:r>
        <w:rPr>
          <w:rFonts w:hint="eastAsia" w:hAnsi="宋体"/>
          <w:color w:val="auto"/>
          <w:sz w:val="24"/>
          <w:szCs w:val="24"/>
          <w:highlight w:val="none"/>
        </w:rPr>
        <w:t>6</w:t>
      </w:r>
      <w:r>
        <w:rPr>
          <w:rFonts w:hAnsi="宋体"/>
          <w:color w:val="auto"/>
          <w:sz w:val="24"/>
          <w:szCs w:val="24"/>
          <w:highlight w:val="none"/>
        </w:rPr>
        <w:t>.2</w:t>
      </w:r>
      <w:r>
        <w:rPr>
          <w:rFonts w:hint="eastAsia" w:hAnsi="宋体"/>
          <w:color w:val="auto"/>
          <w:sz w:val="24"/>
          <w:szCs w:val="24"/>
          <w:highlight w:val="none"/>
        </w:rPr>
        <w:t>乙方在履行合同过程中有违约行为的，甲方有权直接从履约保证金中扣除相应的违约金。</w:t>
      </w:r>
    </w:p>
    <w:p>
      <w:pPr>
        <w:pStyle w:val="11"/>
        <w:adjustRightInd w:val="0"/>
        <w:snapToGrid w:val="0"/>
        <w:spacing w:before="120" w:after="120" w:line="360" w:lineRule="auto"/>
        <w:ind w:left="2" w:firstLine="480"/>
        <w:rPr>
          <w:rFonts w:hint="eastAsia" w:hAnsi="宋体"/>
          <w:color w:val="auto"/>
          <w:sz w:val="24"/>
          <w:szCs w:val="24"/>
          <w:highlight w:val="none"/>
        </w:rPr>
      </w:pPr>
      <w:r>
        <w:rPr>
          <w:rFonts w:hint="eastAsia" w:hAnsi="宋体"/>
          <w:color w:val="auto"/>
          <w:sz w:val="24"/>
          <w:szCs w:val="24"/>
          <w:highlight w:val="none"/>
        </w:rPr>
        <w:t>6</w:t>
      </w:r>
      <w:r>
        <w:rPr>
          <w:rFonts w:hAnsi="宋体"/>
          <w:color w:val="auto"/>
          <w:sz w:val="24"/>
          <w:szCs w:val="24"/>
          <w:highlight w:val="none"/>
        </w:rPr>
        <w:t>.3</w:t>
      </w:r>
      <w:r>
        <w:rPr>
          <w:rFonts w:hint="eastAsia" w:hAnsi="宋体"/>
          <w:color w:val="auto"/>
          <w:sz w:val="24"/>
          <w:szCs w:val="24"/>
          <w:highlight w:val="none"/>
        </w:rPr>
        <w:t>乙方在履行合同过程中有严重违约行为，导致合同被解除的，甲方有权没收全部履约保证金。保证金不足以赔偿甲方遭受的损失的，乙方还应继续承担赔偿责任。</w:t>
      </w:r>
    </w:p>
    <w:p>
      <w:pPr>
        <w:adjustRightInd w:val="0"/>
        <w:snapToGrid w:val="0"/>
        <w:spacing w:before="120" w:beforeLines="50" w:after="120" w:afterLines="50" w:line="360" w:lineRule="auto"/>
        <w:ind w:firstLine="480"/>
        <w:rPr>
          <w:rFonts w:hint="eastAsia" w:ascii="宋体" w:hAnsi="宋体" w:cs="Courier New"/>
          <w:b/>
          <w:color w:val="auto"/>
          <w:sz w:val="24"/>
          <w:highlight w:val="none"/>
        </w:rPr>
      </w:pPr>
      <w:r>
        <w:rPr>
          <w:rFonts w:hint="eastAsia" w:ascii="宋体" w:hAnsi="宋体" w:cs="Courier New"/>
          <w:b/>
          <w:color w:val="auto"/>
          <w:sz w:val="24"/>
          <w:highlight w:val="none"/>
        </w:rPr>
        <w:t>七.转包或分包</w:t>
      </w:r>
    </w:p>
    <w:p>
      <w:pPr>
        <w:adjustRightInd w:val="0"/>
        <w:snapToGrid w:val="0"/>
        <w:spacing w:before="120" w:beforeLines="50" w:after="120" w:afterLines="50" w:line="360" w:lineRule="auto"/>
        <w:ind w:firstLine="480"/>
        <w:rPr>
          <w:rFonts w:hint="eastAsia" w:ascii="宋体" w:hAnsi="宋体"/>
          <w:color w:val="auto"/>
          <w:sz w:val="24"/>
          <w:highlight w:val="none"/>
        </w:rPr>
      </w:pPr>
      <w:r>
        <w:rPr>
          <w:rFonts w:hint="eastAsia" w:ascii="宋体" w:hAnsi="宋体"/>
          <w:color w:val="auto"/>
          <w:sz w:val="24"/>
          <w:highlight w:val="none"/>
        </w:rPr>
        <w:t>7.1本合同范围的货物，应由乙方直接供应，不得转让他人供应；</w:t>
      </w:r>
    </w:p>
    <w:p>
      <w:pPr>
        <w:adjustRightInd w:val="0"/>
        <w:snapToGrid w:val="0"/>
        <w:spacing w:before="120" w:beforeLines="50" w:after="120" w:afterLines="50" w:line="360" w:lineRule="auto"/>
        <w:ind w:firstLine="480"/>
        <w:rPr>
          <w:rFonts w:hint="eastAsia" w:ascii="宋体" w:hAnsi="宋体"/>
          <w:color w:val="auto"/>
          <w:sz w:val="24"/>
          <w:highlight w:val="none"/>
        </w:rPr>
      </w:pPr>
      <w:r>
        <w:rPr>
          <w:rFonts w:hint="eastAsia" w:ascii="宋体" w:hAnsi="宋体"/>
          <w:color w:val="auto"/>
          <w:sz w:val="24"/>
          <w:highlight w:val="none"/>
        </w:rPr>
        <w:t>7.2 除非得到甲方的书面同意，乙方不得部分分包给他人供应。</w:t>
      </w:r>
    </w:p>
    <w:p>
      <w:pPr>
        <w:adjustRightInd w:val="0"/>
        <w:snapToGrid w:val="0"/>
        <w:spacing w:before="120" w:beforeLines="50" w:after="120" w:afterLines="50" w:line="360" w:lineRule="auto"/>
        <w:ind w:firstLine="480"/>
        <w:rPr>
          <w:rFonts w:hint="eastAsia" w:ascii="宋体" w:hAnsi="宋体"/>
          <w:color w:val="auto"/>
          <w:sz w:val="24"/>
          <w:highlight w:val="none"/>
        </w:rPr>
      </w:pPr>
      <w:r>
        <w:rPr>
          <w:rFonts w:hint="eastAsia" w:ascii="宋体" w:hAnsi="宋体"/>
          <w:color w:val="auto"/>
          <w:sz w:val="24"/>
          <w:highlight w:val="none"/>
        </w:rPr>
        <w:t>7.3如有转让和未经甲方同意的分包行为，甲方有权给予终止合同并追究乙方的违约责任。</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b/>
          <w:color w:val="auto"/>
          <w:sz w:val="24"/>
          <w:szCs w:val="24"/>
          <w:highlight w:val="none"/>
        </w:rPr>
        <w:t>八、质保期</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8.1 质保期</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年。（自项目最终验收合格次日起计）</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九、交货期、交货方式及交货地点</w:t>
      </w:r>
    </w:p>
    <w:p>
      <w:pPr>
        <w:pStyle w:val="11"/>
        <w:adjustRightInd w:val="0"/>
        <w:snapToGrid w:val="0"/>
        <w:spacing w:before="120" w:after="120" w:line="360" w:lineRule="auto"/>
        <w:ind w:firstLine="480"/>
        <w:rPr>
          <w:rFonts w:hint="eastAsia" w:hAnsi="宋体"/>
          <w:bCs/>
          <w:color w:val="auto"/>
          <w:sz w:val="24"/>
          <w:szCs w:val="24"/>
          <w:highlight w:val="none"/>
        </w:rPr>
      </w:pPr>
      <w:r>
        <w:rPr>
          <w:rFonts w:hint="eastAsia" w:hAnsi="宋体"/>
          <w:bCs/>
          <w:color w:val="auto"/>
          <w:sz w:val="24"/>
          <w:szCs w:val="24"/>
          <w:highlight w:val="none"/>
        </w:rPr>
        <w:t>9.1 交货期：</w:t>
      </w:r>
      <w:r>
        <w:rPr>
          <w:rFonts w:hint="eastAsia" w:hAnsi="宋体"/>
          <w:color w:val="auto"/>
          <w:sz w:val="24"/>
          <w:szCs w:val="24"/>
          <w:highlight w:val="none"/>
        </w:rPr>
        <w:t>_________</w:t>
      </w:r>
    </w:p>
    <w:p>
      <w:pPr>
        <w:pStyle w:val="11"/>
        <w:adjustRightInd w:val="0"/>
        <w:snapToGrid w:val="0"/>
        <w:spacing w:before="120" w:after="120" w:line="360" w:lineRule="auto"/>
        <w:ind w:firstLine="480"/>
        <w:rPr>
          <w:rFonts w:hint="eastAsia" w:hAnsi="宋体"/>
          <w:bCs/>
          <w:color w:val="auto"/>
          <w:sz w:val="24"/>
          <w:szCs w:val="24"/>
          <w:highlight w:val="none"/>
        </w:rPr>
      </w:pPr>
      <w:r>
        <w:rPr>
          <w:rFonts w:hint="eastAsia" w:hAnsi="宋体"/>
          <w:bCs/>
          <w:color w:val="auto"/>
          <w:sz w:val="24"/>
          <w:szCs w:val="24"/>
          <w:highlight w:val="none"/>
        </w:rPr>
        <w:t>9.2 交货方式：</w:t>
      </w:r>
      <w:r>
        <w:rPr>
          <w:rFonts w:hint="eastAsia" w:hAnsi="宋体"/>
          <w:color w:val="auto"/>
          <w:sz w:val="24"/>
          <w:szCs w:val="24"/>
          <w:highlight w:val="none"/>
        </w:rPr>
        <w:t>乙方送货上门，运费、运杂费、上下力费等相关费用均由乙方自行承担。</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Cs/>
          <w:color w:val="auto"/>
          <w:sz w:val="24"/>
          <w:szCs w:val="24"/>
          <w:highlight w:val="none"/>
        </w:rPr>
        <w:t>9.3 交货地点：甲方用户单位地点或用户指定地点。</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十、货款支付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10.1国内供应货物：乙方提供全额“增值税专用发票”，凭甲方最终签字和盖章的验收合格报告支付至合同金额95%，剩余金额在质保期满后无质量问题一次付清。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0.2</w:t>
      </w:r>
      <w:r>
        <w:rPr>
          <w:rFonts w:hint="eastAsia" w:ascii="宋体" w:hAnsi="宋体"/>
          <w:color w:val="auto"/>
          <w:sz w:val="24"/>
          <w:highlight w:val="none"/>
        </w:rPr>
        <w:t>进口产品</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（1）100%信用证，其中90%货款凭装运单据支付。</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（2）10%尾款凭甲方签字确认且加盖公章的验收报告支付。</w:t>
      </w:r>
    </w:p>
    <w:p>
      <w:pPr>
        <w:adjustRightInd w:val="0"/>
        <w:snapToGrid w:val="0"/>
        <w:spacing w:before="120" w:beforeLines="50" w:after="120" w:afterLines="50" w:line="360" w:lineRule="auto"/>
        <w:ind w:firstLine="480"/>
        <w:rPr>
          <w:rFonts w:hint="eastAsia" w:ascii="宋体" w:hAnsi="宋体"/>
          <w:b/>
          <w:color w:val="auto"/>
          <w:sz w:val="24"/>
          <w:highlight w:val="none"/>
        </w:rPr>
      </w:pPr>
      <w:r>
        <w:rPr>
          <w:rFonts w:hint="eastAsia" w:ascii="宋体" w:hAnsi="宋体"/>
          <w:b/>
          <w:color w:val="auto"/>
          <w:sz w:val="24"/>
          <w:highlight w:val="none"/>
        </w:rPr>
        <w:t>十一、税</w:t>
      </w:r>
    </w:p>
    <w:p>
      <w:pPr>
        <w:adjustRightInd w:val="0"/>
        <w:snapToGrid w:val="0"/>
        <w:spacing w:before="120" w:beforeLines="50" w:after="120" w:afterLines="50" w:line="360" w:lineRule="auto"/>
        <w:ind w:firstLine="480"/>
        <w:rPr>
          <w:rFonts w:hint="eastAsia" w:ascii="宋体" w:hAnsi="宋体"/>
          <w:color w:val="auto"/>
          <w:sz w:val="24"/>
          <w:highlight w:val="none"/>
        </w:rPr>
      </w:pPr>
      <w:r>
        <w:rPr>
          <w:rFonts w:hint="eastAsia" w:ascii="宋体" w:hAnsi="宋体"/>
          <w:color w:val="auto"/>
          <w:sz w:val="24"/>
          <w:highlight w:val="none"/>
        </w:rPr>
        <w:t>11.1发票要求：针对国内供货的货物，乙方开具合同全额“增值税专用发票”（抬头：南京信息工程大学）。（增值税专用发票开票信息：户名：南京信息工程大学  地址：江苏省南京市浦口区宁六路219号  财务电话：025-58731111 开户行：中国农业银行股份有限公司南京盘城支行 账号：</w:t>
      </w:r>
      <w:r>
        <w:rPr>
          <w:rFonts w:ascii="宋体" w:hAnsi="宋体"/>
          <w:color w:val="auto"/>
          <w:sz w:val="24"/>
          <w:highlight w:val="none"/>
        </w:rPr>
        <w:t>10115401040000228</w:t>
      </w:r>
      <w:r>
        <w:rPr>
          <w:rFonts w:hint="eastAsia" w:ascii="宋体" w:hAnsi="宋体"/>
          <w:color w:val="auto"/>
          <w:sz w:val="24"/>
          <w:highlight w:val="none"/>
        </w:rPr>
        <w:t xml:space="preserve"> 税号：12320000466006762K）</w:t>
      </w:r>
    </w:p>
    <w:p>
      <w:pPr>
        <w:adjustRightInd w:val="0"/>
        <w:snapToGrid w:val="0"/>
        <w:spacing w:before="120" w:beforeLines="50" w:after="120" w:afterLines="50" w:line="360" w:lineRule="auto"/>
        <w:ind w:firstLine="480"/>
        <w:rPr>
          <w:rFonts w:hint="eastAsia" w:ascii="宋体" w:hAnsi="宋体"/>
          <w:color w:val="auto"/>
          <w:sz w:val="24"/>
          <w:highlight w:val="none"/>
        </w:rPr>
      </w:pPr>
      <w:r>
        <w:rPr>
          <w:rFonts w:hint="eastAsia" w:ascii="宋体" w:hAnsi="宋体"/>
          <w:color w:val="auto"/>
          <w:sz w:val="24"/>
          <w:highlight w:val="none"/>
        </w:rPr>
        <w:t>11.2本合同执行中相关的一切税费均由乙方负担。</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b/>
          <w:color w:val="auto"/>
          <w:sz w:val="24"/>
          <w:szCs w:val="24"/>
          <w:highlight w:val="none"/>
        </w:rPr>
        <w:t>十二、质量保证及售后服务</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12.1 乙方应按采购文件规定的货物性能、技术要求、质量标准向甲方提供未经使用的全新产品。</w:t>
      </w:r>
    </w:p>
    <w:p>
      <w:pPr>
        <w:pStyle w:val="11"/>
        <w:adjustRightInd w:val="0"/>
        <w:snapToGrid w:val="0"/>
        <w:spacing w:before="120" w:after="120" w:line="360" w:lineRule="auto"/>
        <w:ind w:firstLine="482"/>
        <w:rPr>
          <w:rFonts w:hint="eastAsia" w:hAnsi="宋体"/>
          <w:color w:val="auto"/>
          <w:sz w:val="24"/>
          <w:szCs w:val="24"/>
          <w:highlight w:val="none"/>
        </w:rPr>
      </w:pPr>
      <w:r>
        <w:rPr>
          <w:rFonts w:hint="eastAsia" w:hAnsi="宋体"/>
          <w:color w:val="auto"/>
          <w:sz w:val="24"/>
          <w:szCs w:val="24"/>
          <w:highlight w:val="none"/>
        </w:rPr>
        <w:t>12.2 乙方提供的货物在质量期内因货物本身的质量问题发生故障，乙方应负责免费更换。对达不到技术要求者，根据实际情况，经双方协商，可按选择以下办法处理：</w:t>
      </w:r>
    </w:p>
    <w:p>
      <w:pPr>
        <w:adjustRightInd w:val="0"/>
        <w:snapToGrid w:val="0"/>
        <w:spacing w:line="360" w:lineRule="auto"/>
        <w:ind w:firstLine="360" w:firstLineChars="150"/>
        <w:rPr>
          <w:rFonts w:hint="eastAsia"/>
          <w:color w:val="auto"/>
          <w:sz w:val="24"/>
          <w:highlight w:val="none"/>
        </w:rPr>
      </w:pPr>
      <w:r>
        <w:rPr>
          <w:rFonts w:hint="eastAsia"/>
          <w:color w:val="auto"/>
          <w:sz w:val="24"/>
          <w:highlight w:val="none"/>
        </w:rPr>
        <w:t>（1）更换：由乙方承担所发生的全部费用。</w:t>
      </w:r>
    </w:p>
    <w:p>
      <w:pPr>
        <w:adjustRightInd w:val="0"/>
        <w:snapToGrid w:val="0"/>
        <w:spacing w:line="360" w:lineRule="auto"/>
        <w:ind w:firstLine="360" w:firstLineChars="150"/>
        <w:rPr>
          <w:rFonts w:hint="eastAsia"/>
          <w:color w:val="auto"/>
          <w:sz w:val="24"/>
          <w:highlight w:val="none"/>
        </w:rPr>
      </w:pPr>
      <w:r>
        <w:rPr>
          <w:rFonts w:hint="eastAsia"/>
          <w:color w:val="auto"/>
          <w:sz w:val="24"/>
          <w:highlight w:val="none"/>
        </w:rPr>
        <w:t>（2）贬值处理：由甲乙双方合议定价。</w:t>
      </w:r>
    </w:p>
    <w:p>
      <w:pPr>
        <w:adjustRightInd w:val="0"/>
        <w:snapToGrid w:val="0"/>
        <w:spacing w:line="360" w:lineRule="auto"/>
        <w:ind w:firstLine="360" w:firstLineChars="150"/>
        <w:rPr>
          <w:rFonts w:hint="eastAsia"/>
          <w:color w:val="auto"/>
          <w:sz w:val="24"/>
          <w:highlight w:val="none"/>
        </w:rPr>
      </w:pPr>
      <w:r>
        <w:rPr>
          <w:rFonts w:hint="eastAsia"/>
          <w:color w:val="auto"/>
          <w:sz w:val="24"/>
          <w:highlight w:val="none"/>
        </w:rPr>
        <w:t>（3）退货处理：乙方应退还甲方支付的合同款，同时应承担该货物的直接费用（运输、保险、检验、货款利息及银行手续费等）。</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12.3 如在使用过程中发生质量问题，乙方在接到甲方通知后在</w:t>
      </w:r>
      <w:r>
        <w:rPr>
          <w:rFonts w:hint="eastAsia" w:hAnsi="宋体"/>
          <w:color w:val="auto"/>
          <w:sz w:val="24"/>
          <w:szCs w:val="24"/>
          <w:highlight w:val="none"/>
          <w:u w:val="single"/>
        </w:rPr>
        <w:t xml:space="preserve">       </w:t>
      </w:r>
      <w:r>
        <w:rPr>
          <w:rFonts w:hint="eastAsia" w:hAnsi="宋体"/>
          <w:color w:val="auto"/>
          <w:sz w:val="24"/>
          <w:szCs w:val="24"/>
          <w:highlight w:val="none"/>
        </w:rPr>
        <w:t>小时内到达甲方现场。若货物故障在检修8工作小时后仍无法排除，乙方应在48小时内免费提供不低于故障货物规格型号档次的备用货物供甲方使用，直至故障货物修复。</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12.4 在质保期内，乙方应对货物出现的质量及安全问题负责处理解决并承担一切费用。所有货物保修服务方式均为乙方上门保修，即由乙方派员到货物使用现场维修，由此产生的一切费用均由乙方承担。</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12.5上述的货物免费保修期为</w:t>
      </w:r>
      <w:r>
        <w:rPr>
          <w:rFonts w:hint="eastAsia" w:hAnsi="宋体"/>
          <w:color w:val="auto"/>
          <w:sz w:val="24"/>
          <w:szCs w:val="24"/>
          <w:highlight w:val="none"/>
          <w:u w:val="single"/>
        </w:rPr>
        <w:t xml:space="preserve">     </w:t>
      </w:r>
      <w:r>
        <w:rPr>
          <w:rFonts w:hint="eastAsia" w:hAnsi="宋体"/>
          <w:color w:val="auto"/>
          <w:sz w:val="24"/>
          <w:szCs w:val="24"/>
          <w:highlight w:val="none"/>
        </w:rPr>
        <w:t>年。超过保修期的机器设备，终生维修，维修时只收部件成本费。</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十三、调试和验收</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13.1 甲方对乙方提交的货物依据采购文件上的技术规格要求和国家有关质量标准进行现场初步验收，外观、说明书符合采购文件技术要求的，给予签收，初步验收不合格的不予签收。货到后，甲方需在五个工作日内进行初步验收。</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13.2 乙方交货前应对产品作出全面检查和对验收文件进行整理，并列出清单，作为甲方收货验收和使用的技术条件依据，检验的结果应随货物交甲方。</w:t>
      </w:r>
    </w:p>
    <w:p>
      <w:pPr>
        <w:pStyle w:val="11"/>
        <w:adjustRightInd w:val="0"/>
        <w:snapToGrid w:val="0"/>
        <w:spacing w:before="120" w:after="120" w:line="360" w:lineRule="auto"/>
        <w:ind w:left="1" w:firstLine="480"/>
        <w:rPr>
          <w:rFonts w:hint="eastAsia" w:hAnsi="宋体"/>
          <w:color w:val="auto"/>
          <w:sz w:val="24"/>
          <w:szCs w:val="24"/>
          <w:highlight w:val="none"/>
          <w:u w:val="single"/>
        </w:rPr>
      </w:pPr>
      <w:r>
        <w:rPr>
          <w:rFonts w:hint="eastAsia" w:hAnsi="宋体"/>
          <w:color w:val="auto"/>
          <w:sz w:val="24"/>
          <w:szCs w:val="24"/>
          <w:highlight w:val="none"/>
        </w:rPr>
        <w:t>13.3 甲方对乙方提供的货物在使用前进行调试时，乙方需负责安装并培训甲方的使用操作人员，并协助甲方一起调试，直到符合技术要求，甲方才做最终验收。安装调试及培训费用含在合同总价内。</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13.4 对技术复杂的货物，甲方可请国家认可的专业检测机构参与初步验收及最终验收，并由其出具质量检测报告。验收费用由乙方承担。</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13.5 验收时乙方必须在现场，验收完毕后作出验收结果报告，验收报告须经甲方最终用户签字和部门盖章。</w:t>
      </w:r>
    </w:p>
    <w:p>
      <w:pPr>
        <w:pStyle w:val="11"/>
        <w:adjustRightInd w:val="0"/>
        <w:snapToGrid w:val="0"/>
        <w:spacing w:before="120" w:after="120" w:line="360" w:lineRule="auto"/>
        <w:ind w:firstLine="480"/>
        <w:rPr>
          <w:rFonts w:hAnsi="宋体"/>
          <w:b/>
          <w:color w:val="auto"/>
          <w:sz w:val="24"/>
          <w:szCs w:val="24"/>
          <w:highlight w:val="none"/>
        </w:rPr>
      </w:pPr>
      <w:r>
        <w:rPr>
          <w:rFonts w:hint="eastAsia" w:hAnsi="宋体"/>
          <w:b/>
          <w:color w:val="auto"/>
          <w:sz w:val="24"/>
          <w:szCs w:val="24"/>
          <w:highlight w:val="none"/>
        </w:rPr>
        <w:t>1</w:t>
      </w:r>
      <w:r>
        <w:rPr>
          <w:rFonts w:hAnsi="宋体"/>
          <w:b/>
          <w:color w:val="auto"/>
          <w:sz w:val="24"/>
          <w:szCs w:val="24"/>
          <w:highlight w:val="none"/>
        </w:rPr>
        <w:t xml:space="preserve">3.6 </w:t>
      </w:r>
      <w:r>
        <w:rPr>
          <w:rFonts w:hint="eastAsia" w:hAnsi="宋体"/>
          <w:b/>
          <w:color w:val="auto"/>
          <w:sz w:val="24"/>
          <w:szCs w:val="24"/>
          <w:highlight w:val="none"/>
        </w:rPr>
        <w:t>货物安装调试过程中的安全、消防等事故责任均由乙方全部承担，甲方不承担任何责任。因乙方原因导致安全、消防责任事故，造成甲方或第三人人身财产损失的，由乙方承担全部法律及赔偿责任。</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十四、货物包装、发运及运输</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14.1 乙方应在货物发运前对其进行满足运输距离、防潮、防震、防锈和防破损装卸等要求包装，以保证货物安全运达甲方指定地点。</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14.2 使用说明书、质量检验证明书、随配附件和工具以及清单一并附于货物内。</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14.3 乙方在货物发运手续办理完毕后24小时内或货到甲方48小时前通知甲方，以准备接货。</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14.4 货物在交付甲方前发生的风险均由乙方负责。</w:t>
      </w:r>
    </w:p>
    <w:p>
      <w:pPr>
        <w:pStyle w:val="11"/>
        <w:adjustRightInd w:val="0"/>
        <w:snapToGrid w:val="0"/>
        <w:spacing w:before="156" w:after="156" w:line="360" w:lineRule="auto"/>
        <w:ind w:left="1" w:right="26" w:firstLine="480"/>
        <w:rPr>
          <w:rFonts w:hint="eastAsia" w:hAnsi="宋体"/>
          <w:color w:val="auto"/>
          <w:sz w:val="24"/>
          <w:szCs w:val="24"/>
          <w:highlight w:val="none"/>
        </w:rPr>
      </w:pPr>
      <w:r>
        <w:rPr>
          <w:rFonts w:hint="eastAsia" w:hAnsi="宋体"/>
          <w:color w:val="auto"/>
          <w:sz w:val="24"/>
          <w:szCs w:val="24"/>
          <w:highlight w:val="none"/>
        </w:rPr>
        <w:t>14.5 货物在规定的交付期限内由乙方送达甲方指定的地点、安装调试并经甲方验收合格视为交付，乙方同时需通知甲方货物已送达。</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十五、违约责任</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15.1 甲方无正当理由拒收货物的，甲方向乙方偿付拒收货款总值的百分之五违约金。</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15.2 甲方无正当理由逾期验收和办理货款支付手续的,甲方应按逾期付款总额每日万分之五向乙方支付违约金。违约金总计不得超过合同总额的百分之五。</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15.3 乙方逾期交付货物的，乙方应按逾期交货总额每日千分之六向甲方支付违约金，由甲方从待付货款中扣除。乙方逾期交付货物使得甲方无法实现合同目的的，乙方应按合同总额百分之三十支付违约金。逾期超过约定日期10个工作日不能交货的，甲方可解除本合同。</w:t>
      </w:r>
    </w:p>
    <w:p>
      <w:pPr>
        <w:pStyle w:val="11"/>
        <w:adjustRightInd w:val="0"/>
        <w:snapToGrid w:val="0"/>
        <w:spacing w:before="120" w:after="120" w:line="360" w:lineRule="auto"/>
        <w:ind w:left="1" w:firstLine="480"/>
        <w:rPr>
          <w:rFonts w:hAnsi="宋体"/>
          <w:color w:val="auto"/>
          <w:sz w:val="24"/>
          <w:szCs w:val="24"/>
          <w:highlight w:val="none"/>
        </w:rPr>
      </w:pPr>
      <w:r>
        <w:rPr>
          <w:rFonts w:hint="eastAsia" w:hAnsi="宋体"/>
          <w:color w:val="auto"/>
          <w:sz w:val="24"/>
          <w:szCs w:val="24"/>
          <w:highlight w:val="none"/>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1"/>
        <w:adjustRightInd w:val="0"/>
        <w:snapToGrid w:val="0"/>
        <w:spacing w:before="120" w:after="120" w:line="360" w:lineRule="auto"/>
        <w:ind w:left="1" w:firstLine="480"/>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5.5</w:t>
      </w:r>
      <w:r>
        <w:rPr>
          <w:rFonts w:hint="eastAsia" w:hAnsi="宋体"/>
          <w:color w:val="auto"/>
          <w:sz w:val="24"/>
          <w:szCs w:val="24"/>
          <w:highlight w:val="none"/>
        </w:rPr>
        <w:t>乙方因不履行合同、不完全履行合同、履行合同不符合合同约定、逾期交货或因其他违约行为导致甲方解除合同的，乙方应向甲方支付合同总值百分之三十的违约金，如造成甲方损失超过违约金的，超出部分由乙方继续承担赔偿责任。</w:t>
      </w:r>
    </w:p>
    <w:p>
      <w:pPr>
        <w:pStyle w:val="11"/>
        <w:adjustRightInd w:val="0"/>
        <w:snapToGrid w:val="0"/>
        <w:spacing w:before="120" w:after="120" w:line="360" w:lineRule="auto"/>
        <w:ind w:left="1" w:firstLine="480"/>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5.6</w:t>
      </w:r>
      <w:r>
        <w:rPr>
          <w:rFonts w:hint="eastAsia" w:hAnsi="宋体"/>
          <w:color w:val="auto"/>
          <w:sz w:val="24"/>
          <w:szCs w:val="24"/>
          <w:highlight w:val="none"/>
        </w:rPr>
        <w:t>乙方未按本合同的规定和“服务承诺”提供售后服务的，应按合同总价款的5%向甲方承担违约责任。同时甲方有权另行委托第三方提供相关服务，由此产生的费用由乙方全部承担。乙方拒绝承担费用的，甲方有权追偿。甲方维权产生的全部费用均由乙方承担。</w:t>
      </w:r>
    </w:p>
    <w:p>
      <w:pPr>
        <w:pStyle w:val="11"/>
        <w:adjustRightInd w:val="0"/>
        <w:snapToGrid w:val="0"/>
        <w:spacing w:before="120" w:after="120" w:line="360" w:lineRule="auto"/>
        <w:ind w:left="1" w:firstLine="480"/>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5.7</w:t>
      </w:r>
      <w:r>
        <w:rPr>
          <w:rFonts w:hint="eastAsia" w:hAnsi="宋体"/>
          <w:color w:val="auto"/>
          <w:sz w:val="24"/>
          <w:szCs w:val="24"/>
          <w:highlight w:val="none"/>
        </w:rPr>
        <w:t>乙方未按本合同第九条的规定向甲方交付履约保证金的，应按应交付履约保证金的10%向甲方支付违约金，该违约金的支付不影响乙方应承担的其他违约责任。</w:t>
      </w:r>
    </w:p>
    <w:p>
      <w:pPr>
        <w:pStyle w:val="11"/>
        <w:adjustRightInd w:val="0"/>
        <w:snapToGrid w:val="0"/>
        <w:spacing w:before="120" w:after="120" w:line="360" w:lineRule="auto"/>
        <w:ind w:left="1" w:firstLine="480"/>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5.8</w:t>
      </w:r>
      <w:r>
        <w:rPr>
          <w:rFonts w:hint="eastAsia" w:hAnsi="宋体"/>
          <w:color w:val="auto"/>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5.9</w:t>
      </w:r>
      <w:r>
        <w:rPr>
          <w:rFonts w:hint="eastAsia" w:hAnsi="宋体"/>
          <w:color w:val="auto"/>
          <w:sz w:val="24"/>
          <w:szCs w:val="24"/>
          <w:highlight w:val="none"/>
        </w:rPr>
        <w:t>乙方提供的货物如侵犯了第三方合法权益而引发的任何纠纷或诉讼，均由乙方负责交涉并承担全部责任。</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十六、廉政条款</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16.1乙方必须支持甲方的廉政建设，不得向甲方相关人员提供金钱和物质上的好处，一经发现处以合同金额20%的罚款。</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十七、不可抗力事件处理</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17.1 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17.2 不可抗力事件发生后，应立即通知对方，并寄送有关权威机构出具的证明。</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17.3 不可抗力事件延续30天以上，双方应通过友好协商，确定是否继续履行合同。</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十八、诉讼</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18.1 双方在执行合同中所发生的一切争议，应通过协商解决。如协商不成，可向合同签订地法院起诉，合同签订地在此约定为南京市。因本合同履行产生的争议适用中华人民共和国法律。</w:t>
      </w:r>
    </w:p>
    <w:p>
      <w:pPr>
        <w:pStyle w:val="11"/>
        <w:adjustRightInd w:val="0"/>
        <w:snapToGrid w:val="0"/>
        <w:spacing w:before="120" w:after="120" w:line="360" w:lineRule="auto"/>
        <w:ind w:firstLine="480"/>
        <w:rPr>
          <w:rFonts w:hint="eastAsia" w:hAnsi="宋体"/>
          <w:b/>
          <w:color w:val="auto"/>
          <w:sz w:val="24"/>
          <w:szCs w:val="24"/>
          <w:highlight w:val="none"/>
        </w:rPr>
      </w:pPr>
      <w:r>
        <w:rPr>
          <w:rFonts w:hint="eastAsia" w:hAnsi="宋体"/>
          <w:b/>
          <w:color w:val="auto"/>
          <w:sz w:val="24"/>
          <w:szCs w:val="24"/>
          <w:highlight w:val="none"/>
        </w:rPr>
        <w:t>十九、合同生效及其它</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19.1 合同经双方法定代表人或授权委托代表人签字并加盖单位公章后生效。</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19.2 本合同未尽事宜，遵照《中华人民共和国民法典》有关条文执行。</w:t>
      </w:r>
    </w:p>
    <w:p>
      <w:pPr>
        <w:pStyle w:val="11"/>
        <w:adjustRightInd w:val="0"/>
        <w:snapToGrid w:val="0"/>
        <w:spacing w:before="120" w:after="120" w:line="360" w:lineRule="auto"/>
        <w:ind w:firstLine="480"/>
        <w:rPr>
          <w:rFonts w:hint="eastAsia" w:hAnsi="宋体"/>
          <w:color w:val="auto"/>
          <w:sz w:val="24"/>
          <w:szCs w:val="24"/>
          <w:highlight w:val="none"/>
        </w:rPr>
      </w:pPr>
      <w:r>
        <w:rPr>
          <w:rFonts w:hint="eastAsia" w:hAnsi="宋体"/>
          <w:color w:val="auto"/>
          <w:sz w:val="24"/>
          <w:szCs w:val="24"/>
          <w:highlight w:val="none"/>
        </w:rPr>
        <w:t>19.3</w:t>
      </w:r>
      <w:r>
        <w:rPr>
          <w:rFonts w:hint="eastAsia" w:ascii="Arial Narrow" w:hAnsi="宋体"/>
          <w:color w:val="auto"/>
          <w:sz w:val="24"/>
          <w:highlight w:val="none"/>
        </w:rPr>
        <w:t>本合同的附件、招投标文件、项目答疑回复是本合同不可分割的组成部分，具有同等法律效力。</w:t>
      </w:r>
    </w:p>
    <w:p>
      <w:pPr>
        <w:pStyle w:val="11"/>
        <w:adjustRightInd w:val="0"/>
        <w:snapToGrid w:val="0"/>
        <w:spacing w:before="120" w:after="120" w:line="360" w:lineRule="auto"/>
        <w:ind w:left="1" w:firstLine="480"/>
        <w:rPr>
          <w:rFonts w:hAnsi="宋体"/>
          <w:b/>
          <w:bCs/>
          <w:color w:val="auto"/>
          <w:sz w:val="24"/>
          <w:szCs w:val="24"/>
          <w:highlight w:val="none"/>
        </w:rPr>
      </w:pPr>
      <w:r>
        <w:rPr>
          <w:rFonts w:hint="eastAsia" w:hAnsi="宋体"/>
          <w:b/>
          <w:bCs/>
          <w:color w:val="auto"/>
          <w:sz w:val="24"/>
          <w:szCs w:val="24"/>
          <w:highlight w:val="none"/>
        </w:rPr>
        <w:t>19.4</w:t>
      </w:r>
      <w:r>
        <w:rPr>
          <w:rFonts w:hint="eastAsia" w:hAnsi="宋体"/>
          <w:b/>
          <w:bCs/>
          <w:color w:val="auto"/>
          <w:sz w:val="24"/>
          <w:szCs w:val="24"/>
          <w:highlight w:val="none"/>
          <w:u w:val="single"/>
        </w:rPr>
        <w:t xml:space="preserve">                               </w:t>
      </w:r>
      <w:r>
        <w:rPr>
          <w:rFonts w:hint="eastAsia" w:hAnsi="宋体"/>
          <w:b/>
          <w:bCs/>
          <w:color w:val="auto"/>
          <w:sz w:val="24"/>
          <w:szCs w:val="24"/>
          <w:highlight w:val="none"/>
        </w:rPr>
        <w:t>作为本项目进口货物委托代理服务商。进口委托代理服务所需费用含在本合同总价内，甲方不再另行支付。</w:t>
      </w:r>
    </w:p>
    <w:p>
      <w:pPr>
        <w:pStyle w:val="11"/>
        <w:adjustRightInd w:val="0"/>
        <w:snapToGrid w:val="0"/>
        <w:spacing w:before="120" w:after="120" w:line="360" w:lineRule="auto"/>
        <w:ind w:left="1" w:firstLine="480"/>
        <w:rPr>
          <w:rFonts w:hint="eastAsia" w:hAnsi="宋体"/>
          <w:color w:val="auto"/>
          <w:sz w:val="24"/>
          <w:szCs w:val="24"/>
          <w:highlight w:val="none"/>
        </w:rPr>
      </w:pPr>
      <w:r>
        <w:rPr>
          <w:rFonts w:hAnsi="宋体"/>
          <w:color w:val="auto"/>
          <w:sz w:val="24"/>
          <w:szCs w:val="24"/>
          <w:highlight w:val="none"/>
        </w:rPr>
        <w:t>19.5</w:t>
      </w:r>
      <w:r>
        <w:rPr>
          <w:rFonts w:hint="eastAsia" w:hAnsi="宋体"/>
          <w:color w:val="auto"/>
          <w:sz w:val="24"/>
          <w:szCs w:val="24"/>
          <w:highlight w:val="none"/>
        </w:rPr>
        <w:t>本合同正本一式四份，具有同等法律效力，甲方、乙方各执两份。</w:t>
      </w:r>
    </w:p>
    <w:p>
      <w:pPr>
        <w:pStyle w:val="11"/>
        <w:adjustRightInd w:val="0"/>
        <w:snapToGrid w:val="0"/>
        <w:spacing w:before="120" w:after="120" w:line="360" w:lineRule="auto"/>
        <w:ind w:left="1" w:firstLine="480"/>
        <w:rPr>
          <w:rFonts w:hint="eastAsia" w:hAnsi="宋体"/>
          <w:color w:val="auto"/>
          <w:sz w:val="24"/>
          <w:szCs w:val="24"/>
          <w:highlight w:val="none"/>
        </w:rPr>
      </w:pPr>
      <w:r>
        <w:rPr>
          <w:rFonts w:hint="eastAsia" w:hAnsi="宋体"/>
          <w:color w:val="auto"/>
          <w:sz w:val="24"/>
          <w:szCs w:val="24"/>
          <w:highlight w:val="none"/>
        </w:rPr>
        <w:t>（以下无正文）</w:t>
      </w:r>
    </w:p>
    <w:p>
      <w:pPr>
        <w:pStyle w:val="11"/>
        <w:adjustRightInd w:val="0"/>
        <w:snapToGrid w:val="0"/>
        <w:spacing w:before="120" w:after="120" w:line="360" w:lineRule="auto"/>
        <w:ind w:left="480" w:hanging="480" w:hangingChars="200"/>
        <w:rPr>
          <w:rFonts w:hint="eastAsia" w:hAnsi="宋体"/>
          <w:color w:val="auto"/>
          <w:sz w:val="24"/>
          <w:szCs w:val="24"/>
          <w:highlight w:val="none"/>
        </w:rPr>
      </w:pPr>
      <w:r>
        <w:rPr>
          <w:rFonts w:hint="eastAsia" w:hAnsi="宋体"/>
          <w:color w:val="auto"/>
          <w:sz w:val="24"/>
          <w:szCs w:val="24"/>
          <w:highlight w:val="none"/>
        </w:rPr>
        <w:t xml:space="preserve">甲方：                                   乙方： </w:t>
      </w:r>
    </w:p>
    <w:p>
      <w:pPr>
        <w:pStyle w:val="11"/>
        <w:adjustRightInd w:val="0"/>
        <w:snapToGrid w:val="0"/>
        <w:spacing w:before="120" w:after="120" w:line="360" w:lineRule="auto"/>
        <w:rPr>
          <w:rFonts w:hint="eastAsia" w:hAnsi="宋体"/>
          <w:color w:val="auto"/>
          <w:sz w:val="24"/>
          <w:szCs w:val="24"/>
          <w:highlight w:val="none"/>
        </w:rPr>
      </w:pPr>
      <w:r>
        <w:rPr>
          <w:rFonts w:hint="eastAsia" w:hAnsi="宋体"/>
          <w:color w:val="auto"/>
          <w:sz w:val="24"/>
          <w:szCs w:val="24"/>
          <w:highlight w:val="none"/>
        </w:rPr>
        <w:t xml:space="preserve">地址：                                   地址： </w:t>
      </w:r>
    </w:p>
    <w:p>
      <w:pPr>
        <w:pStyle w:val="11"/>
        <w:adjustRightInd w:val="0"/>
        <w:snapToGrid w:val="0"/>
        <w:spacing w:before="120" w:after="120" w:line="360" w:lineRule="auto"/>
        <w:rPr>
          <w:rFonts w:hint="eastAsia" w:hAnsi="宋体"/>
          <w:color w:val="auto"/>
          <w:sz w:val="24"/>
          <w:szCs w:val="24"/>
          <w:highlight w:val="none"/>
        </w:rPr>
      </w:pPr>
      <w:r>
        <w:rPr>
          <w:rFonts w:hint="eastAsia" w:hAnsi="宋体"/>
          <w:color w:val="auto"/>
          <w:sz w:val="24"/>
          <w:szCs w:val="24"/>
          <w:highlight w:val="none"/>
        </w:rPr>
        <w:t>法定代表人或授权代表：                   法定代表人或授权代表：</w:t>
      </w:r>
    </w:p>
    <w:p>
      <w:pPr>
        <w:pStyle w:val="11"/>
        <w:adjustRightInd w:val="0"/>
        <w:snapToGrid w:val="0"/>
        <w:spacing w:before="120" w:after="120" w:line="360" w:lineRule="auto"/>
        <w:rPr>
          <w:rFonts w:hAnsi="宋体"/>
          <w:color w:val="auto"/>
          <w:sz w:val="24"/>
          <w:szCs w:val="24"/>
          <w:highlight w:val="none"/>
        </w:rPr>
      </w:pPr>
      <w:r>
        <w:rPr>
          <w:rFonts w:hint="eastAsia" w:hAnsi="宋体"/>
          <w:color w:val="auto"/>
          <w:sz w:val="24"/>
          <w:szCs w:val="24"/>
          <w:highlight w:val="none"/>
        </w:rPr>
        <w:t>项目负责人：                             联系电话：</w:t>
      </w:r>
    </w:p>
    <w:p>
      <w:pPr>
        <w:pStyle w:val="11"/>
        <w:adjustRightInd w:val="0"/>
        <w:snapToGrid w:val="0"/>
        <w:spacing w:before="120" w:after="120" w:line="360" w:lineRule="auto"/>
        <w:rPr>
          <w:rFonts w:hAnsi="宋体"/>
          <w:color w:val="auto"/>
          <w:sz w:val="24"/>
          <w:szCs w:val="24"/>
          <w:highlight w:val="none"/>
        </w:rPr>
      </w:pPr>
      <w:r>
        <w:rPr>
          <w:rFonts w:hint="eastAsia" w:hAnsi="宋体"/>
          <w:color w:val="auto"/>
          <w:sz w:val="24"/>
          <w:szCs w:val="24"/>
          <w:highlight w:val="none"/>
        </w:rPr>
        <w:t>项目联系人：</w:t>
      </w:r>
    </w:p>
    <w:p>
      <w:pPr>
        <w:pStyle w:val="11"/>
        <w:adjustRightInd w:val="0"/>
        <w:snapToGrid w:val="0"/>
        <w:spacing w:before="120" w:after="120" w:line="360" w:lineRule="auto"/>
        <w:rPr>
          <w:rFonts w:hint="eastAsia" w:hAnsi="宋体"/>
          <w:color w:val="auto"/>
          <w:sz w:val="24"/>
          <w:szCs w:val="24"/>
          <w:highlight w:val="none"/>
        </w:rPr>
      </w:pPr>
      <w:r>
        <w:rPr>
          <w:rFonts w:hint="eastAsia" w:hAnsi="宋体"/>
          <w:color w:val="auto"/>
          <w:sz w:val="24"/>
          <w:szCs w:val="24"/>
          <w:highlight w:val="none"/>
        </w:rPr>
        <w:t xml:space="preserve">联系电话：                               </w:t>
      </w:r>
    </w:p>
    <w:p>
      <w:pPr>
        <w:pStyle w:val="11"/>
        <w:adjustRightInd w:val="0"/>
        <w:snapToGrid w:val="0"/>
        <w:spacing w:before="120" w:after="120" w:line="360" w:lineRule="auto"/>
        <w:rPr>
          <w:color w:val="auto"/>
          <w:highlight w:val="none"/>
        </w:rPr>
      </w:pPr>
      <w:r>
        <w:rPr>
          <w:rFonts w:hint="eastAsia"/>
          <w:color w:val="auto"/>
          <w:sz w:val="28"/>
          <w:szCs w:val="28"/>
          <w:highlight w:val="none"/>
        </w:rPr>
        <w:t xml:space="preserve">                              签订日期：      年  月  日</w:t>
      </w:r>
    </w:p>
    <w:p>
      <w:pPr>
        <w:pStyle w:val="11"/>
        <w:adjustRightInd w:val="0"/>
        <w:snapToGrid w:val="0"/>
        <w:spacing w:before="120" w:after="120" w:line="360" w:lineRule="auto"/>
        <w:ind w:firstLine="767"/>
        <w:rPr>
          <w:rFonts w:cs="仿宋"/>
          <w:color w:val="auto"/>
          <w:sz w:val="24"/>
          <w:highlight w:val="none"/>
        </w:rPr>
      </w:pPr>
    </w:p>
    <w:bookmarkEnd w:id="11"/>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Segoe Print"/>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19</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3年招标文件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ZWQ0NWRhZWM1Yzk4Nzg1MGJhMzUxZjY0ZDIwMzMifQ=="/>
    <w:docVar w:name="KSO_WPS_MARK_KEY" w:val="cd75b1a6-1225-46e7-b0e3-bc33840e8371"/>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3234"/>
    <w:rsid w:val="000774F2"/>
    <w:rsid w:val="00077607"/>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2C9B"/>
    <w:rsid w:val="000A31F8"/>
    <w:rsid w:val="000A3663"/>
    <w:rsid w:val="000A387C"/>
    <w:rsid w:val="000A5005"/>
    <w:rsid w:val="000A57C1"/>
    <w:rsid w:val="000A649C"/>
    <w:rsid w:val="000B1E2F"/>
    <w:rsid w:val="000B43F0"/>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24B8"/>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C7F6C"/>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0454"/>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829"/>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87861"/>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47C"/>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37A34"/>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2071"/>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3DED"/>
    <w:rsid w:val="007C1C1A"/>
    <w:rsid w:val="007C1EAE"/>
    <w:rsid w:val="007C2E80"/>
    <w:rsid w:val="007C3DF3"/>
    <w:rsid w:val="007C47D1"/>
    <w:rsid w:val="007C5873"/>
    <w:rsid w:val="007C5CBD"/>
    <w:rsid w:val="007C671F"/>
    <w:rsid w:val="007C6FAB"/>
    <w:rsid w:val="007C7398"/>
    <w:rsid w:val="007D0A59"/>
    <w:rsid w:val="007D0D89"/>
    <w:rsid w:val="007D2503"/>
    <w:rsid w:val="007D28A4"/>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3D5"/>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77CF0"/>
    <w:rsid w:val="00881142"/>
    <w:rsid w:val="00881AB0"/>
    <w:rsid w:val="00881FB4"/>
    <w:rsid w:val="00882020"/>
    <w:rsid w:val="00882D35"/>
    <w:rsid w:val="00884B22"/>
    <w:rsid w:val="00884C1F"/>
    <w:rsid w:val="00884D9A"/>
    <w:rsid w:val="00886CE6"/>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5426"/>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52CC"/>
    <w:rsid w:val="0092721C"/>
    <w:rsid w:val="009302BC"/>
    <w:rsid w:val="009302E2"/>
    <w:rsid w:val="009305D2"/>
    <w:rsid w:val="00930F17"/>
    <w:rsid w:val="00932637"/>
    <w:rsid w:val="00934021"/>
    <w:rsid w:val="00934830"/>
    <w:rsid w:val="00935252"/>
    <w:rsid w:val="00935CDC"/>
    <w:rsid w:val="00936E3B"/>
    <w:rsid w:val="0093715C"/>
    <w:rsid w:val="00940154"/>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494C"/>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4773B"/>
    <w:rsid w:val="00B5020D"/>
    <w:rsid w:val="00B52167"/>
    <w:rsid w:val="00B53218"/>
    <w:rsid w:val="00B54606"/>
    <w:rsid w:val="00B546E3"/>
    <w:rsid w:val="00B55087"/>
    <w:rsid w:val="00B55158"/>
    <w:rsid w:val="00B559EC"/>
    <w:rsid w:val="00B55E04"/>
    <w:rsid w:val="00B5600C"/>
    <w:rsid w:val="00B569DE"/>
    <w:rsid w:val="00B57069"/>
    <w:rsid w:val="00B57CE0"/>
    <w:rsid w:val="00B60DFE"/>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989"/>
    <w:rsid w:val="00C21BD8"/>
    <w:rsid w:val="00C24629"/>
    <w:rsid w:val="00C266F2"/>
    <w:rsid w:val="00C31819"/>
    <w:rsid w:val="00C31A61"/>
    <w:rsid w:val="00C32017"/>
    <w:rsid w:val="00C331F4"/>
    <w:rsid w:val="00C33BE7"/>
    <w:rsid w:val="00C35694"/>
    <w:rsid w:val="00C37E1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3AEF"/>
    <w:rsid w:val="00CE5E68"/>
    <w:rsid w:val="00CE656F"/>
    <w:rsid w:val="00CE68FC"/>
    <w:rsid w:val="00CE7222"/>
    <w:rsid w:val="00CF109F"/>
    <w:rsid w:val="00CF1C41"/>
    <w:rsid w:val="00CF447A"/>
    <w:rsid w:val="00CF4BE7"/>
    <w:rsid w:val="00CF4D96"/>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179"/>
    <w:rsid w:val="00D75CED"/>
    <w:rsid w:val="00D80D4D"/>
    <w:rsid w:val="00D81A03"/>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19D"/>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45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3BC4BA3"/>
    <w:rsid w:val="048A7F9F"/>
    <w:rsid w:val="05B517B2"/>
    <w:rsid w:val="0666393D"/>
    <w:rsid w:val="078D73D6"/>
    <w:rsid w:val="07D33D16"/>
    <w:rsid w:val="09637941"/>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AA09BD"/>
    <w:rsid w:val="17652C65"/>
    <w:rsid w:val="17833DE3"/>
    <w:rsid w:val="19775424"/>
    <w:rsid w:val="1A085187"/>
    <w:rsid w:val="1A241EC0"/>
    <w:rsid w:val="1AE96A89"/>
    <w:rsid w:val="1C121D57"/>
    <w:rsid w:val="1C4A137C"/>
    <w:rsid w:val="1C8F1DE9"/>
    <w:rsid w:val="1DA871CA"/>
    <w:rsid w:val="1F11313D"/>
    <w:rsid w:val="1F956998"/>
    <w:rsid w:val="1FA31BDA"/>
    <w:rsid w:val="206E61D4"/>
    <w:rsid w:val="20DC5C02"/>
    <w:rsid w:val="20DE7ECC"/>
    <w:rsid w:val="20FE711F"/>
    <w:rsid w:val="21241474"/>
    <w:rsid w:val="21A70E96"/>
    <w:rsid w:val="225E4DAF"/>
    <w:rsid w:val="22891E2D"/>
    <w:rsid w:val="22A743B8"/>
    <w:rsid w:val="22D33607"/>
    <w:rsid w:val="23FD2509"/>
    <w:rsid w:val="243943F8"/>
    <w:rsid w:val="24E05430"/>
    <w:rsid w:val="24EA472E"/>
    <w:rsid w:val="267A7579"/>
    <w:rsid w:val="272231F7"/>
    <w:rsid w:val="27961F1E"/>
    <w:rsid w:val="27AD7C03"/>
    <w:rsid w:val="28C46277"/>
    <w:rsid w:val="28D83E63"/>
    <w:rsid w:val="29062B05"/>
    <w:rsid w:val="29127A38"/>
    <w:rsid w:val="2AAA7342"/>
    <w:rsid w:val="2AB43BC5"/>
    <w:rsid w:val="2B556F15"/>
    <w:rsid w:val="2B7F4BC3"/>
    <w:rsid w:val="2B8E48AC"/>
    <w:rsid w:val="2CE81BAF"/>
    <w:rsid w:val="2DAC05D8"/>
    <w:rsid w:val="2DE728EA"/>
    <w:rsid w:val="2E726843"/>
    <w:rsid w:val="2EDC02FF"/>
    <w:rsid w:val="2EE30245"/>
    <w:rsid w:val="2EE87C86"/>
    <w:rsid w:val="2EEC5388"/>
    <w:rsid w:val="3172033E"/>
    <w:rsid w:val="3227588C"/>
    <w:rsid w:val="325F6558"/>
    <w:rsid w:val="331653E5"/>
    <w:rsid w:val="341C30A3"/>
    <w:rsid w:val="351529A9"/>
    <w:rsid w:val="355A74E9"/>
    <w:rsid w:val="35FD1F7A"/>
    <w:rsid w:val="364D1EBF"/>
    <w:rsid w:val="36616918"/>
    <w:rsid w:val="366D672C"/>
    <w:rsid w:val="3676129B"/>
    <w:rsid w:val="36E3150F"/>
    <w:rsid w:val="3836614A"/>
    <w:rsid w:val="384A4707"/>
    <w:rsid w:val="385D644E"/>
    <w:rsid w:val="38941445"/>
    <w:rsid w:val="38F33167"/>
    <w:rsid w:val="39C83C69"/>
    <w:rsid w:val="39CE5E1D"/>
    <w:rsid w:val="3A9701E9"/>
    <w:rsid w:val="3B4244C5"/>
    <w:rsid w:val="3C003247"/>
    <w:rsid w:val="3C8E6F2D"/>
    <w:rsid w:val="3CA8662A"/>
    <w:rsid w:val="3D6145DC"/>
    <w:rsid w:val="3E495BEB"/>
    <w:rsid w:val="3E5E0082"/>
    <w:rsid w:val="3ECE2C8D"/>
    <w:rsid w:val="3EDB4EA4"/>
    <w:rsid w:val="3F9F3463"/>
    <w:rsid w:val="3FAB242B"/>
    <w:rsid w:val="3FC31914"/>
    <w:rsid w:val="405D6728"/>
    <w:rsid w:val="40FD6FDA"/>
    <w:rsid w:val="41110191"/>
    <w:rsid w:val="414A37BB"/>
    <w:rsid w:val="418C1583"/>
    <w:rsid w:val="41B45A04"/>
    <w:rsid w:val="42643A73"/>
    <w:rsid w:val="42AA1012"/>
    <w:rsid w:val="43FB66E3"/>
    <w:rsid w:val="44DC7F4B"/>
    <w:rsid w:val="4524461F"/>
    <w:rsid w:val="45651876"/>
    <w:rsid w:val="45CC523B"/>
    <w:rsid w:val="466F6CEB"/>
    <w:rsid w:val="46AA377D"/>
    <w:rsid w:val="47D212F1"/>
    <w:rsid w:val="49363676"/>
    <w:rsid w:val="49713AA7"/>
    <w:rsid w:val="499A2688"/>
    <w:rsid w:val="49D47D5A"/>
    <w:rsid w:val="49F62026"/>
    <w:rsid w:val="4A4B48E3"/>
    <w:rsid w:val="4B1A7369"/>
    <w:rsid w:val="4B5137BF"/>
    <w:rsid w:val="4D774E55"/>
    <w:rsid w:val="4DA86B45"/>
    <w:rsid w:val="4E3720DD"/>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360F05"/>
    <w:rsid w:val="57AE2843"/>
    <w:rsid w:val="581F495D"/>
    <w:rsid w:val="58484116"/>
    <w:rsid w:val="58DA78C0"/>
    <w:rsid w:val="58E017CC"/>
    <w:rsid w:val="5A770570"/>
    <w:rsid w:val="5AC859BF"/>
    <w:rsid w:val="5B4C17F1"/>
    <w:rsid w:val="5C0F2072"/>
    <w:rsid w:val="5CFC1D50"/>
    <w:rsid w:val="5E6C25B6"/>
    <w:rsid w:val="5E84123F"/>
    <w:rsid w:val="5F0028BB"/>
    <w:rsid w:val="5F2528F6"/>
    <w:rsid w:val="5F9764C2"/>
    <w:rsid w:val="603300A7"/>
    <w:rsid w:val="607E0927"/>
    <w:rsid w:val="60D968DA"/>
    <w:rsid w:val="60F41422"/>
    <w:rsid w:val="619D5BCC"/>
    <w:rsid w:val="62107539"/>
    <w:rsid w:val="6233128F"/>
    <w:rsid w:val="62635DDC"/>
    <w:rsid w:val="62B40D80"/>
    <w:rsid w:val="62B965EC"/>
    <w:rsid w:val="62FE3555"/>
    <w:rsid w:val="63D7368B"/>
    <w:rsid w:val="63EA24F1"/>
    <w:rsid w:val="657A0549"/>
    <w:rsid w:val="665A104A"/>
    <w:rsid w:val="666F025E"/>
    <w:rsid w:val="66ED444E"/>
    <w:rsid w:val="67484273"/>
    <w:rsid w:val="689A111C"/>
    <w:rsid w:val="68A603CF"/>
    <w:rsid w:val="69D32689"/>
    <w:rsid w:val="69E27B06"/>
    <w:rsid w:val="69EA623B"/>
    <w:rsid w:val="6A0F3694"/>
    <w:rsid w:val="6A5445FC"/>
    <w:rsid w:val="6A5C1E75"/>
    <w:rsid w:val="6AB76CFB"/>
    <w:rsid w:val="6ABA08C1"/>
    <w:rsid w:val="6BC1702A"/>
    <w:rsid w:val="6C282248"/>
    <w:rsid w:val="6CBD55AC"/>
    <w:rsid w:val="6DE636A7"/>
    <w:rsid w:val="6DE86594"/>
    <w:rsid w:val="6E5C2511"/>
    <w:rsid w:val="70106DE6"/>
    <w:rsid w:val="71342081"/>
    <w:rsid w:val="718764FD"/>
    <w:rsid w:val="725831A5"/>
    <w:rsid w:val="72B70089"/>
    <w:rsid w:val="73607DE9"/>
    <w:rsid w:val="73711235"/>
    <w:rsid w:val="753E278B"/>
    <w:rsid w:val="75BE6EB5"/>
    <w:rsid w:val="760B125D"/>
    <w:rsid w:val="7815375E"/>
    <w:rsid w:val="790D6252"/>
    <w:rsid w:val="7AE40810"/>
    <w:rsid w:val="7B0749C7"/>
    <w:rsid w:val="7BBB6C68"/>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99"/>
    <w:pPr>
      <w:keepNext/>
      <w:keepLines/>
      <w:spacing w:before="340" w:after="330" w:line="578" w:lineRule="auto"/>
      <w:outlineLvl w:val="0"/>
    </w:pPr>
    <w:rPr>
      <w:b/>
      <w:kern w:val="44"/>
      <w:sz w:val="44"/>
      <w:szCs w:val="20"/>
    </w:rPr>
  </w:style>
  <w:style w:type="paragraph" w:styleId="5">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locked/>
    <w:uiPriority w:val="99"/>
    <w:pPr>
      <w:spacing w:line="360" w:lineRule="auto"/>
      <w:ind w:firstLine="200" w:firstLineChars="200"/>
    </w:pPr>
    <w:rPr>
      <w:rFonts w:ascii="宋体" w:eastAsia="宋体"/>
      <w:sz w:val="21"/>
      <w:szCs w:val="20"/>
    </w:rPr>
  </w:style>
  <w:style w:type="paragraph" w:styleId="3">
    <w:name w:val="Body Text Indent"/>
    <w:basedOn w:val="1"/>
    <w:link w:val="25"/>
    <w:qFormat/>
    <w:uiPriority w:val="99"/>
    <w:pPr>
      <w:ind w:firstLine="575" w:firstLineChars="274"/>
    </w:pPr>
    <w:rPr>
      <w:rFonts w:ascii="等线" w:eastAsia="等线"/>
      <w:sz w:val="22"/>
      <w:szCs w:val="20"/>
    </w:rPr>
  </w:style>
  <w:style w:type="paragraph" w:styleId="6">
    <w:name w:val="Normal Indent"/>
    <w:basedOn w:val="1"/>
    <w:qFormat/>
    <w:locked/>
    <w:uiPriority w:val="0"/>
    <w:pPr>
      <w:ind w:firstLine="420"/>
    </w:pPr>
  </w:style>
  <w:style w:type="paragraph" w:styleId="7">
    <w:name w:val="annotation text"/>
    <w:basedOn w:val="1"/>
    <w:link w:val="24"/>
    <w:qFormat/>
    <w:uiPriority w:val="99"/>
    <w:pPr>
      <w:jc w:val="left"/>
    </w:pPr>
    <w:rPr>
      <w:sz w:val="24"/>
      <w:szCs w:val="20"/>
    </w:rPr>
  </w:style>
  <w:style w:type="paragraph" w:styleId="8">
    <w:name w:val="Body Text"/>
    <w:basedOn w:val="1"/>
    <w:link w:val="42"/>
    <w:unhideWhenUsed/>
    <w:qFormat/>
    <w:locked/>
    <w:uiPriority w:val="99"/>
    <w:pPr>
      <w:spacing w:after="120"/>
    </w:pPr>
  </w:style>
  <w:style w:type="paragraph" w:styleId="9">
    <w:name w:val="Block Text"/>
    <w:basedOn w:val="1"/>
    <w:unhideWhenUsed/>
    <w:qFormat/>
    <w:locked/>
    <w:uiPriority w:val="99"/>
    <w:pPr>
      <w:spacing w:after="120"/>
      <w:ind w:left="1440" w:leftChars="700" w:right="1440" w:rightChars="700"/>
    </w:p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26"/>
    <w:qFormat/>
    <w:uiPriority w:val="0"/>
    <w:rPr>
      <w:rFonts w:ascii="宋体" w:hAnsi="Courier New"/>
      <w:szCs w:val="20"/>
    </w:rPr>
  </w:style>
  <w:style w:type="paragraph" w:styleId="12">
    <w:name w:val="Date"/>
    <w:basedOn w:val="1"/>
    <w:next w:val="1"/>
    <w:link w:val="27"/>
    <w:qFormat/>
    <w:uiPriority w:val="99"/>
    <w:pPr>
      <w:ind w:left="100" w:leftChars="2500"/>
    </w:pPr>
    <w:rPr>
      <w:sz w:val="24"/>
      <w:szCs w:val="20"/>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7"/>
    <w:next w:val="7"/>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字符"/>
    <w:link w:val="4"/>
    <w:qFormat/>
    <w:locked/>
    <w:uiPriority w:val="99"/>
    <w:rPr>
      <w:rFonts w:cs="Times New Roman"/>
      <w:b/>
      <w:kern w:val="44"/>
      <w:sz w:val="44"/>
    </w:rPr>
  </w:style>
  <w:style w:type="character" w:customStyle="1" w:styleId="24">
    <w:name w:val="批注文字 字符"/>
    <w:link w:val="7"/>
    <w:qFormat/>
    <w:locked/>
    <w:uiPriority w:val="99"/>
    <w:rPr>
      <w:rFonts w:cs="Times New Roman"/>
      <w:kern w:val="2"/>
      <w:sz w:val="24"/>
    </w:rPr>
  </w:style>
  <w:style w:type="character" w:customStyle="1" w:styleId="25">
    <w:name w:val="正文文本缩进 字符"/>
    <w:link w:val="3"/>
    <w:qFormat/>
    <w:locked/>
    <w:uiPriority w:val="99"/>
    <w:rPr>
      <w:rFonts w:ascii="等线" w:eastAsia="等线" w:cs="Times New Roman"/>
      <w:kern w:val="2"/>
      <w:sz w:val="22"/>
    </w:rPr>
  </w:style>
  <w:style w:type="character" w:customStyle="1" w:styleId="26">
    <w:name w:val="纯文本 字符"/>
    <w:link w:val="11"/>
    <w:qFormat/>
    <w:locked/>
    <w:uiPriority w:val="0"/>
    <w:rPr>
      <w:rFonts w:ascii="宋体" w:hAnsi="Courier New" w:cs="Times New Roman"/>
      <w:kern w:val="2"/>
      <w:sz w:val="21"/>
    </w:rPr>
  </w:style>
  <w:style w:type="character" w:customStyle="1" w:styleId="27">
    <w:name w:val="日期 字符"/>
    <w:link w:val="12"/>
    <w:qFormat/>
    <w:locked/>
    <w:uiPriority w:val="99"/>
    <w:rPr>
      <w:rFonts w:cs="Times New Roman"/>
      <w:kern w:val="2"/>
      <w:sz w:val="24"/>
    </w:rPr>
  </w:style>
  <w:style w:type="character" w:customStyle="1" w:styleId="28">
    <w:name w:val="页脚 字符"/>
    <w:link w:val="13"/>
    <w:semiHidden/>
    <w:qFormat/>
    <w:locked/>
    <w:uiPriority w:val="99"/>
    <w:rPr>
      <w:rFonts w:cs="Times New Roman"/>
      <w:sz w:val="18"/>
      <w:szCs w:val="18"/>
    </w:rPr>
  </w:style>
  <w:style w:type="character" w:customStyle="1" w:styleId="29">
    <w:name w:val="页眉 字符"/>
    <w:link w:val="14"/>
    <w:qFormat/>
    <w:locked/>
    <w:uiPriority w:val="99"/>
    <w:rPr>
      <w:rFonts w:cs="Times New Roman"/>
      <w:kern w:val="2"/>
      <w:sz w:val="18"/>
    </w:rPr>
  </w:style>
  <w:style w:type="character" w:customStyle="1" w:styleId="30">
    <w:name w:val="批注主题 字符"/>
    <w:link w:val="16"/>
    <w:qFormat/>
    <w:locked/>
    <w:uiPriority w:val="99"/>
    <w:rPr>
      <w:rFonts w:cs="Times New Roman"/>
      <w:b/>
      <w:kern w:val="2"/>
      <w:sz w:val="24"/>
    </w:rPr>
  </w:style>
  <w:style w:type="paragraph" w:customStyle="1" w:styleId="31">
    <w:name w:val="Char"/>
    <w:basedOn w:val="1"/>
    <w:qFormat/>
    <w:uiPriority w:val="0"/>
    <w:pPr>
      <w:tabs>
        <w:tab w:val="left" w:pos="360"/>
      </w:tabs>
    </w:pPr>
    <w:rPr>
      <w:sz w:val="24"/>
    </w:rPr>
  </w:style>
  <w:style w:type="character" w:customStyle="1" w:styleId="32">
    <w:name w:val="列表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8"/>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8"/>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13594</Words>
  <Characters>14425</Characters>
  <Lines>100</Lines>
  <Paragraphs>28</Paragraphs>
  <TotalTime>4</TotalTime>
  <ScaleCrop>false</ScaleCrop>
  <LinksUpToDate>false</LinksUpToDate>
  <CharactersWithSpaces>14926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朝夕</cp:lastModifiedBy>
  <cp:lastPrinted>2019-11-22T01:53:00Z</cp:lastPrinted>
  <dcterms:modified xsi:type="dcterms:W3CDTF">2023-01-20T03:20:04Z</dcterms:modified>
  <dc:title>淮海工学院A8-10号楼学生宿舍家具招标书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1BD1753CAEBD4FCBB94B62AF0973BADC</vt:lpwstr>
  </property>
</Properties>
</file>