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auto"/>
          <w:sz w:val="44"/>
          <w:szCs w:val="44"/>
          <w:highlight w:val="none"/>
        </w:rPr>
      </w:pPr>
      <w:bookmarkStart w:id="0" w:name="OLE_LINK2"/>
      <w:bookmarkStart w:id="1" w:name="OLE_LINK1"/>
      <w:r>
        <w:rPr>
          <w:b/>
          <w:color w:val="auto"/>
          <w:sz w:val="44"/>
          <w:szCs w:val="44"/>
          <w:highlight w:val="none"/>
        </w:rPr>
        <w:t>南京信息工程大学</w:t>
      </w:r>
      <w:bookmarkEnd w:id="0"/>
      <w:bookmarkEnd w:id="1"/>
      <w:r>
        <w:rPr>
          <w:rFonts w:hint="default" w:ascii="Times New Roman" w:hAnsi="Times New Roman" w:eastAsia="宋体" w:cs="Times New Roman"/>
          <w:b/>
          <w:i w:val="0"/>
          <w:iCs w:val="0"/>
          <w:caps w:val="0"/>
          <w:color w:val="auto"/>
          <w:spacing w:val="0"/>
          <w:kern w:val="2"/>
          <w:sz w:val="44"/>
          <w:szCs w:val="44"/>
          <w:highlight w:val="none"/>
          <w:lang w:val="en-US" w:eastAsia="zh-CN" w:bidi="ar"/>
        </w:rPr>
        <w:t>集成电路设计软件</w:t>
      </w:r>
      <w:r>
        <w:rPr>
          <w:rFonts w:hint="eastAsia" w:ascii="宋体" w:hAnsi="宋体"/>
          <w:b/>
          <w:color w:val="auto"/>
          <w:sz w:val="44"/>
          <w:szCs w:val="44"/>
          <w:highlight w:val="none"/>
        </w:rPr>
        <w:t>采购</w:t>
      </w:r>
      <w:r>
        <w:rPr>
          <w:rFonts w:hint="eastAsia"/>
          <w:b/>
          <w:color w:val="auto"/>
          <w:sz w:val="44"/>
          <w:szCs w:val="44"/>
          <w:highlight w:val="none"/>
        </w:rPr>
        <w:t>项目</w:t>
      </w:r>
    </w:p>
    <w:p>
      <w:pPr>
        <w:jc w:val="center"/>
        <w:rPr>
          <w:b/>
          <w:color w:val="auto"/>
          <w:sz w:val="44"/>
          <w:szCs w:val="44"/>
          <w:highlight w:val="none"/>
        </w:rPr>
      </w:pPr>
      <w:r>
        <w:rPr>
          <w:b/>
          <w:color w:val="auto"/>
          <w:sz w:val="44"/>
          <w:szCs w:val="44"/>
          <w:highlight w:val="none"/>
        </w:rPr>
        <w:t>招标文件</w:t>
      </w:r>
    </w:p>
    <w:p>
      <w:pPr>
        <w:pStyle w:val="8"/>
        <w:ind w:left="1470" w:right="1470"/>
        <w:rPr>
          <w:color w:val="auto"/>
          <w:highlight w:val="none"/>
        </w:rPr>
      </w:pPr>
    </w:p>
    <w:p>
      <w:pPr>
        <w:adjustRightInd w:val="0"/>
        <w:snapToGrid w:val="0"/>
        <w:spacing w:line="360" w:lineRule="auto"/>
        <w:jc w:val="center"/>
        <w:rPr>
          <w:rFonts w:ascii="宋体" w:hAnsi="宋体" w:cs="仿宋"/>
          <w:color w:val="auto"/>
          <w:sz w:val="28"/>
          <w:szCs w:val="28"/>
          <w:highlight w:val="none"/>
        </w:rPr>
      </w:pPr>
      <w:r>
        <w:rPr>
          <w:rFonts w:hint="eastAsia" w:ascii="宋体" w:hAnsi="宋体" w:cs="仿宋"/>
          <w:color w:val="auto"/>
          <w:sz w:val="28"/>
          <w:szCs w:val="28"/>
          <w:highlight w:val="none"/>
        </w:rPr>
        <w:t>（招标编号：</w:t>
      </w:r>
      <w:r>
        <w:rPr>
          <w:rFonts w:hint="eastAsia" w:ascii="宋体" w:hAnsi="宋体" w:cs="仿宋"/>
          <w:color w:val="auto"/>
          <w:sz w:val="28"/>
          <w:szCs w:val="28"/>
          <w:highlight w:val="none"/>
          <w:u w:val="single"/>
        </w:rPr>
        <w:t xml:space="preserve"> JZCG-2022-00094</w:t>
      </w:r>
      <w:r>
        <w:rPr>
          <w:rFonts w:hint="eastAsia" w:ascii="宋体" w:hAnsi="宋体" w:cs="仿宋"/>
          <w:color w:val="auto"/>
          <w:sz w:val="28"/>
          <w:szCs w:val="28"/>
          <w:highlight w:val="none"/>
          <w:u w:val="single"/>
          <w:lang w:val="en-US" w:eastAsia="zh-CN"/>
        </w:rPr>
        <w:t>-1a</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rPr>
        <w:t xml:space="preserve"> ）</w:t>
      </w:r>
    </w:p>
    <w:p>
      <w:pPr>
        <w:adjustRightInd w:val="0"/>
        <w:snapToGrid w:val="0"/>
        <w:spacing w:line="360" w:lineRule="auto"/>
        <w:jc w:val="center"/>
        <w:rPr>
          <w:rFonts w:ascii="宋体" w:cs="仿宋"/>
          <w:color w:val="auto"/>
          <w:sz w:val="28"/>
          <w:szCs w:val="28"/>
          <w:highlight w:val="none"/>
        </w:rPr>
      </w:pP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w:t>
      </w:r>
      <w:r>
        <w:rPr>
          <w:rFonts w:hint="eastAsia" w:ascii="宋体" w:hAnsi="宋体" w:cs="仿宋"/>
          <w:color w:val="auto"/>
          <w:sz w:val="28"/>
          <w:szCs w:val="28"/>
          <w:highlight w:val="none"/>
          <w:u w:val="single"/>
          <w:lang w:val="en-US" w:eastAsia="zh-CN"/>
        </w:rPr>
        <w:t>2</w:t>
      </w:r>
      <w:r>
        <w:rPr>
          <w:rFonts w:hint="eastAsia" w:ascii="宋体" w:hAnsi="宋体" w:cs="仿宋"/>
          <w:color w:val="auto"/>
          <w:sz w:val="28"/>
          <w:szCs w:val="28"/>
          <w:highlight w:val="none"/>
          <w:u w:val="single"/>
        </w:rPr>
        <w:t>年0</w:t>
      </w:r>
      <w:r>
        <w:rPr>
          <w:rFonts w:hint="eastAsia" w:ascii="宋体" w:hAnsi="宋体" w:cs="仿宋"/>
          <w:color w:val="auto"/>
          <w:sz w:val="28"/>
          <w:szCs w:val="28"/>
          <w:highlight w:val="none"/>
          <w:u w:val="single"/>
          <w:lang w:val="en-US" w:eastAsia="zh-CN"/>
        </w:rPr>
        <w:t>9</w:t>
      </w:r>
      <w:r>
        <w:rPr>
          <w:rFonts w:hint="eastAsia" w:ascii="宋体" w:hAnsi="宋体" w:cs="仿宋"/>
          <w:color w:val="auto"/>
          <w:sz w:val="28"/>
          <w:szCs w:val="28"/>
          <w:highlight w:val="none"/>
          <w:u w:val="single"/>
        </w:rPr>
        <w:t>月</w:t>
      </w:r>
      <w:r>
        <w:rPr>
          <w:rFonts w:hint="eastAsia" w:ascii="宋体" w:hAnsi="宋体" w:cs="仿宋"/>
          <w:color w:val="auto"/>
          <w:sz w:val="28"/>
          <w:szCs w:val="28"/>
          <w:highlight w:val="none"/>
          <w:u w:val="single"/>
          <w:lang w:val="en-US" w:eastAsia="zh-CN"/>
        </w:rPr>
        <w:t>15</w:t>
      </w:r>
      <w:r>
        <w:rPr>
          <w:rFonts w:hint="eastAsia" w:ascii="宋体" w:hAnsi="宋体" w:cs="仿宋"/>
          <w:color w:val="auto"/>
          <w:sz w:val="28"/>
          <w:szCs w:val="28"/>
          <w:highlight w:val="none"/>
          <w:u w:val="single"/>
        </w:rPr>
        <w:t>日1</w:t>
      </w:r>
      <w:r>
        <w:rPr>
          <w:rFonts w:hint="eastAsia" w:ascii="宋体" w:hAnsi="宋体" w:cs="仿宋"/>
          <w:color w:val="auto"/>
          <w:sz w:val="28"/>
          <w:szCs w:val="28"/>
          <w:highlight w:val="none"/>
          <w:u w:val="single"/>
          <w:lang w:val="en-US" w:eastAsia="zh-CN"/>
        </w:rPr>
        <w:t>0</w:t>
      </w:r>
      <w:r>
        <w:rPr>
          <w:rFonts w:hint="eastAsia" w:ascii="宋体" w:hAnsi="宋体" w:cs="仿宋"/>
          <w:color w:val="auto"/>
          <w:sz w:val="28"/>
          <w:szCs w:val="28"/>
          <w:highlight w:val="none"/>
          <w:u w:val="single"/>
        </w:rPr>
        <w:t>：</w:t>
      </w:r>
      <w:r>
        <w:rPr>
          <w:rFonts w:ascii="宋体" w:cs="仿宋"/>
          <w:color w:val="auto"/>
          <w:sz w:val="28"/>
          <w:szCs w:val="28"/>
          <w:highlight w:val="none"/>
          <w:u w:val="single"/>
        </w:rPr>
        <w:t>00</w:t>
      </w:r>
      <w:r>
        <w:rPr>
          <w:rFonts w:hint="eastAsia" w:ascii="宋体" w:hAnsi="宋体" w:cs="仿宋"/>
          <w:color w:val="auto"/>
          <w:sz w:val="28"/>
          <w:szCs w:val="28"/>
          <w:highlight w:val="none"/>
          <w:u w:val="single"/>
        </w:rPr>
        <w:t>定标发标版</w:t>
      </w:r>
      <w:r>
        <w:rPr>
          <w:rFonts w:ascii="宋体" w:hAnsi="宋体" w:cs="仿宋"/>
          <w:color w:val="auto"/>
          <w:sz w:val="28"/>
          <w:szCs w:val="28"/>
          <w:highlight w:val="none"/>
        </w:rPr>
        <w:t>)</w:t>
      </w:r>
    </w:p>
    <w:p>
      <w:pPr>
        <w:jc w:val="center"/>
        <w:rPr>
          <w:b/>
          <w:color w:val="auto"/>
          <w:sz w:val="28"/>
          <w:szCs w:val="28"/>
          <w:highlight w:val="none"/>
        </w:rPr>
      </w:pP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为满足学校相关</w:t>
      </w:r>
      <w:r>
        <w:rPr>
          <w:rFonts w:hint="eastAsia" w:ascii="宋体" w:hAnsi="宋体"/>
          <w:color w:val="auto"/>
          <w:sz w:val="28"/>
          <w:szCs w:val="28"/>
          <w:highlight w:val="none"/>
        </w:rPr>
        <w:t>教学</w:t>
      </w:r>
      <w:r>
        <w:rPr>
          <w:rFonts w:ascii="宋体" w:hAnsi="宋体"/>
          <w:color w:val="auto"/>
          <w:sz w:val="28"/>
          <w:szCs w:val="28"/>
          <w:highlight w:val="none"/>
        </w:rPr>
        <w:t>科研工作需要，受校</w:t>
      </w:r>
      <w:r>
        <w:rPr>
          <w:rFonts w:hint="eastAsia" w:ascii="宋体" w:hAnsi="宋体"/>
          <w:color w:val="auto"/>
          <w:sz w:val="28"/>
          <w:szCs w:val="28"/>
          <w:highlight w:val="none"/>
        </w:rPr>
        <w:t>电子与信息工程学院</w:t>
      </w:r>
      <w:r>
        <w:rPr>
          <w:rFonts w:ascii="宋体" w:hAnsi="宋体"/>
          <w:color w:val="auto"/>
          <w:sz w:val="28"/>
          <w:szCs w:val="28"/>
          <w:highlight w:val="none"/>
        </w:rPr>
        <w:t>委托，就</w:t>
      </w:r>
      <w:r>
        <w:rPr>
          <w:rFonts w:hint="eastAsia" w:ascii="宋体" w:hAnsi="宋体"/>
          <w:color w:val="auto"/>
          <w:sz w:val="28"/>
          <w:szCs w:val="28"/>
          <w:highlight w:val="none"/>
        </w:rPr>
        <w:t>集成电路设计软件采购项目</w:t>
      </w:r>
      <w:r>
        <w:rPr>
          <w:rFonts w:hint="eastAsia" w:ascii="宋体" w:hAnsi="宋体"/>
          <w:color w:val="auto"/>
          <w:sz w:val="28"/>
          <w:szCs w:val="28"/>
          <w:highlight w:val="none"/>
          <w:lang w:val="en-US" w:eastAsia="zh-CN"/>
        </w:rPr>
        <w:t>再次</w:t>
      </w:r>
      <w:bookmarkStart w:id="11" w:name="_GoBack"/>
      <w:bookmarkEnd w:id="11"/>
      <w:r>
        <w:rPr>
          <w:rFonts w:ascii="宋体" w:hAnsi="宋体"/>
          <w:color w:val="auto"/>
          <w:sz w:val="28"/>
          <w:szCs w:val="28"/>
          <w:highlight w:val="none"/>
        </w:rPr>
        <w:t>进行公开招标，欢迎符合条件的供应商报名投标，现将有关情况说明如下：</w:t>
      </w:r>
    </w:p>
    <w:p>
      <w:pPr>
        <w:spacing w:line="360" w:lineRule="auto"/>
        <w:ind w:firstLine="480" w:firstLineChars="200"/>
        <w:rPr>
          <w:color w:val="auto"/>
          <w:sz w:val="24"/>
          <w:highlight w:val="none"/>
        </w:rPr>
      </w:pPr>
    </w:p>
    <w:p>
      <w:pPr>
        <w:pStyle w:val="34"/>
        <w:spacing w:line="360" w:lineRule="auto"/>
        <w:ind w:firstLine="0" w:firstLineChars="0"/>
        <w:jc w:val="center"/>
        <w:rPr>
          <w:rFonts w:ascii="宋体" w:hAnsi="宋体" w:cs="仿宋"/>
          <w:b/>
          <w:bCs/>
          <w:color w:val="auto"/>
          <w:kern w:val="2"/>
          <w:sz w:val="28"/>
          <w:szCs w:val="28"/>
          <w:highlight w:val="none"/>
        </w:rPr>
      </w:pPr>
      <w:r>
        <w:rPr>
          <w:rFonts w:hint="eastAsia" w:ascii="宋体" w:hAnsi="宋体" w:cs="仿宋"/>
          <w:b/>
          <w:bCs/>
          <w:color w:val="auto"/>
          <w:kern w:val="2"/>
          <w:sz w:val="28"/>
          <w:szCs w:val="28"/>
          <w:highlight w:val="none"/>
        </w:rPr>
        <w:t>一、招标项目名称及简要说明</w:t>
      </w:r>
    </w:p>
    <w:p>
      <w:pPr>
        <w:pStyle w:val="34"/>
        <w:spacing w:line="360" w:lineRule="auto"/>
        <w:ind w:firstLine="560"/>
        <w:rPr>
          <w:rFonts w:ascii="宋体" w:hAnsi="宋体"/>
          <w:color w:val="auto"/>
          <w:kern w:val="2"/>
          <w:sz w:val="28"/>
          <w:szCs w:val="28"/>
          <w:highlight w:val="none"/>
        </w:rPr>
      </w:pPr>
      <w:r>
        <w:rPr>
          <w:rFonts w:ascii="宋体" w:hAnsi="宋体"/>
          <w:color w:val="auto"/>
          <w:kern w:val="2"/>
          <w:sz w:val="28"/>
          <w:szCs w:val="28"/>
          <w:highlight w:val="none"/>
        </w:rPr>
        <w:t>1. 项目名称：南京信息工程大学</w:t>
      </w:r>
      <w:r>
        <w:rPr>
          <w:rFonts w:hint="eastAsia" w:ascii="宋体" w:hAnsi="宋体"/>
          <w:color w:val="auto"/>
          <w:sz w:val="28"/>
          <w:szCs w:val="28"/>
          <w:highlight w:val="none"/>
        </w:rPr>
        <w:t>集成电路设计软件采购项目</w:t>
      </w:r>
      <w:r>
        <w:rPr>
          <w:rFonts w:ascii="宋体" w:hAnsi="宋体"/>
          <w:color w:val="auto"/>
          <w:kern w:val="2"/>
          <w:sz w:val="28"/>
          <w:szCs w:val="28"/>
          <w:highlight w:val="none"/>
        </w:rPr>
        <w:t>。</w:t>
      </w:r>
    </w:p>
    <w:p>
      <w:pPr>
        <w:spacing w:line="300" w:lineRule="auto"/>
        <w:ind w:firstLine="560" w:firstLineChars="200"/>
        <w:rPr>
          <w:rFonts w:ascii="宋体" w:hAnsi="宋体"/>
          <w:color w:val="auto"/>
          <w:sz w:val="28"/>
          <w:szCs w:val="28"/>
          <w:highlight w:val="none"/>
        </w:rPr>
      </w:pPr>
      <w:r>
        <w:rPr>
          <w:rFonts w:ascii="宋体" w:hAnsi="宋体"/>
          <w:color w:val="auto"/>
          <w:sz w:val="28"/>
          <w:szCs w:val="28"/>
          <w:highlight w:val="none"/>
        </w:rPr>
        <w:t xml:space="preserve">2. </w:t>
      </w:r>
      <w:r>
        <w:rPr>
          <w:rFonts w:hint="eastAsia" w:ascii="宋体" w:hAnsi="宋体" w:cs="仿宋"/>
          <w:color w:val="auto"/>
          <w:sz w:val="28"/>
          <w:szCs w:val="28"/>
          <w:highlight w:val="none"/>
        </w:rPr>
        <w:t>项目说明：</w:t>
      </w:r>
      <w:r>
        <w:rPr>
          <w:rFonts w:hint="eastAsia" w:ascii="宋体" w:hAnsi="宋体"/>
          <w:color w:val="auto"/>
          <w:sz w:val="28"/>
          <w:szCs w:val="28"/>
          <w:highlight w:val="none"/>
        </w:rPr>
        <w:t>南京信息工程大学校内，本次招标</w:t>
      </w:r>
      <w:r>
        <w:rPr>
          <w:rFonts w:hint="eastAsia" w:ascii="宋体" w:hAnsi="宋体" w:cs="仿宋"/>
          <w:color w:val="auto"/>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color w:val="auto"/>
          <w:sz w:val="28"/>
          <w:szCs w:val="28"/>
          <w:highlight w:val="none"/>
        </w:rPr>
      </w:pPr>
      <w:r>
        <w:rPr>
          <w:rFonts w:ascii="宋体" w:hAnsi="宋体"/>
          <w:color w:val="auto"/>
          <w:sz w:val="28"/>
          <w:szCs w:val="28"/>
          <w:highlight w:val="none"/>
        </w:rPr>
        <w:t>3</w:t>
      </w:r>
      <w:bookmarkStart w:id="2" w:name="_Hlk9865971"/>
      <w:r>
        <w:rPr>
          <w:rFonts w:hint="eastAsia" w:ascii="宋体" w:hAnsi="宋体"/>
          <w:color w:val="auto"/>
          <w:sz w:val="28"/>
          <w:szCs w:val="28"/>
          <w:highlight w:val="none"/>
        </w:rPr>
        <w:t>.本次招标采取公开招标方式，不承诺最低价（最高价）中标。招标公告和中标公示信息均在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21"/>
          <w:b/>
          <w:color w:val="auto"/>
          <w:sz w:val="24"/>
          <w:highlight w:val="none"/>
        </w:rPr>
        <w:t>https://bulletin.nuist.edu.cn/779/lis</w:t>
      </w:r>
      <w:r>
        <w:rPr>
          <w:rStyle w:val="21"/>
          <w:color w:val="auto"/>
          <w:sz w:val="24"/>
          <w:highlight w:val="none"/>
        </w:rPr>
        <w:t>t.htm</w:t>
      </w:r>
      <w:r>
        <w:rPr>
          <w:rStyle w:val="21"/>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b/>
          <w:color w:val="auto"/>
          <w:sz w:val="24"/>
          <w:szCs w:val="28"/>
          <w:highlight w:val="none"/>
          <w:u w:val="single"/>
        </w:rPr>
        <w:t>zbc.nuist.edu.cn</w:t>
      </w:r>
      <w:r>
        <w:rPr>
          <w:rFonts w:ascii="宋体" w:hAnsi="宋体"/>
          <w:b/>
          <w:color w:val="auto"/>
          <w:sz w:val="24"/>
          <w:szCs w:val="28"/>
          <w:highlight w:val="none"/>
          <w:u w:val="singl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bookmarkEnd w:id="2"/>
    </w:p>
    <w:p>
      <w:pPr>
        <w:spacing w:line="360" w:lineRule="auto"/>
        <w:ind w:firstLine="570"/>
        <w:jc w:val="left"/>
        <w:rPr>
          <w:rFonts w:ascii="宋体" w:hAnsi="宋体" w:cs="宋体"/>
          <w:color w:val="auto"/>
          <w:sz w:val="28"/>
          <w:szCs w:val="28"/>
          <w:highlight w:val="none"/>
        </w:rPr>
      </w:pPr>
      <w:r>
        <w:rPr>
          <w:rFonts w:ascii="宋体" w:hAnsi="宋体"/>
          <w:color w:val="auto"/>
          <w:sz w:val="28"/>
          <w:szCs w:val="28"/>
          <w:highlight w:val="none"/>
        </w:rPr>
        <w:t>4</w:t>
      </w:r>
      <w:bookmarkStart w:id="3" w:name="_Hlk9866054"/>
      <w:r>
        <w:rPr>
          <w:rFonts w:hint="eastAsia" w:ascii="宋体" w:hAnsi="宋体"/>
          <w:color w:val="auto"/>
          <w:sz w:val="28"/>
          <w:szCs w:val="28"/>
          <w:highlight w:val="none"/>
        </w:rPr>
        <w:t>.招标文件由我校采购人、项目归口管理部门和招标办联合起草；经学校相关职能部门会审通过形成正式招标文件。同时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bookmarkEnd w:id="3"/>
    </w:p>
    <w:p>
      <w:pPr>
        <w:spacing w:line="360" w:lineRule="auto"/>
        <w:ind w:firstLine="570"/>
        <w:jc w:val="left"/>
        <w:rPr>
          <w:rFonts w:ascii="宋体" w:hAnsi="宋体" w:cs="宋体"/>
          <w:color w:val="auto"/>
          <w:sz w:val="28"/>
          <w:szCs w:val="28"/>
          <w:highlight w:val="none"/>
        </w:rPr>
      </w:pPr>
      <w:r>
        <w:rPr>
          <w:rFonts w:hint="eastAsia" w:ascii="宋体" w:hAnsi="宋体" w:cs="宋体"/>
          <w:color w:val="auto"/>
          <w:sz w:val="28"/>
          <w:szCs w:val="28"/>
          <w:highlight w:val="none"/>
        </w:rPr>
        <w:t>5.正式的答疑回复文件也按上述方式处理留存。</w:t>
      </w:r>
    </w:p>
    <w:p>
      <w:pPr>
        <w:spacing w:line="360" w:lineRule="auto"/>
        <w:ind w:firstLine="570"/>
        <w:jc w:val="left"/>
        <w:rPr>
          <w:rFonts w:ascii="宋体" w:hAnsi="宋体" w:cs="宋体"/>
          <w:color w:val="auto"/>
          <w:sz w:val="28"/>
          <w:szCs w:val="28"/>
          <w:highlight w:val="none"/>
        </w:rPr>
      </w:pPr>
      <w:r>
        <w:rPr>
          <w:rFonts w:hint="eastAsia" w:ascii="宋体" w:hAnsi="宋体" w:cs="宋体"/>
          <w:color w:val="auto"/>
          <w:sz w:val="28"/>
          <w:szCs w:val="28"/>
          <w:highlight w:val="none"/>
        </w:rPr>
        <w:t>6.投标有效期：自开标之日起90天内投标有效。</w:t>
      </w:r>
    </w:p>
    <w:p>
      <w:pPr>
        <w:spacing w:line="360" w:lineRule="auto"/>
        <w:ind w:firstLine="570"/>
        <w:jc w:val="left"/>
        <w:rPr>
          <w:rFonts w:ascii="宋体" w:hAnsi="宋体" w:cs="宋体"/>
          <w:color w:val="auto"/>
          <w:sz w:val="28"/>
          <w:szCs w:val="28"/>
          <w:highlight w:val="none"/>
        </w:rPr>
      </w:pPr>
      <w:r>
        <w:rPr>
          <w:rFonts w:hint="eastAsia" w:ascii="宋体" w:hAnsi="宋体" w:cs="宋体"/>
          <w:color w:val="auto"/>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color w:val="auto"/>
          <w:kern w:val="0"/>
          <w:sz w:val="28"/>
          <w:szCs w:val="28"/>
          <w:highlight w:val="none"/>
          <w:u w:val="single"/>
        </w:rPr>
      </w:pPr>
      <w:r>
        <w:rPr>
          <w:rFonts w:hint="eastAsia" w:ascii="宋体" w:hAnsi="宋体" w:cs="Arial"/>
          <w:i/>
          <w:iCs/>
          <w:color w:val="auto"/>
          <w:sz w:val="28"/>
          <w:szCs w:val="28"/>
          <w:highlight w:val="none"/>
          <w:u w:val="single"/>
        </w:rPr>
        <w:t>（一）参加政府采购的供应商应当具备政府采购法</w:t>
      </w:r>
      <w:r>
        <w:rPr>
          <w:rFonts w:ascii="宋体" w:hAnsi="宋体" w:cs="Arial"/>
          <w:i/>
          <w:iCs/>
          <w:color w:val="auto"/>
          <w:sz w:val="28"/>
          <w:szCs w:val="28"/>
          <w:highlight w:val="none"/>
          <w:u w:val="single"/>
        </w:rPr>
        <w:t>第二十二条</w:t>
      </w:r>
      <w:r>
        <w:rPr>
          <w:rFonts w:hint="eastAsia" w:ascii="宋体" w:hAnsi="宋体" w:cs="Arial"/>
          <w:i/>
          <w:iCs/>
          <w:color w:val="auto"/>
          <w:sz w:val="28"/>
          <w:szCs w:val="28"/>
          <w:highlight w:val="none"/>
          <w:u w:val="single"/>
        </w:rPr>
        <w:t>第一款</w:t>
      </w:r>
      <w:r>
        <w:rPr>
          <w:rFonts w:ascii="宋体" w:hAnsi="宋体" w:cs="Arial"/>
          <w:i/>
          <w:iCs/>
          <w:color w:val="auto"/>
          <w:sz w:val="28"/>
          <w:szCs w:val="28"/>
          <w:highlight w:val="none"/>
          <w:u w:val="single"/>
        </w:rPr>
        <w:t>规定</w:t>
      </w:r>
      <w:r>
        <w:rPr>
          <w:rFonts w:hint="eastAsia" w:ascii="宋体" w:hAnsi="宋体" w:cs="Arial"/>
          <w:i/>
          <w:iCs/>
          <w:color w:val="auto"/>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8.本项目拒绝下述供应商参加本次采购活动的情形：</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color w:val="auto"/>
          <w:sz w:val="28"/>
          <w:szCs w:val="28"/>
          <w:highlight w:val="none"/>
        </w:rPr>
      </w:pPr>
      <w:r>
        <w:rPr>
          <w:rFonts w:hint="eastAsia" w:ascii="宋体" w:hAnsi="宋体" w:cs="宋体"/>
          <w:bCs/>
          <w:color w:val="auto"/>
          <w:sz w:val="28"/>
          <w:szCs w:val="28"/>
          <w:highlight w:val="none"/>
        </w:rPr>
        <w:t>（3）供应商被“信用中国”网站（www.creditchina.gov.cn）、“中国政府采</w:t>
      </w:r>
      <w:r>
        <w:rPr>
          <w:rFonts w:hint="eastAsia" w:ascii="宋体" w:hAnsi="宋体" w:cs="宋体"/>
          <w:color w:val="auto"/>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9.本项目不接受联合体投标。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w:t>
      </w:r>
      <w:r>
        <w:rPr>
          <w:rFonts w:ascii="宋体" w:hAnsi="宋体" w:cs="宋体"/>
          <w:color w:val="auto"/>
          <w:sz w:val="28"/>
          <w:szCs w:val="28"/>
          <w:highlight w:val="none"/>
        </w:rPr>
        <w:t>2</w:t>
      </w:r>
      <w:r>
        <w:rPr>
          <w:rFonts w:hint="eastAsia" w:ascii="宋体" w:hAnsi="宋体" w:cs="宋体"/>
          <w:color w:val="auto"/>
          <w:sz w:val="28"/>
          <w:szCs w:val="28"/>
          <w:highlight w:val="none"/>
        </w:rPr>
        <w:t>、附件</w:t>
      </w:r>
      <w:r>
        <w:rPr>
          <w:rFonts w:ascii="宋体" w:hAnsi="宋体" w:cs="宋体"/>
          <w:color w:val="auto"/>
          <w:sz w:val="28"/>
          <w:szCs w:val="28"/>
          <w:highlight w:val="none"/>
        </w:rPr>
        <w:t>3</w:t>
      </w:r>
      <w:r>
        <w:rPr>
          <w:rFonts w:hint="eastAsia" w:ascii="宋体" w:hAnsi="宋体" w:cs="宋体"/>
          <w:color w:val="auto"/>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六、本项目预算价为</w:t>
      </w:r>
      <w:r>
        <w:rPr>
          <w:rFonts w:ascii="宋体" w:hAnsi="宋体" w:cs="宋体"/>
          <w:color w:val="auto"/>
          <w:sz w:val="28"/>
          <w:szCs w:val="28"/>
          <w:highlight w:val="none"/>
        </w:rPr>
        <w:t>24</w:t>
      </w:r>
      <w:r>
        <w:rPr>
          <w:rFonts w:hint="eastAsia" w:ascii="宋体" w:hAnsi="宋体" w:cs="宋体"/>
          <w:color w:val="auto"/>
          <w:sz w:val="28"/>
          <w:szCs w:val="28"/>
          <w:highlight w:val="none"/>
        </w:rPr>
        <w:t>万元，本项目只接受人民币报价。</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4" w:name="_Hlk9866140"/>
      <w:r>
        <w:rPr>
          <w:rFonts w:hint="eastAsia" w:ascii="黑体" w:hAnsi="黑体" w:eastAsia="黑体" w:cs="宋体"/>
          <w:color w:val="auto"/>
          <w:sz w:val="28"/>
          <w:szCs w:val="28"/>
          <w:highlight w:val="none"/>
        </w:rPr>
        <w:t>三、对投标文件的要求</w:t>
      </w:r>
    </w:p>
    <w:p>
      <w:pPr>
        <w:snapToGrid w:val="0"/>
        <w:spacing w:line="538" w:lineRule="exact"/>
        <w:ind w:firstLine="560" w:firstLineChars="200"/>
        <w:rPr>
          <w:rFonts w:ascii="宋体" w:hAnsi="宋体" w:cs="宋体"/>
          <w:bCs/>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w:t>
      </w:r>
      <w:r>
        <w:rPr>
          <w:rFonts w:hint="eastAsia" w:ascii="宋体" w:hAnsi="宋体" w:cs="宋体"/>
          <w:bCs/>
          <w:color w:val="auto"/>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color w:val="auto"/>
          <w:sz w:val="28"/>
          <w:szCs w:val="28"/>
          <w:highlight w:val="none"/>
        </w:rPr>
      </w:pPr>
      <w:r>
        <w:rPr>
          <w:rFonts w:hint="eastAsia" w:ascii="宋体" w:hAnsi="宋体" w:cs="宋体"/>
          <w:color w:val="auto"/>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）投标价格明细表（附件</w:t>
      </w:r>
      <w:r>
        <w:rPr>
          <w:rFonts w:ascii="宋体" w:hAnsi="宋体" w:cs="宋体"/>
          <w:color w:val="auto"/>
          <w:sz w:val="28"/>
          <w:szCs w:val="28"/>
          <w:highlight w:val="none"/>
        </w:rPr>
        <w:t>3</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）授权委托书、被委托人身份证复印件；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）产品（或服务，下同）技术性能参数的详细描述一览表（投标文件在对投标标的物进行技术和商务描述时，必须完全按照招标文件附件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中的章节顺序依次逐条响应，不得颠倒顺序，不得有漏项，不得原封不动地引用招标文件附件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）产品技术和商务指标偏差表；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）产品服务方案；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9</w:t>
      </w:r>
      <w:r>
        <w:rPr>
          <w:rFonts w:hint="eastAsia" w:ascii="宋体" w:hAnsi="宋体" w:cs="宋体"/>
          <w:color w:val="auto"/>
          <w:sz w:val="28"/>
          <w:szCs w:val="28"/>
          <w:highlight w:val="none"/>
        </w:rPr>
        <w:t>）产品销售授权书或代理证书（如系代理公司的）；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rPr>
        <w:t xml:space="preserve"> 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）产品质量检测报告、质保、认证等证书；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12</w:t>
      </w:r>
      <w:r>
        <w:rPr>
          <w:rFonts w:hint="eastAsia" w:ascii="宋体" w:hAnsi="宋体" w:cs="宋体"/>
          <w:color w:val="auto"/>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13</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14</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15</w:t>
      </w:r>
      <w:r>
        <w:rPr>
          <w:rFonts w:hint="eastAsia" w:ascii="宋体" w:hAnsi="宋体" w:cs="宋体"/>
          <w:color w:val="auto"/>
          <w:sz w:val="28"/>
          <w:szCs w:val="28"/>
          <w:highlight w:val="none"/>
        </w:rPr>
        <w:t>）</w:t>
      </w:r>
      <w:r>
        <w:rPr>
          <w:rFonts w:hint="eastAsia"/>
          <w:color w:val="auto"/>
          <w:sz w:val="28"/>
          <w:szCs w:val="28"/>
          <w:highlight w:val="none"/>
        </w:rPr>
        <w:t>投标人必须投本标书所有标段的设备，不允许分标段投标；标书中服务器标段必须满足所有参数要求，其余标段标</w:t>
      </w:r>
      <w:r>
        <w:rPr>
          <w:rFonts w:hint="eastAsia" w:ascii="宋体" w:hAnsi="宋体" w:cs="Arial"/>
          <w:color w:val="auto"/>
          <w:kern w:val="0"/>
          <w:sz w:val="18"/>
          <w:szCs w:val="18"/>
          <w:highlight w:val="none"/>
        </w:rPr>
        <w:t>★</w:t>
      </w:r>
      <w:r>
        <w:rPr>
          <w:rFonts w:hint="eastAsia"/>
          <w:color w:val="auto"/>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投标人在投标文件中应承诺对如下内容已完全理解，如不承诺，视为认可：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bookmarkEnd w:id="4"/>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5" w:name="_Hlk9866206"/>
      <w:r>
        <w:rPr>
          <w:rFonts w:hint="eastAsia" w:ascii="黑体" w:hAnsi="黑体" w:eastAsia="黑体" w:cs="宋体"/>
          <w:color w:val="auto"/>
          <w:sz w:val="28"/>
          <w:szCs w:val="28"/>
          <w:highlight w:val="none"/>
        </w:rPr>
        <w:t>四、开标程序</w:t>
      </w:r>
      <w:bookmarkEnd w:id="5"/>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hAnsi="宋体" w:cs="宋体"/>
          <w:b/>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“JZCG-2022-00094</w:t>
      </w:r>
      <w:r>
        <w:rPr>
          <w:rFonts w:hint="eastAsia" w:ascii="宋体" w:hAnsi="宋体" w:cs="宋体"/>
          <w:b/>
          <w:color w:val="auto"/>
          <w:sz w:val="28"/>
          <w:szCs w:val="28"/>
          <w:highlight w:val="none"/>
          <w:lang w:val="en-US" w:eastAsia="zh-CN"/>
        </w:rPr>
        <w:t>-1a</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10.</w:t>
      </w:r>
      <w:r>
        <w:rPr>
          <w:rFonts w:hint="eastAsia" w:ascii="宋体" w:hAnsi="宋体" w:cs="宋体"/>
          <w:color w:val="auto"/>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为保证招标质量，在评标办法中设核心指标。每个分包的核心指标不超过</w:t>
      </w:r>
      <w:r>
        <w:rPr>
          <w:rFonts w:ascii="宋体" w:hAnsi="宋体" w:cs="宋体"/>
          <w:color w:val="auto"/>
          <w:sz w:val="28"/>
          <w:szCs w:val="28"/>
          <w:highlight w:val="none"/>
        </w:rPr>
        <w:t>5</w:t>
      </w:r>
      <w:r>
        <w:rPr>
          <w:rFonts w:hint="eastAsia" w:ascii="宋体" w:hAnsi="宋体" w:cs="宋体"/>
          <w:color w:val="auto"/>
          <w:sz w:val="28"/>
          <w:szCs w:val="28"/>
          <w:highlight w:val="none"/>
        </w:rPr>
        <w:t>个。</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个工作日内，中标单位须及时缴纳中标价的10%作为履约保证金并前来我校领取《中标通知书》（一式二份）。服务完成，验收合格后返还50%履约保证金，另50%履约保证金转为质量保证金。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4"/>
        <w:rPr>
          <w:color w:val="auto"/>
          <w:highlight w:val="none"/>
        </w:rPr>
      </w:pPr>
      <w:r>
        <w:rPr>
          <w:rFonts w:hint="eastAsia" w:ascii="宋体" w:hAnsi="宋体" w:cs="宋体"/>
          <w:color w:val="auto"/>
          <w:sz w:val="28"/>
          <w:szCs w:val="28"/>
          <w:highlight w:val="none"/>
        </w:rPr>
        <w:t>（3）附件6合同仅为参考样本，最终以通过我校审核后签署的合同为准。</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内供应货物，签订合同后，20日内预付合同金额的30%，全部货物交货并最终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w:t>
      </w:r>
      <w:r>
        <w:rPr>
          <w:rFonts w:hint="eastAsia" w:ascii="宋体" w:hAnsi="宋体" w:cs="宋体"/>
          <w:b/>
          <w:bCs/>
          <w:color w:val="auto"/>
          <w:sz w:val="28"/>
          <w:szCs w:val="28"/>
          <w:highlight w:val="none"/>
        </w:rPr>
        <w:t>户名：南京信息工程大学；账号：</w:t>
      </w:r>
      <w:r>
        <w:rPr>
          <w:rFonts w:ascii="宋体" w:hAnsi="宋体" w:cs="宋体"/>
          <w:b/>
          <w:bCs/>
          <w:color w:val="auto"/>
          <w:sz w:val="28"/>
          <w:szCs w:val="28"/>
          <w:highlight w:val="none"/>
        </w:rPr>
        <w:t>10115401040000228</w:t>
      </w:r>
      <w:r>
        <w:rPr>
          <w:rFonts w:hint="eastAsia" w:ascii="宋体" w:hAnsi="宋体" w:cs="宋体"/>
          <w:b/>
          <w:bCs/>
          <w:color w:val="auto"/>
          <w:sz w:val="28"/>
          <w:szCs w:val="28"/>
          <w:highlight w:val="none"/>
        </w:rPr>
        <w:t>；开户银行：中国农业银行南京盘城支行</w:t>
      </w:r>
      <w:r>
        <w:rPr>
          <w:rFonts w:hint="eastAsia" w:ascii="宋体" w:hAnsi="宋体" w:cs="宋体"/>
          <w:color w:val="auto"/>
          <w:sz w:val="28"/>
          <w:szCs w:val="28"/>
          <w:highlight w:val="none"/>
        </w:rPr>
        <w:t>。请各投标人务必在转账留言栏备注填写</w:t>
      </w:r>
      <w:r>
        <w:rPr>
          <w:rFonts w:hint="eastAsia" w:ascii="宋体" w:hAnsi="宋体" w:cs="宋体"/>
          <w:b/>
          <w:color w:val="auto"/>
          <w:sz w:val="28"/>
          <w:szCs w:val="28"/>
          <w:highlight w:val="none"/>
        </w:rPr>
        <w:t>“JZCG-2022-00094</w:t>
      </w:r>
      <w:r>
        <w:rPr>
          <w:rFonts w:hint="eastAsia" w:ascii="宋体" w:hAnsi="宋体" w:cs="宋体"/>
          <w:b/>
          <w:color w:val="auto"/>
          <w:sz w:val="28"/>
          <w:szCs w:val="28"/>
          <w:highlight w:val="none"/>
          <w:lang w:val="en-US" w:eastAsia="zh-CN"/>
        </w:rPr>
        <w:t>-1a</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ind w:firstLine="548"/>
        <w:rPr>
          <w:rFonts w:ascii="宋体" w:hAnsi="宋体" w:cs="宋体"/>
          <w:b w:val="0"/>
          <w:bCs w:val="0"/>
          <w:color w:val="auto"/>
          <w:sz w:val="28"/>
          <w:szCs w:val="28"/>
          <w:highlight w:val="none"/>
        </w:rPr>
      </w:pPr>
      <w:r>
        <w:rPr>
          <w:rFonts w:ascii="宋体" w:hAnsi="宋体" w:cs="宋体"/>
          <w:color w:val="auto"/>
          <w:sz w:val="28"/>
          <w:szCs w:val="28"/>
          <w:highlight w:val="none"/>
        </w:rPr>
        <w:t>5.</w:t>
      </w:r>
      <w:r>
        <w:rPr>
          <w:rFonts w:hint="default" w:ascii="宋体" w:hAnsi="宋体" w:cs="宋体"/>
          <w:color w:val="auto"/>
          <w:sz w:val="28"/>
          <w:szCs w:val="28"/>
          <w:highlight w:val="none"/>
        </w:rPr>
        <w:t>投标保证金：无</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履约保证金：中标价10%。</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r>
        <w:rPr>
          <w:rFonts w:hint="eastAsia" w:ascii="宋体" w:hAnsi="宋体" w:cs="宋体"/>
          <w:b/>
          <w:bCs/>
          <w:color w:val="auto"/>
          <w:sz w:val="28"/>
          <w:szCs w:val="28"/>
          <w:highlight w:val="none"/>
        </w:rPr>
        <w:t>户名：南京信息工程大学；账号：</w:t>
      </w:r>
      <w:r>
        <w:rPr>
          <w:rFonts w:ascii="宋体" w:hAnsi="宋体" w:cs="宋体"/>
          <w:b/>
          <w:bCs/>
          <w:color w:val="auto"/>
          <w:sz w:val="28"/>
          <w:szCs w:val="28"/>
          <w:highlight w:val="none"/>
        </w:rPr>
        <w:t>10115401040000228</w:t>
      </w:r>
      <w:r>
        <w:rPr>
          <w:rFonts w:hint="eastAsia" w:ascii="宋体" w:hAnsi="宋体" w:cs="宋体"/>
          <w:b/>
          <w:bCs/>
          <w:color w:val="auto"/>
          <w:sz w:val="28"/>
          <w:szCs w:val="28"/>
          <w:highlight w:val="none"/>
        </w:rPr>
        <w:t>；开户银行：中国农业银行南京盘城支行</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质保：参照附件4服务要求</w:t>
      </w:r>
    </w:p>
    <w:p>
      <w:pPr>
        <w:spacing w:before="312" w:beforeLines="100" w:after="312" w:afterLines="100" w:line="360" w:lineRule="auto"/>
        <w:jc w:val="center"/>
        <w:rPr>
          <w:rFonts w:ascii="黑体" w:hAnsi="黑体" w:eastAsia="黑体"/>
          <w:color w:val="auto"/>
          <w:sz w:val="28"/>
          <w:szCs w:val="28"/>
          <w:highlight w:val="none"/>
        </w:rPr>
      </w:pPr>
      <w:bookmarkStart w:id="6"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 xml:space="preserve">答疑时间：          </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w:t>
      </w:r>
      <w:r>
        <w:rPr>
          <w:rFonts w:hint="eastAsia" w:ascii="宋体" w:hAnsi="宋体"/>
          <w:b/>
          <w:color w:val="auto"/>
          <w:sz w:val="28"/>
          <w:szCs w:val="28"/>
          <w:highlight w:val="none"/>
          <w:u w:val="single"/>
          <w:lang w:val="en-US" w:eastAsia="zh-CN"/>
        </w:rPr>
        <w:t>2</w:t>
      </w:r>
      <w:r>
        <w:rPr>
          <w:rFonts w:hint="eastAsia" w:ascii="宋体" w:hAnsi="宋体"/>
          <w:b/>
          <w:color w:val="auto"/>
          <w:sz w:val="28"/>
          <w:szCs w:val="28"/>
          <w:highlight w:val="none"/>
          <w:u w:val="single"/>
        </w:rPr>
        <w:t>年0</w:t>
      </w:r>
      <w:r>
        <w:rPr>
          <w:rFonts w:hint="eastAsia" w:ascii="宋体" w:hAnsi="宋体"/>
          <w:b/>
          <w:color w:val="auto"/>
          <w:sz w:val="28"/>
          <w:szCs w:val="28"/>
          <w:highlight w:val="none"/>
          <w:u w:val="single"/>
          <w:lang w:val="en-US" w:eastAsia="zh-CN"/>
        </w:rPr>
        <w:t>9</w:t>
      </w:r>
      <w:r>
        <w:rPr>
          <w:rFonts w:hint="eastAsia" w:ascii="宋体" w:hAnsi="宋体"/>
          <w:b/>
          <w:color w:val="auto"/>
          <w:sz w:val="28"/>
          <w:szCs w:val="28"/>
          <w:highlight w:val="none"/>
          <w:u w:val="single"/>
        </w:rPr>
        <w:t>月</w:t>
      </w:r>
      <w:r>
        <w:rPr>
          <w:rFonts w:hint="eastAsia" w:ascii="宋体" w:hAnsi="宋体"/>
          <w:b/>
          <w:color w:val="auto"/>
          <w:sz w:val="28"/>
          <w:szCs w:val="28"/>
          <w:highlight w:val="none"/>
          <w:u w:val="single"/>
          <w:lang w:val="en-US" w:eastAsia="zh-CN"/>
        </w:rPr>
        <w:t>22</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5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w:t>
      </w:r>
      <w:r>
        <w:rPr>
          <w:b/>
          <w:bCs/>
          <w:i/>
          <w:iCs/>
          <w:color w:val="auto"/>
          <w:sz w:val="28"/>
          <w:szCs w:val="28"/>
          <w:highlight w:val="none"/>
          <w:u w:val="single"/>
        </w:rPr>
        <w:t>（注：由于疫情管理，我单位不接收顺丰同城急送，请各投标单位合理安排时间并自行负责）。</w:t>
      </w:r>
      <w:r>
        <w:rPr>
          <w:bCs/>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（2）投标截止时间：202</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09</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14</w:t>
      </w:r>
      <w:r>
        <w:rPr>
          <w:rFonts w:hint="eastAsia" w:ascii="宋体" w:hAnsi="宋体"/>
          <w:color w:val="auto"/>
          <w:sz w:val="28"/>
          <w:szCs w:val="28"/>
          <w:highlight w:val="none"/>
        </w:rPr>
        <w:t>：00。</w:t>
      </w:r>
      <w:bookmarkStart w:id="7" w:name="_Hlk32349437"/>
      <w:bookmarkEnd w:id="7"/>
    </w:p>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rPr>
        <w:t>招标办。联系人：马老师、罗老师、刘老师；联系电话：025-58731441。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（1）开标、唱标：202</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09</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14</w:t>
      </w:r>
      <w:r>
        <w:rPr>
          <w:rFonts w:hint="eastAsia" w:ascii="宋体" w:hAnsi="宋体"/>
          <w:color w:val="auto"/>
          <w:sz w:val="28"/>
          <w:szCs w:val="28"/>
          <w:highlight w:val="none"/>
        </w:rPr>
        <w:t>：00；(不安排公开开标、唱标，由招标办工作人员在我校纪检监察部门监督见证下进行，开标、唱标工作全程视频监控并录像)。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）招标办：联系电话：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，联系人：马老师、罗老师、刘老师；</w:t>
      </w:r>
    </w:p>
    <w:p>
      <w:pPr>
        <w:snapToGrid w:val="0"/>
        <w:spacing w:line="360" w:lineRule="auto"/>
        <w:ind w:firstLine="425" w:firstLineChars="152"/>
        <w:rPr>
          <w:rFonts w:ascii="宋体" w:hAnsi="宋体"/>
          <w:color w:val="auto"/>
          <w:sz w:val="28"/>
          <w:szCs w:val="28"/>
          <w:highlight w:val="none"/>
        </w:rPr>
      </w:pPr>
      <w:r>
        <w:rPr>
          <w:rFonts w:hint="eastAsia" w:ascii="宋体" w:hAnsi="宋体"/>
          <w:color w:val="auto"/>
          <w:sz w:val="28"/>
          <w:szCs w:val="28"/>
          <w:highlight w:val="none"/>
        </w:rPr>
        <w:t>（2）</w:t>
      </w:r>
      <w:bookmarkEnd w:id="6"/>
      <w:r>
        <w:rPr>
          <w:rFonts w:hint="eastAsia" w:ascii="宋体" w:hAnsi="宋体"/>
          <w:color w:val="auto"/>
          <w:sz w:val="28"/>
          <w:szCs w:val="28"/>
          <w:highlight w:val="none"/>
        </w:rPr>
        <w:t>用户单位联系电话：</w:t>
      </w:r>
      <w:r>
        <w:rPr>
          <w:rFonts w:ascii="宋体" w:hAnsi="宋体"/>
          <w:color w:val="auto"/>
          <w:sz w:val="28"/>
          <w:szCs w:val="28"/>
          <w:highlight w:val="none"/>
        </w:rPr>
        <w:t>025-58731513</w:t>
      </w:r>
      <w:r>
        <w:rPr>
          <w:rFonts w:hint="eastAsia" w:ascii="宋体" w:hAnsi="宋体"/>
          <w:color w:val="auto"/>
          <w:sz w:val="28"/>
          <w:szCs w:val="28"/>
          <w:highlight w:val="none"/>
        </w:rPr>
        <w:t>，联系人：祁老师。</w:t>
      </w:r>
    </w:p>
    <w:p>
      <w:pPr>
        <w:pStyle w:val="8"/>
        <w:ind w:left="0" w:leftChars="0" w:right="0" w:rightChars="0"/>
        <w:rPr>
          <w:rFonts w:ascii="宋体" w:hAnsi="宋体"/>
          <w:color w:val="auto"/>
          <w:sz w:val="28"/>
          <w:szCs w:val="28"/>
          <w:highlight w:val="none"/>
        </w:rPr>
      </w:pPr>
    </w:p>
    <w:p>
      <w:pPr>
        <w:tabs>
          <w:tab w:val="left" w:pos="1260"/>
        </w:tabs>
        <w:spacing w:line="360" w:lineRule="auto"/>
        <w:ind w:left="1959" w:leftChars="933" w:firstLine="2530" w:firstLineChars="900"/>
        <w:rPr>
          <w:rFonts w:ascii="宋体"/>
          <w:b/>
          <w:color w:val="auto"/>
          <w:sz w:val="28"/>
          <w:szCs w:val="28"/>
          <w:highlight w:val="none"/>
        </w:rPr>
      </w:pPr>
      <w:bookmarkStart w:id="8" w:name="_Hlk9866962"/>
      <w:r>
        <w:rPr>
          <w:rFonts w:hint="eastAsia" w:ascii="宋体" w:hAnsi="宋体"/>
          <w:b/>
          <w:color w:val="auto"/>
          <w:sz w:val="28"/>
          <w:szCs w:val="28"/>
          <w:highlight w:val="none"/>
        </w:rPr>
        <w:t>南京信息工程大学招标办</w:t>
      </w:r>
    </w:p>
    <w:p>
      <w:pPr>
        <w:pStyle w:val="11"/>
        <w:spacing w:line="360" w:lineRule="auto"/>
        <w:ind w:left="99" w:leftChars="47" w:firstLine="4919" w:firstLineChars="1750"/>
        <w:rPr>
          <w:rStyle w:val="41"/>
          <w:rFonts w:ascii="宋体" w:hAnsi="Times New Roman" w:eastAsia="宋体"/>
          <w:color w:val="auto"/>
          <w:sz w:val="28"/>
          <w:szCs w:val="28"/>
          <w:highlight w:val="none"/>
        </w:rPr>
      </w:pPr>
      <w:r>
        <w:rPr>
          <w:rStyle w:val="41"/>
          <w:rFonts w:ascii="宋体" w:hAnsi="宋体" w:eastAsia="宋体"/>
          <w:color w:val="auto"/>
          <w:sz w:val="28"/>
          <w:szCs w:val="28"/>
          <w:highlight w:val="none"/>
        </w:rPr>
        <w:t>20</w:t>
      </w:r>
      <w:r>
        <w:rPr>
          <w:rStyle w:val="41"/>
          <w:rFonts w:hint="eastAsia" w:ascii="宋体" w:hAnsi="宋体" w:eastAsia="宋体"/>
          <w:color w:val="auto"/>
          <w:sz w:val="28"/>
          <w:szCs w:val="28"/>
          <w:highlight w:val="none"/>
        </w:rPr>
        <w:t>2</w:t>
      </w:r>
      <w:r>
        <w:rPr>
          <w:rStyle w:val="41"/>
          <w:rFonts w:hint="eastAsia" w:ascii="宋体" w:hAnsi="宋体"/>
          <w:color w:val="auto"/>
          <w:sz w:val="28"/>
          <w:szCs w:val="28"/>
          <w:highlight w:val="none"/>
          <w:lang w:val="en-US"/>
        </w:rPr>
        <w:t>2</w:t>
      </w:r>
      <w:r>
        <w:rPr>
          <w:rStyle w:val="41"/>
          <w:rFonts w:hint="eastAsia" w:ascii="宋体" w:hAnsi="宋体" w:eastAsia="宋体"/>
          <w:color w:val="auto"/>
          <w:sz w:val="28"/>
          <w:szCs w:val="28"/>
          <w:highlight w:val="none"/>
        </w:rPr>
        <w:t>年</w:t>
      </w:r>
      <w:r>
        <w:rPr>
          <w:rStyle w:val="41"/>
          <w:rFonts w:hint="eastAsia" w:ascii="宋体" w:hAnsi="宋体"/>
          <w:color w:val="auto"/>
          <w:sz w:val="28"/>
          <w:szCs w:val="28"/>
          <w:highlight w:val="none"/>
        </w:rPr>
        <w:t>0</w:t>
      </w:r>
      <w:r>
        <w:rPr>
          <w:rStyle w:val="41"/>
          <w:rFonts w:hint="eastAsia" w:ascii="宋体" w:hAnsi="宋体"/>
          <w:color w:val="auto"/>
          <w:sz w:val="28"/>
          <w:szCs w:val="28"/>
          <w:highlight w:val="none"/>
          <w:lang w:val="en-US"/>
        </w:rPr>
        <w:t>9</w:t>
      </w:r>
      <w:r>
        <w:rPr>
          <w:rStyle w:val="41"/>
          <w:rFonts w:hint="eastAsia" w:ascii="宋体" w:hAnsi="宋体" w:eastAsia="宋体"/>
          <w:color w:val="auto"/>
          <w:sz w:val="28"/>
          <w:szCs w:val="28"/>
          <w:highlight w:val="none"/>
        </w:rPr>
        <w:t>月</w:t>
      </w:r>
      <w:r>
        <w:rPr>
          <w:rStyle w:val="41"/>
          <w:rFonts w:hint="eastAsia" w:ascii="宋体" w:hAnsi="宋体"/>
          <w:color w:val="auto"/>
          <w:sz w:val="28"/>
          <w:szCs w:val="28"/>
          <w:highlight w:val="none"/>
          <w:lang w:val="en-US"/>
        </w:rPr>
        <w:t>15</w:t>
      </w:r>
      <w:r>
        <w:rPr>
          <w:rStyle w:val="41"/>
          <w:rFonts w:hint="eastAsia" w:ascii="宋体" w:hAnsi="宋体" w:eastAsia="宋体"/>
          <w:color w:val="auto"/>
          <w:sz w:val="28"/>
          <w:szCs w:val="28"/>
          <w:highlight w:val="none"/>
        </w:rPr>
        <w:t>日</w:t>
      </w:r>
      <w:bookmarkEnd w:id="8"/>
    </w:p>
    <w:p>
      <w:pPr>
        <w:pStyle w:val="10"/>
        <w:adjustRightInd w:val="0"/>
        <w:snapToGrid w:val="0"/>
        <w:spacing w:before="120" w:after="120" w:line="360" w:lineRule="auto"/>
        <w:rPr>
          <w:rStyle w:val="41"/>
          <w:rFonts w:ascii="宋体" w:hAnsi="宋体" w:eastAsia="宋体"/>
          <w:b w:val="0"/>
          <w:color w:val="auto"/>
          <w:sz w:val="28"/>
          <w:szCs w:val="28"/>
          <w:highlight w:val="none"/>
        </w:rPr>
      </w:pPr>
      <w:r>
        <w:rPr>
          <w:rStyle w:val="41"/>
          <w:rFonts w:ascii="宋体" w:hAnsi="Times New Roman" w:eastAsia="宋体"/>
          <w:b w:val="0"/>
          <w:color w:val="auto"/>
          <w:sz w:val="28"/>
          <w:szCs w:val="28"/>
          <w:highlight w:val="none"/>
        </w:rPr>
        <w:br w:type="page"/>
      </w:r>
      <w:bookmarkStart w:id="9" w:name="_Toc462564147"/>
      <w:r>
        <w:rPr>
          <w:rFonts w:ascii="Times New Roman" w:hAnsi="Times New Roman"/>
          <w:b/>
          <w:bCs/>
          <w:color w:val="auto"/>
          <w:sz w:val="24"/>
          <w:szCs w:val="24"/>
          <w:highlight w:val="none"/>
        </w:rPr>
        <w:t>附件1：</w:t>
      </w:r>
    </w:p>
    <w:p>
      <w:pPr>
        <w:spacing w:line="360" w:lineRule="auto"/>
        <w:ind w:left="180"/>
        <w:jc w:val="center"/>
        <w:rPr>
          <w:rFonts w:hAnsi="宋体"/>
          <w:b/>
          <w:color w:val="auto"/>
          <w:sz w:val="28"/>
          <w:szCs w:val="28"/>
          <w:highlight w:val="none"/>
        </w:rPr>
      </w:pPr>
      <w:r>
        <w:rPr>
          <w:rFonts w:hint="eastAsia" w:hAnsi="宋体"/>
          <w:b/>
          <w:color w:val="auto"/>
          <w:sz w:val="28"/>
          <w:szCs w:val="28"/>
          <w:highlight w:val="none"/>
        </w:rPr>
        <w:t>招标项目名称、数量、主要技术要求及其他要求</w:t>
      </w:r>
    </w:p>
    <w:p>
      <w:pPr>
        <w:widowControl/>
        <w:jc w:val="left"/>
        <w:rPr>
          <w:rFonts w:hAnsi="宋体"/>
          <w:b/>
          <w:color w:val="auto"/>
          <w:sz w:val="28"/>
          <w:szCs w:val="28"/>
          <w:highlight w:val="none"/>
        </w:rPr>
      </w:pPr>
      <w:r>
        <w:rPr>
          <w:rFonts w:hint="eastAsia" w:hAnsi="宋体"/>
          <w:b/>
          <w:color w:val="auto"/>
          <w:sz w:val="28"/>
          <w:szCs w:val="28"/>
          <w:highlight w:val="none"/>
        </w:rPr>
        <w:t>技术部分：</w:t>
      </w:r>
    </w:p>
    <w:tbl>
      <w:tblPr>
        <w:tblStyle w:val="17"/>
        <w:tblW w:w="10080" w:type="dxa"/>
        <w:tblInd w:w="93" w:type="dxa"/>
        <w:tblLayout w:type="autofit"/>
        <w:tblCellMar>
          <w:top w:w="0" w:type="dxa"/>
          <w:left w:w="108" w:type="dxa"/>
          <w:bottom w:w="0" w:type="dxa"/>
          <w:right w:w="108" w:type="dxa"/>
        </w:tblCellMar>
      </w:tblPr>
      <w:tblGrid>
        <w:gridCol w:w="709"/>
        <w:gridCol w:w="850"/>
        <w:gridCol w:w="7490"/>
        <w:gridCol w:w="1031"/>
      </w:tblGrid>
      <w:tr>
        <w:tblPrEx>
          <w:tblCellMar>
            <w:top w:w="0" w:type="dxa"/>
            <w:left w:w="108" w:type="dxa"/>
            <w:bottom w:w="0" w:type="dxa"/>
            <w:right w:w="108" w:type="dxa"/>
          </w:tblCellMar>
        </w:tblPrEx>
        <w:trPr>
          <w:trHeight w:val="624" w:hRule="atLeast"/>
        </w:trPr>
        <w:tc>
          <w:tcPr>
            <w:tcW w:w="70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序号</w:t>
            </w:r>
          </w:p>
        </w:tc>
        <w:tc>
          <w:tcPr>
            <w:tcW w:w="8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产品名称</w:t>
            </w:r>
          </w:p>
        </w:tc>
        <w:tc>
          <w:tcPr>
            <w:tcW w:w="749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拟采购型号及参数配置</w:t>
            </w:r>
          </w:p>
        </w:tc>
        <w:tc>
          <w:tcPr>
            <w:tcW w:w="103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数量</w:t>
            </w:r>
          </w:p>
        </w:tc>
      </w:tr>
      <w:tr>
        <w:tblPrEx>
          <w:tblCellMar>
            <w:top w:w="0" w:type="dxa"/>
            <w:left w:w="108" w:type="dxa"/>
            <w:bottom w:w="0" w:type="dxa"/>
            <w:right w:w="108" w:type="dxa"/>
          </w:tblCellMar>
        </w:tblPrEx>
        <w:trPr>
          <w:trHeight w:val="624" w:hRule="atLeast"/>
        </w:trPr>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b/>
                <w:bCs/>
                <w:color w:val="auto"/>
                <w:sz w:val="28"/>
                <w:szCs w:val="28"/>
                <w:highlight w:val="none"/>
              </w:rPr>
            </w:pPr>
          </w:p>
        </w:tc>
        <w:tc>
          <w:tcPr>
            <w:tcW w:w="8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b/>
                <w:bCs/>
                <w:color w:val="auto"/>
                <w:sz w:val="28"/>
                <w:szCs w:val="28"/>
                <w:highlight w:val="none"/>
              </w:rPr>
            </w:pPr>
          </w:p>
        </w:tc>
        <w:tc>
          <w:tcPr>
            <w:tcW w:w="749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b/>
                <w:bCs/>
                <w:color w:val="auto"/>
                <w:sz w:val="28"/>
                <w:szCs w:val="28"/>
                <w:highlight w:val="none"/>
              </w:rPr>
            </w:pPr>
          </w:p>
        </w:tc>
        <w:tc>
          <w:tcPr>
            <w:tcW w:w="103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b/>
                <w:bCs/>
                <w:color w:val="auto"/>
                <w:sz w:val="28"/>
                <w:szCs w:val="28"/>
                <w:highlight w:val="none"/>
              </w:rPr>
            </w:pPr>
          </w:p>
        </w:tc>
      </w:tr>
      <w:tr>
        <w:tblPrEx>
          <w:tblCellMar>
            <w:top w:w="0" w:type="dxa"/>
            <w:left w:w="108" w:type="dxa"/>
            <w:bottom w:w="0" w:type="dxa"/>
            <w:right w:w="108" w:type="dxa"/>
          </w:tblCellMar>
        </w:tblPrEx>
        <w:trPr>
          <w:trHeight w:val="7920" w:hRule="atLeast"/>
        </w:trPr>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auto"/>
                <w:szCs w:val="21"/>
                <w:highlight w:val="none"/>
              </w:rPr>
            </w:pPr>
            <w:r>
              <w:rPr>
                <w:color w:val="auto"/>
                <w:kern w:val="0"/>
                <w:szCs w:val="21"/>
                <w:highlight w:val="none"/>
                <w:lang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集成电路设计软件</w:t>
            </w:r>
          </w:p>
        </w:tc>
        <w:tc>
          <w:tcPr>
            <w:tcW w:w="749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color w:val="auto"/>
                <w:highlight w:val="none"/>
              </w:rPr>
            </w:pPr>
            <w:r>
              <w:rPr>
                <w:rFonts w:hint="eastAsia"/>
                <w:color w:val="auto"/>
                <w:highlight w:val="none"/>
              </w:rPr>
              <w:t>1、▲覆盖整个数字前端，以设计架构为起点，以生成综合的网表为终点。帮助学生掌握基本的RTL编程和仿真，前端设计包括IC系统设计、验证、综合、STA、逻辑等值验证等数字先进流程。</w:t>
            </w:r>
          </w:p>
          <w:p>
            <w:pPr>
              <w:widowControl/>
              <w:jc w:val="left"/>
              <w:textAlignment w:val="center"/>
              <w:rPr>
                <w:color w:val="auto"/>
                <w:highlight w:val="none"/>
              </w:rPr>
            </w:pPr>
            <w:r>
              <w:rPr>
                <w:rFonts w:hint="eastAsia"/>
                <w:color w:val="auto"/>
                <w:highlight w:val="none"/>
              </w:rPr>
              <w:t>2、具备全面的扫描及压缩设计规则检查</w:t>
            </w:r>
          </w:p>
          <w:p>
            <w:pPr>
              <w:widowControl/>
              <w:jc w:val="left"/>
              <w:textAlignment w:val="center"/>
              <w:rPr>
                <w:color w:val="auto"/>
                <w:highlight w:val="none"/>
              </w:rPr>
            </w:pPr>
            <w:r>
              <w:rPr>
                <w:rFonts w:hint="eastAsia"/>
                <w:color w:val="auto"/>
                <w:highlight w:val="none"/>
              </w:rPr>
              <w:t>3、</w:t>
            </w:r>
            <w:r>
              <w:rPr>
                <w:rFonts w:hint="eastAsia"/>
                <w:color w:val="auto"/>
                <w:highlight w:val="none"/>
                <w:lang w:eastAsia="zh-Hans"/>
              </w:rPr>
              <w:t>具备</w:t>
            </w:r>
            <w:r>
              <w:rPr>
                <w:rFonts w:hint="eastAsia"/>
                <w:color w:val="auto"/>
                <w:highlight w:val="none"/>
              </w:rPr>
              <w:t>集成故障模拟器，评定结构测试向量的故障覆盖率</w:t>
            </w:r>
          </w:p>
          <w:p>
            <w:pPr>
              <w:widowControl/>
              <w:jc w:val="left"/>
              <w:textAlignment w:val="center"/>
              <w:rPr>
                <w:color w:val="auto"/>
                <w:highlight w:val="none"/>
              </w:rPr>
            </w:pPr>
            <w:r>
              <w:rPr>
                <w:rFonts w:hint="eastAsia"/>
                <w:color w:val="auto"/>
                <w:highlight w:val="none"/>
              </w:rPr>
              <w:t>4、</w:t>
            </w:r>
            <w:r>
              <w:rPr>
                <w:rFonts w:hint="eastAsia"/>
                <w:color w:val="auto"/>
                <w:highlight w:val="none"/>
                <w:lang w:eastAsia="zh-Hans"/>
              </w:rPr>
              <w:t>具备</w:t>
            </w:r>
            <w:r>
              <w:rPr>
                <w:rFonts w:hint="eastAsia"/>
                <w:color w:val="auto"/>
                <w:highlight w:val="none"/>
              </w:rPr>
              <w:t>自动缺陷隔离进行硅诊断</w:t>
            </w:r>
          </w:p>
          <w:p>
            <w:pPr>
              <w:widowControl/>
              <w:jc w:val="left"/>
              <w:textAlignment w:val="center"/>
              <w:rPr>
                <w:color w:val="auto"/>
                <w:highlight w:val="none"/>
              </w:rPr>
            </w:pPr>
            <w:r>
              <w:rPr>
                <w:rFonts w:hint="eastAsia"/>
                <w:color w:val="auto"/>
                <w:highlight w:val="none"/>
              </w:rPr>
              <w:t>5、</w:t>
            </w:r>
            <w:r>
              <w:rPr>
                <w:rFonts w:hint="eastAsia"/>
                <w:color w:val="auto"/>
                <w:highlight w:val="none"/>
                <w:lang w:eastAsia="zh-Hans"/>
              </w:rPr>
              <w:t>具备</w:t>
            </w:r>
            <w:r>
              <w:rPr>
                <w:rFonts w:hint="eastAsia"/>
                <w:color w:val="auto"/>
                <w:highlight w:val="none"/>
              </w:rPr>
              <w:t>使用形式静态技术来确定某一设计的两个版本之间是否具有等效功能</w:t>
            </w:r>
          </w:p>
          <w:p>
            <w:pPr>
              <w:widowControl/>
              <w:jc w:val="left"/>
              <w:textAlignment w:val="center"/>
              <w:rPr>
                <w:color w:val="auto"/>
                <w:highlight w:val="none"/>
              </w:rPr>
            </w:pPr>
            <w:r>
              <w:rPr>
                <w:rFonts w:hint="eastAsia"/>
                <w:color w:val="auto"/>
                <w:highlight w:val="none"/>
              </w:rPr>
              <w:t>6、具备直观的图形或基于脚本的环境</w:t>
            </w:r>
          </w:p>
          <w:p>
            <w:pPr>
              <w:widowControl/>
              <w:jc w:val="left"/>
              <w:textAlignment w:val="center"/>
              <w:rPr>
                <w:color w:val="auto"/>
                <w:highlight w:val="none"/>
              </w:rPr>
            </w:pPr>
            <w:r>
              <w:rPr>
                <w:rFonts w:hint="eastAsia"/>
                <w:color w:val="auto"/>
                <w:highlight w:val="none"/>
              </w:rPr>
              <w:t>7、具备时序、面积、功耗和测试同时优化</w:t>
            </w:r>
          </w:p>
          <w:p>
            <w:pPr>
              <w:widowControl/>
              <w:jc w:val="left"/>
              <w:textAlignment w:val="center"/>
              <w:rPr>
                <w:color w:val="auto"/>
                <w:highlight w:val="none"/>
              </w:rPr>
            </w:pPr>
            <w:r>
              <w:rPr>
                <w:rFonts w:hint="eastAsia"/>
                <w:color w:val="auto"/>
                <w:highlight w:val="none"/>
              </w:rPr>
              <w:t>8、</w:t>
            </w:r>
            <w:r>
              <w:rPr>
                <w:rFonts w:hint="eastAsia"/>
                <w:color w:val="auto"/>
                <w:highlight w:val="none"/>
                <w:lang w:eastAsia="zh-Hans"/>
              </w:rPr>
              <w:t>具备</w:t>
            </w:r>
            <w:r>
              <w:rPr>
                <w:rFonts w:hint="eastAsia"/>
                <w:color w:val="auto"/>
                <w:highlight w:val="none"/>
              </w:rPr>
              <w:t>建立快速关键路径</w:t>
            </w:r>
            <w:r>
              <w:rPr>
                <w:rFonts w:hint="eastAsia"/>
                <w:color w:val="auto"/>
                <w:highlight w:val="none"/>
                <w:lang w:eastAsia="zh-Hans"/>
              </w:rPr>
              <w:t>，</w:t>
            </w:r>
            <w:r>
              <w:rPr>
                <w:rFonts w:hint="eastAsia"/>
                <w:color w:val="auto"/>
                <w:highlight w:val="none"/>
              </w:rPr>
              <w:t>清除时序瓶颈</w:t>
            </w:r>
            <w:r>
              <w:rPr>
                <w:rFonts w:hint="eastAsia"/>
                <w:color w:val="auto"/>
                <w:highlight w:val="none"/>
                <w:lang w:eastAsia="zh-Hans"/>
              </w:rPr>
              <w:t>的功能</w:t>
            </w:r>
          </w:p>
          <w:p>
            <w:pPr>
              <w:widowControl/>
              <w:jc w:val="left"/>
              <w:textAlignment w:val="center"/>
              <w:rPr>
                <w:color w:val="auto"/>
                <w:highlight w:val="none"/>
                <w:lang w:eastAsia="zh-Hans"/>
              </w:rPr>
            </w:pPr>
            <w:r>
              <w:rPr>
                <w:rFonts w:hint="eastAsia"/>
                <w:color w:val="auto"/>
                <w:highlight w:val="none"/>
              </w:rPr>
              <w:t>9、</w:t>
            </w:r>
            <w:r>
              <w:rPr>
                <w:rFonts w:hint="eastAsia"/>
                <w:color w:val="auto"/>
                <w:highlight w:val="none"/>
                <w:lang w:eastAsia="zh-Hans"/>
              </w:rPr>
              <w:t>具备</w:t>
            </w:r>
            <w:r>
              <w:rPr>
                <w:rFonts w:hint="eastAsia"/>
                <w:color w:val="auto"/>
                <w:highlight w:val="none"/>
              </w:rPr>
              <w:t>集成静态时序分析、测试综合和功耗综合</w:t>
            </w:r>
            <w:r>
              <w:rPr>
                <w:rFonts w:hint="eastAsia"/>
                <w:color w:val="auto"/>
                <w:highlight w:val="none"/>
                <w:lang w:eastAsia="zh-Hans"/>
              </w:rPr>
              <w:t>功能</w:t>
            </w:r>
          </w:p>
          <w:p>
            <w:pPr>
              <w:widowControl/>
              <w:jc w:val="left"/>
              <w:textAlignment w:val="center"/>
              <w:rPr>
                <w:color w:val="auto"/>
                <w:highlight w:val="none"/>
              </w:rPr>
            </w:pPr>
            <w:r>
              <w:rPr>
                <w:rFonts w:hint="eastAsia"/>
                <w:color w:val="auto"/>
                <w:highlight w:val="none"/>
              </w:rPr>
              <w:t>10、</w:t>
            </w:r>
            <w:r>
              <w:rPr>
                <w:rFonts w:hint="eastAsia"/>
                <w:color w:val="auto"/>
                <w:highlight w:val="none"/>
                <w:lang w:eastAsia="zh-Hans"/>
              </w:rPr>
              <w:t>具备</w:t>
            </w:r>
            <w:r>
              <w:rPr>
                <w:rFonts w:hint="eastAsia"/>
                <w:color w:val="auto"/>
                <w:highlight w:val="none"/>
              </w:rPr>
              <w:t>自动实现UPF驱动的低功耗技术</w:t>
            </w:r>
          </w:p>
          <w:p>
            <w:pPr>
              <w:widowControl/>
              <w:jc w:val="left"/>
              <w:textAlignment w:val="center"/>
              <w:rPr>
                <w:color w:val="auto"/>
                <w:highlight w:val="none"/>
              </w:rPr>
            </w:pPr>
            <w:r>
              <w:rPr>
                <w:rFonts w:hint="eastAsia"/>
                <w:color w:val="auto"/>
                <w:highlight w:val="none"/>
              </w:rPr>
              <w:t>11、</w:t>
            </w:r>
            <w:r>
              <w:rPr>
                <w:rFonts w:hint="eastAsia"/>
                <w:color w:val="auto"/>
                <w:highlight w:val="none"/>
                <w:lang w:eastAsia="zh-Hans"/>
              </w:rPr>
              <w:t>具备</w:t>
            </w:r>
            <w:r>
              <w:rPr>
                <w:rFonts w:hint="eastAsia"/>
                <w:color w:val="auto"/>
                <w:highlight w:val="none"/>
              </w:rPr>
              <w:t>时钟门控和低功耗布局，</w:t>
            </w:r>
            <w:r>
              <w:rPr>
                <w:rFonts w:hint="eastAsia"/>
                <w:color w:val="auto"/>
                <w:highlight w:val="none"/>
                <w:lang w:eastAsia="zh-Hans"/>
              </w:rPr>
              <w:t>可</w:t>
            </w:r>
            <w:r>
              <w:rPr>
                <w:rFonts w:hint="eastAsia"/>
                <w:color w:val="auto"/>
                <w:highlight w:val="none"/>
              </w:rPr>
              <w:t>实现低动态功耗</w:t>
            </w:r>
          </w:p>
          <w:p>
            <w:pPr>
              <w:widowControl/>
              <w:jc w:val="left"/>
              <w:textAlignment w:val="center"/>
              <w:rPr>
                <w:color w:val="auto"/>
                <w:highlight w:val="none"/>
              </w:rPr>
            </w:pPr>
            <w:r>
              <w:rPr>
                <w:rFonts w:hint="eastAsia"/>
                <w:color w:val="auto"/>
                <w:highlight w:val="none"/>
              </w:rPr>
              <w:t>12、▲</w:t>
            </w:r>
            <w:r>
              <w:rPr>
                <w:rFonts w:hint="eastAsia"/>
                <w:color w:val="auto"/>
                <w:highlight w:val="none"/>
                <w:lang w:eastAsia="zh-Hans"/>
              </w:rPr>
              <w:t>具备</w:t>
            </w:r>
            <w:r>
              <w:rPr>
                <w:rFonts w:hint="eastAsia"/>
                <w:color w:val="auto"/>
                <w:highlight w:val="none"/>
              </w:rPr>
              <w:t>全功能本征测试平台，</w:t>
            </w:r>
            <w:r>
              <w:rPr>
                <w:rFonts w:hint="eastAsia"/>
                <w:color w:val="auto"/>
                <w:highlight w:val="none"/>
                <w:lang w:eastAsia="zh-Hans"/>
              </w:rPr>
              <w:t>和对</w:t>
            </w:r>
            <w:r>
              <w:rPr>
                <w:rFonts w:hint="eastAsia"/>
                <w:color w:val="auto"/>
                <w:highlight w:val="none"/>
              </w:rPr>
              <w:t>SystemVerilog语言的支持</w:t>
            </w:r>
          </w:p>
          <w:p>
            <w:pPr>
              <w:widowControl/>
              <w:jc w:val="left"/>
              <w:textAlignment w:val="center"/>
              <w:rPr>
                <w:color w:val="auto"/>
                <w:highlight w:val="none"/>
              </w:rPr>
            </w:pPr>
            <w:r>
              <w:rPr>
                <w:rFonts w:hint="eastAsia"/>
                <w:color w:val="auto"/>
                <w:highlight w:val="none"/>
              </w:rPr>
              <w:t>13、▲NTB</w:t>
            </w:r>
            <w:r>
              <w:rPr>
                <w:rFonts w:hint="eastAsia"/>
                <w:color w:val="auto"/>
                <w:highlight w:val="none"/>
                <w:lang w:eastAsia="zh-Hans"/>
              </w:rPr>
              <w:t>具备</w:t>
            </w:r>
            <w:r>
              <w:rPr>
                <w:rFonts w:hint="eastAsia"/>
                <w:color w:val="auto"/>
                <w:highlight w:val="none"/>
              </w:rPr>
              <w:t>全功能SystemVerilog 和OpenVera 测试平台的本征编译支持</w:t>
            </w:r>
          </w:p>
          <w:p>
            <w:pPr>
              <w:widowControl/>
              <w:jc w:val="left"/>
              <w:textAlignment w:val="center"/>
              <w:rPr>
                <w:color w:val="auto"/>
                <w:highlight w:val="none"/>
              </w:rPr>
            </w:pPr>
            <w:r>
              <w:rPr>
                <w:rFonts w:hint="eastAsia"/>
                <w:color w:val="auto"/>
                <w:highlight w:val="none"/>
              </w:rPr>
              <w:t>14、</w:t>
            </w:r>
            <w:r>
              <w:rPr>
                <w:rFonts w:hint="eastAsia"/>
                <w:color w:val="auto"/>
                <w:highlight w:val="none"/>
                <w:lang w:eastAsia="zh-Hans"/>
              </w:rPr>
              <w:t>具备</w:t>
            </w:r>
            <w:r>
              <w:rPr>
                <w:rFonts w:hint="eastAsia"/>
                <w:color w:val="auto"/>
                <w:highlight w:val="none"/>
              </w:rPr>
              <w:t>测量验证覆盖率完整性的高性、内置覆盖率技术</w:t>
            </w:r>
          </w:p>
          <w:p>
            <w:pPr>
              <w:widowControl/>
              <w:jc w:val="left"/>
              <w:textAlignment w:val="center"/>
              <w:rPr>
                <w:color w:val="auto"/>
                <w:highlight w:val="none"/>
              </w:rPr>
            </w:pPr>
            <w:r>
              <w:rPr>
                <w:rFonts w:hint="eastAsia"/>
                <w:color w:val="auto"/>
                <w:highlight w:val="none"/>
              </w:rPr>
              <w:t>15、▲</w:t>
            </w:r>
            <w:r>
              <w:rPr>
                <w:rFonts w:hint="eastAsia"/>
                <w:color w:val="auto"/>
                <w:highlight w:val="none"/>
                <w:lang w:eastAsia="zh-Hans"/>
              </w:rPr>
              <w:t>具备</w:t>
            </w:r>
            <w:r>
              <w:rPr>
                <w:rFonts w:hint="eastAsia"/>
                <w:color w:val="auto"/>
                <w:highlight w:val="none"/>
              </w:rPr>
              <w:t>用于设计和验证的SystemVerilog、覆盖率分析、多语言支持VIP 库</w:t>
            </w:r>
          </w:p>
          <w:p>
            <w:pPr>
              <w:widowControl/>
              <w:jc w:val="left"/>
              <w:textAlignment w:val="center"/>
              <w:rPr>
                <w:color w:val="auto"/>
                <w:highlight w:val="none"/>
              </w:rPr>
            </w:pPr>
            <w:r>
              <w:rPr>
                <w:rFonts w:hint="eastAsia"/>
                <w:color w:val="auto"/>
                <w:highlight w:val="none"/>
              </w:rPr>
              <w:t>16、</w:t>
            </w:r>
            <w:r>
              <w:rPr>
                <w:rFonts w:hint="eastAsia"/>
                <w:color w:val="auto"/>
                <w:highlight w:val="none"/>
                <w:lang w:eastAsia="zh-Hans"/>
              </w:rPr>
              <w:t>可</w:t>
            </w:r>
            <w:r>
              <w:rPr>
                <w:rFonts w:hint="eastAsia"/>
                <w:color w:val="auto"/>
                <w:highlight w:val="none"/>
              </w:rPr>
              <w:t>验证具有不同结构的设计的等效性，不依赖于任何同构状态映射关系</w:t>
            </w:r>
          </w:p>
          <w:p>
            <w:pPr>
              <w:widowControl/>
              <w:jc w:val="left"/>
              <w:textAlignment w:val="center"/>
              <w:rPr>
                <w:color w:val="auto"/>
                <w:highlight w:val="none"/>
              </w:rPr>
            </w:pPr>
            <w:r>
              <w:rPr>
                <w:rFonts w:hint="eastAsia"/>
                <w:color w:val="auto"/>
                <w:highlight w:val="none"/>
              </w:rPr>
              <w:t>17、</w:t>
            </w:r>
            <w:r>
              <w:rPr>
                <w:rFonts w:hint="eastAsia"/>
                <w:color w:val="auto"/>
                <w:highlight w:val="none"/>
                <w:lang w:eastAsia="zh-Hans"/>
              </w:rPr>
              <w:t>具备</w:t>
            </w:r>
            <w:r>
              <w:rPr>
                <w:rFonts w:hint="eastAsia"/>
                <w:color w:val="auto"/>
                <w:highlight w:val="none"/>
              </w:rPr>
              <w:t>异步时钟、脉冲逻辑和自定时逻辑</w:t>
            </w:r>
            <w:r>
              <w:rPr>
                <w:rFonts w:hint="eastAsia"/>
                <w:color w:val="auto"/>
                <w:highlight w:val="none"/>
                <w:lang w:eastAsia="zh-Hans"/>
              </w:rPr>
              <w:t>功能</w:t>
            </w:r>
          </w:p>
          <w:p>
            <w:pPr>
              <w:widowControl/>
              <w:jc w:val="left"/>
              <w:textAlignment w:val="center"/>
              <w:rPr>
                <w:color w:val="auto"/>
                <w:highlight w:val="none"/>
              </w:rPr>
            </w:pPr>
            <w:r>
              <w:rPr>
                <w:rFonts w:hint="eastAsia"/>
                <w:color w:val="auto"/>
                <w:highlight w:val="none"/>
              </w:rPr>
              <w:t>18、▲</w:t>
            </w:r>
            <w:r>
              <w:rPr>
                <w:rFonts w:hint="eastAsia"/>
                <w:color w:val="auto"/>
                <w:highlight w:val="none"/>
                <w:lang w:eastAsia="zh-Hans"/>
              </w:rPr>
              <w:t>具备</w:t>
            </w:r>
            <w:r>
              <w:rPr>
                <w:rFonts w:hint="eastAsia"/>
                <w:color w:val="auto"/>
                <w:highlight w:val="none"/>
              </w:rPr>
              <w:t>同时进行时序和SI分析</w:t>
            </w:r>
            <w:r>
              <w:rPr>
                <w:rFonts w:hint="eastAsia"/>
                <w:color w:val="auto"/>
                <w:highlight w:val="none"/>
                <w:lang w:eastAsia="zh-Hans"/>
              </w:rPr>
              <w:t>功能</w:t>
            </w:r>
          </w:p>
          <w:p>
            <w:pPr>
              <w:widowControl/>
              <w:jc w:val="left"/>
              <w:textAlignment w:val="center"/>
              <w:rPr>
                <w:color w:val="auto"/>
                <w:highlight w:val="none"/>
              </w:rPr>
            </w:pPr>
            <w:r>
              <w:rPr>
                <w:rFonts w:hint="eastAsia"/>
                <w:color w:val="auto"/>
                <w:highlight w:val="none"/>
              </w:rPr>
              <w:t>19、</w:t>
            </w:r>
            <w:r>
              <w:rPr>
                <w:rFonts w:hint="eastAsia"/>
                <w:color w:val="auto"/>
                <w:highlight w:val="none"/>
                <w:lang w:eastAsia="zh-Hans"/>
              </w:rPr>
              <w:t>具备</w:t>
            </w:r>
            <w:r>
              <w:rPr>
                <w:rFonts w:hint="eastAsia"/>
                <w:color w:val="auto"/>
                <w:highlight w:val="none"/>
              </w:rPr>
              <w:t>进行时序、信号完整性、功耗和变化感知型分析</w:t>
            </w:r>
            <w:r>
              <w:rPr>
                <w:rFonts w:hint="eastAsia"/>
                <w:color w:val="auto"/>
                <w:highlight w:val="none"/>
                <w:lang w:eastAsia="zh-Hans"/>
              </w:rPr>
              <w:t>功能</w:t>
            </w:r>
          </w:p>
          <w:p>
            <w:pPr>
              <w:widowControl/>
              <w:jc w:val="left"/>
              <w:textAlignment w:val="center"/>
              <w:rPr>
                <w:color w:val="auto"/>
                <w:highlight w:val="none"/>
              </w:rPr>
            </w:pPr>
            <w:r>
              <w:rPr>
                <w:rFonts w:hint="eastAsia"/>
                <w:color w:val="auto"/>
                <w:highlight w:val="none"/>
              </w:rPr>
              <w:t>2</w:t>
            </w:r>
            <w:r>
              <w:rPr>
                <w:color w:val="auto"/>
                <w:highlight w:val="none"/>
              </w:rPr>
              <w:t>0</w:t>
            </w:r>
            <w:r>
              <w:rPr>
                <w:rFonts w:hint="eastAsia"/>
                <w:color w:val="auto"/>
                <w:highlight w:val="none"/>
              </w:rPr>
              <w:t>、▲具</w:t>
            </w:r>
            <w:r>
              <w:rPr>
                <w:rFonts w:hint="eastAsia"/>
                <w:color w:val="auto"/>
                <w:highlight w:val="none"/>
                <w:lang w:eastAsia="zh-Hans"/>
              </w:rPr>
              <w:t>备</w:t>
            </w:r>
            <w:r>
              <w:rPr>
                <w:rFonts w:hint="eastAsia"/>
                <w:color w:val="auto"/>
                <w:highlight w:val="none"/>
              </w:rPr>
              <w:t>功耗分析扩展、无向量分析、NLDM/NLPM或CCS建模</w:t>
            </w:r>
            <w:r>
              <w:rPr>
                <w:rFonts w:hint="eastAsia"/>
                <w:color w:val="auto"/>
                <w:highlight w:val="none"/>
                <w:lang w:eastAsia="zh-Hans"/>
              </w:rPr>
              <w:t>功能</w:t>
            </w:r>
          </w:p>
          <w:p>
            <w:pPr>
              <w:widowControl/>
              <w:jc w:val="left"/>
              <w:textAlignment w:val="center"/>
              <w:rPr>
                <w:color w:val="auto"/>
                <w:highlight w:val="none"/>
              </w:rPr>
            </w:pPr>
            <w:r>
              <w:rPr>
                <w:rFonts w:hint="eastAsia"/>
                <w:color w:val="auto"/>
                <w:highlight w:val="none"/>
              </w:rPr>
              <w:t>2</w:t>
            </w:r>
            <w:r>
              <w:rPr>
                <w:color w:val="auto"/>
                <w:highlight w:val="none"/>
              </w:rPr>
              <w:t>1</w:t>
            </w:r>
            <w:r>
              <w:rPr>
                <w:rFonts w:hint="eastAsia"/>
                <w:color w:val="auto"/>
                <w:highlight w:val="none"/>
              </w:rPr>
              <w:t>、可辨识出为达成完整能见度而必须录制的关键信号组</w:t>
            </w:r>
          </w:p>
          <w:p>
            <w:pPr>
              <w:widowControl/>
              <w:jc w:val="left"/>
              <w:textAlignment w:val="center"/>
              <w:rPr>
                <w:color w:val="auto"/>
                <w:highlight w:val="none"/>
              </w:rPr>
            </w:pPr>
            <w:r>
              <w:rPr>
                <w:rFonts w:hint="eastAsia"/>
                <w:color w:val="auto"/>
                <w:highlight w:val="none"/>
              </w:rPr>
              <w:t>2</w:t>
            </w:r>
            <w:r>
              <w:rPr>
                <w:color w:val="auto"/>
                <w:highlight w:val="none"/>
              </w:rPr>
              <w:t>2</w:t>
            </w:r>
            <w:r>
              <w:rPr>
                <w:rFonts w:hint="eastAsia"/>
                <w:color w:val="auto"/>
                <w:highlight w:val="none"/>
              </w:rPr>
              <w:t>、可根据录制的关键信号组，再依使用者实际需求自动计算出其它未录制的内部信号</w:t>
            </w:r>
          </w:p>
          <w:p>
            <w:pPr>
              <w:widowControl/>
              <w:jc w:val="left"/>
              <w:textAlignment w:val="center"/>
              <w:rPr>
                <w:color w:val="auto"/>
                <w:highlight w:val="none"/>
              </w:rPr>
            </w:pPr>
            <w:r>
              <w:rPr>
                <w:rFonts w:hint="eastAsia"/>
                <w:color w:val="auto"/>
                <w:highlight w:val="none"/>
              </w:rPr>
              <w:t>2</w:t>
            </w:r>
            <w:r>
              <w:rPr>
                <w:color w:val="auto"/>
                <w:highlight w:val="none"/>
              </w:rPr>
              <w:t>3</w:t>
            </w:r>
            <w:r>
              <w:rPr>
                <w:rFonts w:hint="eastAsia"/>
                <w:color w:val="auto"/>
                <w:highlight w:val="none"/>
              </w:rPr>
              <w:t>、</w:t>
            </w:r>
            <w:r>
              <w:rPr>
                <w:rFonts w:hint="eastAsia"/>
                <w:color w:val="auto"/>
                <w:highlight w:val="none"/>
                <w:lang w:eastAsia="zh-Hans"/>
              </w:rPr>
              <w:t>具备可</w:t>
            </w:r>
            <w:r>
              <w:rPr>
                <w:rFonts w:hint="eastAsia"/>
                <w:color w:val="auto"/>
                <w:highlight w:val="none"/>
              </w:rPr>
              <w:t>随时显示和分析活动</w:t>
            </w:r>
            <w:r>
              <w:rPr>
                <w:rFonts w:hint="eastAsia"/>
                <w:color w:val="auto"/>
                <w:highlight w:val="none"/>
                <w:lang w:eastAsia="zh-Hans"/>
              </w:rPr>
              <w:t>的</w:t>
            </w:r>
            <w:r>
              <w:rPr>
                <w:rFonts w:hint="eastAsia"/>
                <w:color w:val="auto"/>
                <w:highlight w:val="none"/>
              </w:rPr>
              <w:t>波型显示器</w:t>
            </w:r>
          </w:p>
          <w:p>
            <w:pPr>
              <w:widowControl/>
              <w:jc w:val="left"/>
              <w:textAlignment w:val="center"/>
              <w:rPr>
                <w:color w:val="auto"/>
                <w:highlight w:val="none"/>
              </w:rPr>
            </w:pPr>
            <w:r>
              <w:rPr>
                <w:rFonts w:hint="eastAsia"/>
                <w:color w:val="auto"/>
                <w:highlight w:val="none"/>
              </w:rPr>
              <w:t>2</w:t>
            </w:r>
            <w:r>
              <w:rPr>
                <w:color w:val="auto"/>
                <w:highlight w:val="none"/>
              </w:rPr>
              <w:t>4</w:t>
            </w:r>
            <w:r>
              <w:rPr>
                <w:rFonts w:hint="eastAsia"/>
                <w:color w:val="auto"/>
                <w:highlight w:val="none"/>
              </w:rPr>
              <w:t>、</w:t>
            </w:r>
            <w:r>
              <w:rPr>
                <w:rFonts w:hint="eastAsia"/>
                <w:color w:val="auto"/>
                <w:highlight w:val="none"/>
                <w:lang w:eastAsia="zh-Hans"/>
              </w:rPr>
              <w:t>具备用</w:t>
            </w:r>
            <w:r>
              <w:rPr>
                <w:rFonts w:hint="eastAsia"/>
                <w:color w:val="auto"/>
                <w:highlight w:val="none"/>
              </w:rPr>
              <w:t>熟悉的符号来追踪电路和连线</w:t>
            </w:r>
            <w:r>
              <w:rPr>
                <w:rFonts w:hint="eastAsia"/>
                <w:color w:val="auto"/>
                <w:highlight w:val="none"/>
                <w:lang w:eastAsia="zh-Hans"/>
              </w:rPr>
              <w:t>的</w:t>
            </w:r>
            <w:r>
              <w:rPr>
                <w:rFonts w:hint="eastAsia"/>
                <w:color w:val="auto"/>
                <w:highlight w:val="none"/>
              </w:rPr>
              <w:t>电路图、区块图</w:t>
            </w:r>
            <w:r>
              <w:rPr>
                <w:rFonts w:hint="eastAsia"/>
                <w:color w:val="auto"/>
                <w:highlight w:val="none"/>
                <w:lang w:eastAsia="zh-Hans"/>
              </w:rPr>
              <w:t>和</w:t>
            </w:r>
            <w:r>
              <w:rPr>
                <w:rFonts w:hint="eastAsia"/>
                <w:color w:val="auto"/>
                <w:highlight w:val="none"/>
              </w:rPr>
              <w:t>局部电路图</w:t>
            </w:r>
          </w:p>
          <w:p>
            <w:pPr>
              <w:widowControl/>
              <w:jc w:val="left"/>
              <w:textAlignment w:val="center"/>
              <w:rPr>
                <w:color w:val="auto"/>
                <w:highlight w:val="none"/>
              </w:rPr>
            </w:pPr>
            <w:r>
              <w:rPr>
                <w:rFonts w:hint="eastAsia"/>
                <w:color w:val="auto"/>
                <w:highlight w:val="none"/>
              </w:rPr>
              <w:t>2</w:t>
            </w:r>
            <w:r>
              <w:rPr>
                <w:color w:val="auto"/>
                <w:highlight w:val="none"/>
              </w:rPr>
              <w:t>5</w:t>
            </w:r>
            <w:r>
              <w:rPr>
                <w:rFonts w:hint="eastAsia"/>
                <w:color w:val="auto"/>
                <w:highlight w:val="none"/>
              </w:rPr>
              <w:t>、</w:t>
            </w:r>
            <w:r>
              <w:rPr>
                <w:rFonts w:hint="eastAsia"/>
                <w:color w:val="auto"/>
                <w:highlight w:val="none"/>
                <w:lang w:eastAsia="zh-Hans"/>
              </w:rPr>
              <w:t>具备</w:t>
            </w:r>
            <w:r>
              <w:rPr>
                <w:rFonts w:hint="eastAsia"/>
                <w:color w:val="auto"/>
                <w:highlight w:val="none"/>
              </w:rPr>
              <w:t>了解有限状态机运作</w:t>
            </w:r>
            <w:r>
              <w:rPr>
                <w:rFonts w:hint="eastAsia"/>
                <w:color w:val="auto"/>
                <w:highlight w:val="none"/>
                <w:lang w:eastAsia="zh-Hans"/>
              </w:rPr>
              <w:t>的</w:t>
            </w:r>
            <w:r>
              <w:rPr>
                <w:rFonts w:hint="eastAsia"/>
                <w:color w:val="auto"/>
                <w:highlight w:val="none"/>
              </w:rPr>
              <w:t>气泡图</w:t>
            </w:r>
          </w:p>
          <w:p>
            <w:pPr>
              <w:widowControl/>
              <w:jc w:val="left"/>
              <w:textAlignment w:val="center"/>
              <w:rPr>
                <w:color w:val="auto"/>
                <w:highlight w:val="none"/>
              </w:rPr>
            </w:pPr>
            <w:r>
              <w:rPr>
                <w:rFonts w:hint="eastAsia"/>
                <w:color w:val="auto"/>
                <w:highlight w:val="none"/>
              </w:rPr>
              <w:t>2</w:t>
            </w:r>
            <w:r>
              <w:rPr>
                <w:color w:val="auto"/>
                <w:highlight w:val="none"/>
              </w:rPr>
              <w:t>6</w:t>
            </w:r>
            <w:r>
              <w:rPr>
                <w:rFonts w:hint="eastAsia"/>
                <w:color w:val="auto"/>
                <w:highlight w:val="none"/>
              </w:rPr>
              <w:t>、具备功耗计划兼容检查</w:t>
            </w:r>
          </w:p>
          <w:p>
            <w:pPr>
              <w:pStyle w:val="9"/>
              <w:ind w:left="0" w:leftChars="0"/>
              <w:rPr>
                <w:color w:val="auto"/>
                <w:highlight w:val="none"/>
              </w:rPr>
            </w:pPr>
            <w:r>
              <w:rPr>
                <w:rFonts w:ascii="宋体" w:hAnsi="宋体" w:cs="宋体"/>
                <w:color w:val="auto"/>
                <w:kern w:val="0"/>
                <w:szCs w:val="21"/>
                <w:highlight w:val="none"/>
                <w:lang w:bidi="ar"/>
              </w:rPr>
              <w:t>27</w:t>
            </w:r>
            <w:r>
              <w:rPr>
                <w:rFonts w:hint="eastAsia" w:ascii="宋体" w:hAnsi="宋体" w:cs="宋体"/>
                <w:color w:val="auto"/>
                <w:kern w:val="0"/>
                <w:szCs w:val="21"/>
                <w:highlight w:val="none"/>
                <w:lang w:eastAsia="zh-Hans" w:bidi="ar"/>
              </w:rPr>
              <w:t>、账号使用年限不低于三年</w:t>
            </w:r>
          </w:p>
        </w:tc>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auto"/>
                <w:szCs w:val="21"/>
                <w:highlight w:val="none"/>
              </w:rPr>
            </w:pPr>
            <w:r>
              <w:rPr>
                <w:color w:val="auto"/>
                <w:kern w:val="0"/>
                <w:szCs w:val="21"/>
                <w:highlight w:val="none"/>
                <w:lang w:bidi="ar"/>
              </w:rPr>
              <w:t>5</w:t>
            </w:r>
            <w:r>
              <w:rPr>
                <w:rFonts w:hint="eastAsia"/>
                <w:color w:val="auto"/>
                <w:kern w:val="0"/>
                <w:szCs w:val="21"/>
                <w:highlight w:val="none"/>
                <w:lang w:eastAsia="zh-Hans" w:bidi="ar"/>
              </w:rPr>
              <w:t>个</w:t>
            </w:r>
          </w:p>
        </w:tc>
      </w:tr>
    </w:tbl>
    <w:p>
      <w:pPr>
        <w:spacing w:line="360" w:lineRule="auto"/>
        <w:ind w:left="180"/>
        <w:rPr>
          <w:rFonts w:hAnsi="宋体"/>
          <w:b/>
          <w:color w:val="auto"/>
          <w:sz w:val="28"/>
          <w:szCs w:val="28"/>
          <w:highlight w:val="none"/>
        </w:rPr>
      </w:pPr>
    </w:p>
    <w:p>
      <w:pPr>
        <w:widowControl/>
        <w:jc w:val="left"/>
        <w:rPr>
          <w:rFonts w:hAnsi="宋体"/>
          <w:b/>
          <w:color w:val="auto"/>
          <w:sz w:val="36"/>
          <w:szCs w:val="36"/>
          <w:highlight w:val="none"/>
        </w:rPr>
      </w:pPr>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根据贵方（项目名称）（项目编号）投标邀请，正式授权下述签字人</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zh-CN"/>
        </w:rPr>
        <w:t>按招标要求，我们的投标总报价为人民币大写</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         。</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rFonts w:asci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p>
    <w:p>
      <w:pPr>
        <w:spacing w:line="360" w:lineRule="auto"/>
        <w:jc w:val="center"/>
        <w:rPr>
          <w:rFonts w:ascii="宋体"/>
          <w:color w:val="auto"/>
          <w:sz w:val="44"/>
          <w:szCs w:val="44"/>
          <w:highlight w:val="none"/>
        </w:rPr>
      </w:pPr>
      <w:r>
        <w:rPr>
          <w:rFonts w:hint="eastAsia" w:ascii="宋体" w:hAnsi="宋体"/>
          <w:color w:val="auto"/>
          <w:sz w:val="44"/>
          <w:szCs w:val="44"/>
          <w:highlight w:val="none"/>
        </w:rPr>
        <w:t>投标项目报价明细表</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投标人</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招标编号及分包号</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color w:val="auto"/>
                <w:sz w:val="28"/>
                <w:szCs w:val="28"/>
                <w:highlight w:val="none"/>
              </w:rPr>
            </w:pPr>
            <w:r>
              <w:rPr>
                <w:rFonts w:hint="eastAsia" w:ascii="宋体" w:hAnsi="宋体"/>
                <w:b/>
                <w:color w:val="auto"/>
                <w:sz w:val="28"/>
                <w:szCs w:val="28"/>
                <w:highlight w:val="none"/>
              </w:rPr>
              <w:t>分包号</w:t>
            </w:r>
          </w:p>
        </w:tc>
        <w:tc>
          <w:tcPr>
            <w:tcW w:w="1065" w:type="dxa"/>
            <w:vAlign w:val="center"/>
          </w:tcPr>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品牌</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名称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描述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计量</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单位</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数量</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单价</w:t>
            </w:r>
          </w:p>
        </w:tc>
        <w:tc>
          <w:tcPr>
            <w:tcW w:w="1066"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每项</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总价</w:t>
            </w:r>
          </w:p>
        </w:tc>
        <w:tc>
          <w:tcPr>
            <w:tcW w:w="1066" w:type="dxa"/>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质保</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color w:val="auto"/>
                <w:sz w:val="28"/>
                <w:szCs w:val="28"/>
                <w:highlight w:val="none"/>
              </w:rPr>
            </w:pPr>
          </w:p>
        </w:tc>
        <w:tc>
          <w:tcPr>
            <w:tcW w:w="2130" w:type="dxa"/>
            <w:gridSpan w:val="2"/>
            <w:vAlign w:val="center"/>
          </w:tcPr>
          <w:p>
            <w:pPr>
              <w:spacing w:line="360" w:lineRule="auto"/>
              <w:jc w:val="center"/>
              <w:rPr>
                <w:rFonts w:ascii="宋体"/>
                <w:color w:val="auto"/>
                <w:sz w:val="28"/>
                <w:szCs w:val="28"/>
                <w:highlight w:val="none"/>
              </w:rPr>
            </w:pPr>
            <w:r>
              <w:rPr>
                <w:rFonts w:hint="eastAsia" w:ascii="宋体" w:hAnsi="宋体"/>
                <w:color w:val="auto"/>
                <w:sz w:val="28"/>
                <w:szCs w:val="28"/>
                <w:highlight w:val="none"/>
              </w:rPr>
              <w:t>合计总价</w:t>
            </w:r>
          </w:p>
        </w:tc>
        <w:tc>
          <w:tcPr>
            <w:tcW w:w="6392" w:type="dxa"/>
            <w:gridSpan w:val="6"/>
            <w:vAlign w:val="center"/>
          </w:tcPr>
          <w:p>
            <w:pPr>
              <w:spacing w:line="360" w:lineRule="auto"/>
              <w:rPr>
                <w:rFonts w:ascii="宋体"/>
                <w:color w:val="auto"/>
                <w:sz w:val="28"/>
                <w:szCs w:val="28"/>
                <w:highlight w:val="none"/>
                <w:u w:val="single"/>
              </w:rPr>
            </w:pPr>
            <w:r>
              <w:rPr>
                <w:rFonts w:hint="eastAsia" w:ascii="宋体" w:hAnsi="宋体"/>
                <w:color w:val="auto"/>
                <w:sz w:val="28"/>
                <w:szCs w:val="28"/>
                <w:highlight w:val="none"/>
              </w:rPr>
              <w:t>大写：小写：元</w:t>
            </w:r>
          </w:p>
        </w:tc>
      </w:tr>
    </w:tbl>
    <w:p>
      <w:pPr>
        <w:spacing w:line="360" w:lineRule="auto"/>
        <w:rPr>
          <w:rFonts w:ascii="宋体"/>
          <w:color w:val="auto"/>
          <w:sz w:val="28"/>
          <w:szCs w:val="28"/>
          <w:highlight w:val="none"/>
        </w:rPr>
      </w:pPr>
      <w:r>
        <w:rPr>
          <w:rFonts w:hint="eastAsia" w:ascii="宋体" w:hAnsi="宋体"/>
          <w:color w:val="auto"/>
          <w:sz w:val="28"/>
          <w:szCs w:val="28"/>
          <w:highlight w:val="none"/>
        </w:rPr>
        <w:t>（可续页）</w:t>
      </w:r>
    </w:p>
    <w:p>
      <w:pPr>
        <w:spacing w:line="360" w:lineRule="auto"/>
        <w:rPr>
          <w:rFonts w:ascii="宋体"/>
          <w:color w:val="auto"/>
          <w:sz w:val="28"/>
          <w:szCs w:val="28"/>
          <w:highlight w:val="none"/>
        </w:rPr>
      </w:pPr>
    </w:p>
    <w:p>
      <w:pPr>
        <w:spacing w:line="360" w:lineRule="auto"/>
        <w:rPr>
          <w:rFonts w:ascii="宋体"/>
          <w:color w:val="auto"/>
          <w:sz w:val="28"/>
          <w:szCs w:val="28"/>
          <w:highlight w:val="none"/>
          <w:u w:val="single"/>
        </w:rPr>
      </w:pPr>
      <w:r>
        <w:rPr>
          <w:rFonts w:hint="eastAsia" w:ascii="宋体" w:hAnsi="宋体"/>
          <w:color w:val="auto"/>
          <w:sz w:val="28"/>
          <w:szCs w:val="28"/>
          <w:highlight w:val="none"/>
        </w:rPr>
        <w:t>单位盖章：</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授权代表签字：</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r>
        <w:rPr>
          <w:rFonts w:hint="eastAsia" w:ascii="宋体" w:hAnsi="宋体"/>
          <w:color w:val="auto"/>
          <w:sz w:val="28"/>
          <w:szCs w:val="28"/>
          <w:highlight w:val="none"/>
        </w:rPr>
        <w:t>年月日</w:t>
      </w:r>
      <w:bookmarkEnd w:id="9"/>
      <w:bookmarkEnd w:id="10"/>
    </w:p>
    <w:p>
      <w:pPr>
        <w:jc w:val="left"/>
        <w:rPr>
          <w:b/>
          <w:color w:val="auto"/>
          <w:sz w:val="28"/>
          <w:szCs w:val="28"/>
          <w:highlight w:val="none"/>
        </w:rPr>
      </w:pPr>
    </w:p>
    <w:p>
      <w:pPr>
        <w:jc w:val="left"/>
        <w:rPr>
          <w:b/>
          <w:color w:val="auto"/>
          <w:sz w:val="28"/>
          <w:szCs w:val="28"/>
          <w:highlight w:val="none"/>
        </w:rPr>
      </w:pPr>
      <w:r>
        <w:rPr>
          <w:rFonts w:hint="eastAsia"/>
          <w:b/>
          <w:color w:val="auto"/>
          <w:sz w:val="28"/>
          <w:szCs w:val="28"/>
          <w:highlight w:val="none"/>
        </w:rPr>
        <w:t>附件</w:t>
      </w:r>
      <w:r>
        <w:rPr>
          <w:b/>
          <w:color w:val="auto"/>
          <w:sz w:val="28"/>
          <w:szCs w:val="28"/>
          <w:highlight w:val="none"/>
        </w:rPr>
        <w:t>4</w:t>
      </w:r>
      <w:r>
        <w:rPr>
          <w:rFonts w:hint="eastAsia"/>
          <w:b/>
          <w:color w:val="auto"/>
          <w:sz w:val="28"/>
          <w:szCs w:val="28"/>
          <w:highlight w:val="none"/>
        </w:rPr>
        <w:t>：服务要求</w:t>
      </w: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2176"/>
        <w:gridCol w:w="67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left"/>
              <w:rPr>
                <w:b/>
                <w:color w:val="auto"/>
                <w:sz w:val="28"/>
                <w:szCs w:val="28"/>
                <w:highlight w:val="none"/>
              </w:rPr>
            </w:pPr>
            <w:r>
              <w:rPr>
                <w:rFonts w:hint="eastAsia"/>
                <w:b/>
                <w:color w:val="auto"/>
                <w:sz w:val="28"/>
                <w:szCs w:val="28"/>
                <w:highlight w:val="none"/>
              </w:rPr>
              <w:t>序号</w:t>
            </w:r>
          </w:p>
        </w:tc>
        <w:tc>
          <w:tcPr>
            <w:tcW w:w="2176" w:type="dxa"/>
            <w:tcBorders>
              <w:top w:val="single" w:color="auto" w:sz="4" w:space="0"/>
              <w:left w:val="single" w:color="auto" w:sz="4" w:space="0"/>
              <w:bottom w:val="single" w:color="auto" w:sz="4" w:space="0"/>
              <w:right w:val="single" w:color="auto" w:sz="4" w:space="0"/>
            </w:tcBorders>
            <w:vAlign w:val="center"/>
          </w:tcPr>
          <w:p>
            <w:pPr>
              <w:jc w:val="left"/>
              <w:rPr>
                <w:b/>
                <w:color w:val="auto"/>
                <w:sz w:val="28"/>
                <w:szCs w:val="28"/>
                <w:highlight w:val="none"/>
              </w:rPr>
            </w:pPr>
            <w:r>
              <w:rPr>
                <w:rFonts w:hint="eastAsia"/>
                <w:b/>
                <w:color w:val="auto"/>
                <w:sz w:val="28"/>
                <w:szCs w:val="28"/>
                <w:highlight w:val="none"/>
              </w:rPr>
              <w:t>项目</w:t>
            </w:r>
          </w:p>
        </w:tc>
        <w:tc>
          <w:tcPr>
            <w:tcW w:w="6724" w:type="dxa"/>
            <w:tcBorders>
              <w:top w:val="single" w:color="auto" w:sz="4" w:space="0"/>
              <w:left w:val="single" w:color="auto" w:sz="4" w:space="0"/>
              <w:bottom w:val="single" w:color="auto" w:sz="4" w:space="0"/>
              <w:right w:val="single" w:color="auto" w:sz="4" w:space="0"/>
            </w:tcBorders>
            <w:vAlign w:val="center"/>
          </w:tcPr>
          <w:p>
            <w:pPr>
              <w:jc w:val="left"/>
              <w:rPr>
                <w:b/>
                <w:color w:val="auto"/>
                <w:sz w:val="28"/>
                <w:szCs w:val="28"/>
                <w:highlight w:val="none"/>
              </w:rPr>
            </w:pPr>
            <w:r>
              <w:rPr>
                <w:rFonts w:hint="eastAsia"/>
                <w:b/>
                <w:color w:val="auto"/>
                <w:sz w:val="28"/>
                <w:szCs w:val="28"/>
                <w:highlight w:val="none"/>
              </w:rPr>
              <w:t>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质保期</w:t>
            </w:r>
          </w:p>
        </w:tc>
        <w:tc>
          <w:tcPr>
            <w:tcW w:w="67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一年（自项目验收合格之日起）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安装培训服务要求</w:t>
            </w:r>
          </w:p>
        </w:tc>
        <w:tc>
          <w:tcPr>
            <w:tcW w:w="672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auto"/>
                <w:sz w:val="24"/>
                <w:highlight w:val="none"/>
              </w:rPr>
            </w:pPr>
            <w:r>
              <w:rPr>
                <w:rFonts w:hint="eastAsia" w:ascii="宋体" w:hAnsi="宋体"/>
                <w:color w:val="auto"/>
                <w:sz w:val="24"/>
                <w:highlight w:val="none"/>
              </w:rPr>
              <w:t>由制造商或者中标供应商提供上门安装培训服务，免费对买方使用人员培训，培训内容包括设备的使用操作、维修、保养等，参加人数不限。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项目完成时间</w:t>
            </w:r>
          </w:p>
        </w:tc>
        <w:tc>
          <w:tcPr>
            <w:tcW w:w="67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合同签订后</w:t>
            </w:r>
            <w:r>
              <w:rPr>
                <w:rFonts w:ascii="宋体" w:hAnsi="宋体"/>
                <w:color w:val="auto"/>
                <w:sz w:val="24"/>
                <w:highlight w:val="none"/>
              </w:rPr>
              <w:t>2</w:t>
            </w:r>
            <w:r>
              <w:rPr>
                <w:rFonts w:hint="eastAsia" w:ascii="宋体" w:hAnsi="宋体"/>
                <w:color w:val="auto"/>
                <w:sz w:val="24"/>
                <w:highlight w:val="none"/>
              </w:rPr>
              <w:t>0个工作日内送货安装完成。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交货方式</w:t>
            </w:r>
          </w:p>
        </w:tc>
        <w:tc>
          <w:tcPr>
            <w:tcW w:w="67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中标人送货至用户指定地点交货，所有运费、运杂费、装卸费由中标方承担。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付款方式</w:t>
            </w:r>
          </w:p>
        </w:tc>
        <w:tc>
          <w:tcPr>
            <w:tcW w:w="672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before="120" w:after="120" w:line="360" w:lineRule="auto"/>
              <w:rPr>
                <w:rFonts w:hAnsi="宋体"/>
                <w:color w:val="auto"/>
                <w:sz w:val="24"/>
                <w:szCs w:val="24"/>
                <w:highlight w:val="none"/>
              </w:rPr>
            </w:pPr>
            <w:r>
              <w:rPr>
                <w:rFonts w:hint="eastAsia" w:hAnsi="宋体"/>
                <w:color w:val="auto"/>
                <w:sz w:val="24"/>
                <w:szCs w:val="24"/>
                <w:highlight w:val="none"/>
              </w:rPr>
              <w:t>履约保证金和质量保证金：签订合同前中标单位支付合同总金额的10%作为履约保证金，验收合格后退还履约保证金的50%，剩余的50%转为质量保证金。</w:t>
            </w:r>
          </w:p>
          <w:p>
            <w:pPr>
              <w:rPr>
                <w:rFonts w:ascii="宋体" w:hAnsi="宋体"/>
                <w:color w:val="auto"/>
                <w:sz w:val="24"/>
                <w:highlight w:val="none"/>
              </w:rPr>
            </w:pPr>
            <w:r>
              <w:rPr>
                <w:rFonts w:hint="eastAsia" w:hAnsi="宋体"/>
                <w:color w:val="auto"/>
                <w:sz w:val="24"/>
                <w:highlight w:val="none"/>
              </w:rPr>
              <w:t>签订合同后，2</w:t>
            </w:r>
            <w:r>
              <w:rPr>
                <w:rFonts w:hAnsi="宋体"/>
                <w:color w:val="auto"/>
                <w:sz w:val="24"/>
                <w:highlight w:val="none"/>
              </w:rPr>
              <w:t>0</w:t>
            </w:r>
            <w:r>
              <w:rPr>
                <w:rFonts w:hint="eastAsia" w:hAnsi="宋体"/>
                <w:color w:val="auto"/>
                <w:sz w:val="24"/>
                <w:highlight w:val="none"/>
              </w:rPr>
              <w:t>日内预付合同金额的3</w:t>
            </w:r>
            <w:r>
              <w:rPr>
                <w:rFonts w:hAnsi="宋体"/>
                <w:color w:val="auto"/>
                <w:sz w:val="24"/>
                <w:highlight w:val="none"/>
              </w:rPr>
              <w:t>0%</w:t>
            </w:r>
            <w:r>
              <w:rPr>
                <w:rFonts w:hint="eastAsia" w:hAnsi="宋体"/>
                <w:color w:val="auto"/>
                <w:sz w:val="24"/>
                <w:highlight w:val="none"/>
              </w:rPr>
              <w:t>，全部货物交货并验收合格后，凭验收凭证和货物验收合格等文件20日内支付至合同金额的100%，质量保证金在质保期满后无质量问题的情况下，由中标商提交质保金支付申请，20日内无息退还。</w:t>
            </w:r>
          </w:p>
        </w:tc>
      </w:tr>
    </w:tbl>
    <w:p>
      <w:pPr>
        <w:pStyle w:val="8"/>
        <w:ind w:left="0" w:leftChars="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r>
        <w:rPr>
          <w:rFonts w:hint="eastAsia" w:ascii="宋体" w:hAnsi="宋体" w:cs="仿宋"/>
          <w:b/>
          <w:bCs/>
          <w:color w:val="auto"/>
          <w:sz w:val="28"/>
          <w:szCs w:val="28"/>
          <w:highlight w:val="none"/>
        </w:rPr>
        <w:t>附件</w:t>
      </w:r>
      <w:r>
        <w:rPr>
          <w:rFonts w:ascii="宋体" w:hAnsi="宋体" w:cs="仿宋"/>
          <w:b/>
          <w:bCs/>
          <w:color w:val="auto"/>
          <w:sz w:val="28"/>
          <w:szCs w:val="28"/>
          <w:highlight w:val="none"/>
        </w:rPr>
        <w:t>5</w:t>
      </w:r>
      <w:r>
        <w:rPr>
          <w:rFonts w:hint="eastAsia" w:ascii="宋体" w:hAnsi="宋体" w:cs="仿宋"/>
          <w:b/>
          <w:bCs/>
          <w:color w:val="auto"/>
          <w:sz w:val="28"/>
          <w:szCs w:val="28"/>
          <w:highlight w:val="none"/>
        </w:rPr>
        <w:t>：评标办法</w:t>
      </w:r>
    </w:p>
    <w:p>
      <w:pPr>
        <w:spacing w:line="360" w:lineRule="auto"/>
        <w:ind w:firstLine="480" w:firstLineChars="200"/>
        <w:rPr>
          <w:color w:val="auto"/>
          <w:highlight w:val="none"/>
        </w:rPr>
      </w:pPr>
      <w:r>
        <w:rPr>
          <w:rFonts w:hint="eastAsia" w:ascii="宋体" w:hAnsi="宋体"/>
          <w:color w:val="auto"/>
          <w:sz w:val="24"/>
          <w:highlight w:val="none"/>
        </w:rPr>
        <w:t>本项目采用综合评分法，总分为：</w:t>
      </w:r>
      <w:r>
        <w:rPr>
          <w:rFonts w:ascii="宋体" w:hAnsi="宋体"/>
          <w:color w:val="auto"/>
          <w:sz w:val="24"/>
          <w:highlight w:val="none"/>
        </w:rPr>
        <w:t>100</w:t>
      </w:r>
      <w:r>
        <w:rPr>
          <w:rFonts w:hint="eastAsia" w:ascii="宋体" w:hAnsi="宋体"/>
          <w:color w:val="auto"/>
          <w:sz w:val="24"/>
          <w:highlight w:val="none"/>
        </w:rPr>
        <w:t>分。</w:t>
      </w:r>
    </w:p>
    <w:tbl>
      <w:tblPr>
        <w:tblStyle w:val="17"/>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tcPr>
          <w:p>
            <w:pPr>
              <w:kinsoku w:val="0"/>
              <w:overflowPunct w:val="0"/>
              <w:spacing w:before="88" w:after="120"/>
              <w:rPr>
                <w:rFonts w:ascii="宋体" w:hAnsi="宋体" w:cs="宋体"/>
                <w:color w:val="auto"/>
                <w:szCs w:val="21"/>
                <w:highlight w:val="none"/>
              </w:rPr>
            </w:pPr>
            <w:r>
              <w:rPr>
                <w:rFonts w:hint="eastAsia" w:ascii="宋体" w:hAnsi="宋体" w:cs="宋体"/>
                <w:color w:val="auto"/>
                <w:szCs w:val="21"/>
                <w:highlight w:val="none"/>
              </w:rPr>
              <w:t>序号</w:t>
            </w:r>
          </w:p>
        </w:tc>
        <w:tc>
          <w:tcPr>
            <w:tcW w:w="1276" w:type="dxa"/>
          </w:tcPr>
          <w:p>
            <w:pPr>
              <w:kinsoku w:val="0"/>
              <w:overflowPunct w:val="0"/>
              <w:spacing w:before="88" w:after="120"/>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5103" w:type="dxa"/>
          </w:tcPr>
          <w:p>
            <w:pPr>
              <w:kinsoku w:val="0"/>
              <w:overflowPunct w:val="0"/>
              <w:spacing w:before="88" w:after="120"/>
              <w:ind w:right="34" w:rightChars="16"/>
              <w:jc w:val="center"/>
              <w:rPr>
                <w:rFonts w:ascii="宋体" w:hAnsi="宋体" w:cs="宋体"/>
                <w:color w:val="auto"/>
                <w:szCs w:val="21"/>
                <w:highlight w:val="none"/>
              </w:rPr>
            </w:pPr>
            <w:r>
              <w:rPr>
                <w:rFonts w:hint="eastAsia" w:ascii="宋体" w:hAnsi="宋体" w:cs="宋体"/>
                <w:color w:val="auto"/>
                <w:szCs w:val="21"/>
                <w:highlight w:val="none"/>
              </w:rPr>
              <w:t>评分细节</w:t>
            </w:r>
          </w:p>
        </w:tc>
        <w:tc>
          <w:tcPr>
            <w:tcW w:w="1048" w:type="dxa"/>
          </w:tcPr>
          <w:p>
            <w:pPr>
              <w:kinsoku w:val="0"/>
              <w:overflowPunct w:val="0"/>
              <w:spacing w:before="88" w:after="120"/>
              <w:ind w:left="172"/>
              <w:rPr>
                <w:rFonts w:ascii="宋体" w:hAnsi="宋体" w:cs="宋体"/>
                <w:color w:val="auto"/>
                <w:szCs w:val="21"/>
                <w:highlight w:val="none"/>
              </w:rPr>
            </w:pPr>
            <w:r>
              <w:rPr>
                <w:rFonts w:hint="eastAsia" w:ascii="宋体" w:hAnsi="宋体" w:cs="宋体"/>
                <w:color w:val="auto"/>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tcPr>
          <w:p>
            <w:pPr>
              <w:spacing w:line="360" w:lineRule="exact"/>
              <w:rPr>
                <w:rFonts w:ascii="宋体" w:hAnsi="宋体" w:cs="宋体"/>
                <w:color w:val="auto"/>
                <w:szCs w:val="21"/>
                <w:highlight w:val="none"/>
              </w:rPr>
            </w:pPr>
            <w:r>
              <w:rPr>
                <w:rFonts w:hint="eastAsia" w:ascii="宋体" w:hAnsi="宋体" w:cs="宋体"/>
                <w:color w:val="auto"/>
                <w:kern w:val="0"/>
                <w:szCs w:val="21"/>
                <w:highlight w:val="none"/>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276" w:type="dxa"/>
            <w:vAlign w:val="center"/>
          </w:tcPr>
          <w:p>
            <w:pPr>
              <w:kinsoku w:val="0"/>
              <w:overflowPunct w:val="0"/>
              <w:spacing w:after="120" w:line="360" w:lineRule="exact"/>
              <w:ind w:right="155"/>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5103" w:type="dxa"/>
          </w:tcPr>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投标报价得分=（评标基准价／投标报价）×30（精确到小数点后两位）</w:t>
            </w:r>
          </w:p>
        </w:tc>
        <w:tc>
          <w:tcPr>
            <w:tcW w:w="1048" w:type="dxa"/>
            <w:vAlign w:val="center"/>
          </w:tcPr>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tcPr>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3" w:hRule="atLeast"/>
          <w:jc w:val="center"/>
        </w:trPr>
        <w:tc>
          <w:tcPr>
            <w:tcW w:w="1704" w:type="dxa"/>
          </w:tcPr>
          <w:p>
            <w:pPr>
              <w:spacing w:line="360" w:lineRule="exact"/>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276" w:type="dxa"/>
          </w:tcPr>
          <w:p>
            <w:pPr>
              <w:spacing w:line="360" w:lineRule="exact"/>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技术参数</w:t>
            </w:r>
          </w:p>
        </w:tc>
        <w:tc>
          <w:tcPr>
            <w:tcW w:w="5103" w:type="dxa"/>
          </w:tcPr>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lang w:eastAsia="zh-Hans"/>
              </w:rPr>
              <w:t>设备</w:t>
            </w:r>
            <w:r>
              <w:rPr>
                <w:rFonts w:hint="eastAsia" w:ascii="宋体" w:hAnsi="宋体" w:cs="宋体"/>
                <w:color w:val="auto"/>
                <w:kern w:val="0"/>
                <w:szCs w:val="21"/>
                <w:highlight w:val="none"/>
              </w:rPr>
              <w:t>满足所有技术指标</w:t>
            </w:r>
            <w:r>
              <w:rPr>
                <w:rFonts w:hint="eastAsia" w:ascii="宋体" w:hAnsi="宋体" w:cs="宋体"/>
                <w:color w:val="auto"/>
                <w:kern w:val="0"/>
                <w:szCs w:val="21"/>
                <w:highlight w:val="none"/>
                <w:lang w:eastAsia="zh-Hans"/>
              </w:rPr>
              <w:t>要求得满分</w:t>
            </w:r>
            <w:r>
              <w:rPr>
                <w:rFonts w:hint="eastAsia" w:ascii="宋体" w:hAnsi="宋体" w:cs="宋体"/>
                <w:color w:val="auto"/>
                <w:kern w:val="0"/>
                <w:szCs w:val="21"/>
                <w:highlight w:val="none"/>
              </w:rPr>
              <w:t>，打▲项为重要指标项，有一项负偏离扣</w:t>
            </w:r>
            <w:r>
              <w:rPr>
                <w:rFonts w:ascii="宋体" w:hAnsi="宋体" w:cs="宋体"/>
                <w:color w:val="auto"/>
                <w:kern w:val="0"/>
                <w:szCs w:val="21"/>
                <w:highlight w:val="none"/>
              </w:rPr>
              <w:t>8</w:t>
            </w:r>
            <w:r>
              <w:rPr>
                <w:rFonts w:hint="eastAsia" w:ascii="宋体" w:hAnsi="宋体" w:cs="宋体"/>
                <w:color w:val="auto"/>
                <w:kern w:val="0"/>
                <w:szCs w:val="21"/>
                <w:highlight w:val="none"/>
              </w:rPr>
              <w:t>分，扣完为止。非打▲号指标，有一项负偏离扣</w:t>
            </w:r>
            <w:r>
              <w:rPr>
                <w:rFonts w:ascii="宋体" w:hAnsi="宋体" w:cs="宋体"/>
                <w:color w:val="auto"/>
                <w:kern w:val="0"/>
                <w:szCs w:val="21"/>
                <w:highlight w:val="none"/>
              </w:rPr>
              <w:t>3</w:t>
            </w:r>
            <w:r>
              <w:rPr>
                <w:rFonts w:hint="eastAsia" w:ascii="宋体" w:hAnsi="宋体" w:cs="宋体"/>
                <w:color w:val="auto"/>
                <w:kern w:val="0"/>
                <w:szCs w:val="21"/>
                <w:highlight w:val="none"/>
              </w:rPr>
              <w:t>分，扣完为止。严重负偏离影响设备性能的经半数以上评委认定，本项得零分。</w:t>
            </w:r>
          </w:p>
        </w:tc>
        <w:tc>
          <w:tcPr>
            <w:tcW w:w="1048" w:type="dxa"/>
            <w:vAlign w:val="center"/>
          </w:tcPr>
          <w:p>
            <w:pPr>
              <w:spacing w:line="360" w:lineRule="exact"/>
              <w:jc w:val="center"/>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ascii="宋体" w:hAnsi="宋体" w:cs="宋体"/>
                <w:color w:val="auto"/>
                <w:kern w:val="0"/>
                <w:szCs w:val="21"/>
                <w:highlight w:val="none"/>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tcPr>
          <w:p>
            <w:pPr>
              <w:kinsoku w:val="0"/>
              <w:overflowPunct w:val="0"/>
              <w:spacing w:before="88" w:after="120" w:line="360" w:lineRule="exact"/>
              <w:rPr>
                <w:rFonts w:ascii="宋体" w:hAnsi="宋体" w:cs="宋体"/>
                <w:color w:val="auto"/>
                <w:szCs w:val="21"/>
                <w:highlight w:val="none"/>
              </w:rPr>
            </w:pPr>
            <w:r>
              <w:rPr>
                <w:rFonts w:hint="eastAsia" w:ascii="宋体" w:hAnsi="宋体" w:cs="宋体"/>
                <w:color w:val="auto"/>
                <w:szCs w:val="21"/>
                <w:highlight w:val="none"/>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2" w:hRule="atLeast"/>
          <w:jc w:val="center"/>
        </w:trPr>
        <w:tc>
          <w:tcPr>
            <w:tcW w:w="1704" w:type="dxa"/>
            <w:vAlign w:val="center"/>
          </w:tcPr>
          <w:p>
            <w:pPr>
              <w:spacing w:line="360" w:lineRule="exact"/>
              <w:jc w:val="center"/>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1276" w:type="dxa"/>
            <w:vAlign w:val="center"/>
          </w:tcPr>
          <w:p>
            <w:pPr>
              <w:kinsoku w:val="0"/>
              <w:overflowPunct w:val="0"/>
              <w:spacing w:after="120" w:line="360" w:lineRule="exact"/>
              <w:ind w:left="337"/>
              <w:jc w:val="center"/>
              <w:rPr>
                <w:rFonts w:ascii="宋体" w:hAnsi="宋体" w:cs="宋体"/>
                <w:color w:val="auto"/>
                <w:szCs w:val="21"/>
                <w:highlight w:val="none"/>
              </w:rPr>
            </w:pPr>
          </w:p>
          <w:p>
            <w:pPr>
              <w:kinsoku w:val="0"/>
              <w:overflowPunct w:val="0"/>
              <w:spacing w:after="120" w:line="360" w:lineRule="exact"/>
              <w:jc w:val="center"/>
              <w:rPr>
                <w:rFonts w:ascii="宋体" w:hAnsi="宋体" w:cs="宋体"/>
                <w:color w:val="auto"/>
                <w:szCs w:val="21"/>
                <w:highlight w:val="none"/>
              </w:rPr>
            </w:pPr>
            <w:r>
              <w:rPr>
                <w:rFonts w:hint="eastAsia" w:ascii="宋体" w:hAnsi="宋体" w:cs="宋体"/>
                <w:color w:val="auto"/>
                <w:szCs w:val="21"/>
                <w:highlight w:val="none"/>
              </w:rPr>
              <w:t>售后服务方案</w:t>
            </w:r>
          </w:p>
          <w:p>
            <w:pPr>
              <w:spacing w:line="360" w:lineRule="exact"/>
              <w:jc w:val="center"/>
              <w:rPr>
                <w:rFonts w:ascii="宋体" w:hAnsi="宋体" w:cs="宋体"/>
                <w:color w:val="auto"/>
                <w:kern w:val="0"/>
                <w:szCs w:val="21"/>
                <w:highlight w:val="none"/>
              </w:rPr>
            </w:pPr>
          </w:p>
        </w:tc>
        <w:tc>
          <w:tcPr>
            <w:tcW w:w="5103" w:type="dxa"/>
            <w:vAlign w:val="center"/>
          </w:tcPr>
          <w:p>
            <w:pPr>
              <w:kinsoku w:val="0"/>
              <w:overflowPunct w:val="0"/>
              <w:spacing w:before="88" w:after="120" w:line="320" w:lineRule="exact"/>
              <w:jc w:val="left"/>
              <w:rPr>
                <w:rFonts w:ascii="宋体" w:hAnsi="宋体" w:cs="宋体"/>
                <w:color w:val="auto"/>
                <w:szCs w:val="21"/>
                <w:highlight w:val="none"/>
              </w:rPr>
            </w:pPr>
            <w:r>
              <w:rPr>
                <w:rFonts w:hint="eastAsia" w:ascii="宋体" w:hAnsi="宋体" w:cs="宋体"/>
                <w:color w:val="auto"/>
                <w:szCs w:val="21"/>
                <w:highlight w:val="none"/>
              </w:rPr>
              <w:t>根据投标人的售后服务、技术支持能力与承诺情况：</w:t>
            </w:r>
          </w:p>
          <w:p>
            <w:pPr>
              <w:kinsoku w:val="0"/>
              <w:overflowPunct w:val="0"/>
              <w:spacing w:before="88" w:after="120" w:line="320" w:lineRule="exact"/>
              <w:jc w:val="left"/>
              <w:rPr>
                <w:rFonts w:ascii="宋体" w:hAnsi="宋体" w:cs="宋体"/>
                <w:color w:val="auto"/>
                <w:szCs w:val="21"/>
                <w:highlight w:val="none"/>
              </w:rPr>
            </w:pPr>
            <w:r>
              <w:rPr>
                <w:rFonts w:hint="eastAsia" w:ascii="宋体" w:hAnsi="宋体" w:cs="宋体"/>
                <w:color w:val="auto"/>
                <w:szCs w:val="21"/>
                <w:highlight w:val="none"/>
              </w:rPr>
              <w:t>a)售后服务保障体系及措施完善，技术支持能力强，</w:t>
            </w:r>
            <w:r>
              <w:rPr>
                <w:rFonts w:hint="eastAsia" w:ascii="宋体" w:hAnsi="宋体" w:cs="宋体"/>
                <w:color w:val="auto"/>
                <w:szCs w:val="21"/>
                <w:highlight w:val="none"/>
                <w:lang w:eastAsia="zh-Hans"/>
              </w:rPr>
              <w:t xml:space="preserve"> </w:t>
            </w:r>
            <w:r>
              <w:rPr>
                <w:rFonts w:ascii="宋体" w:hAnsi="宋体" w:cs="宋体"/>
                <w:color w:val="auto"/>
                <w:szCs w:val="21"/>
                <w:highlight w:val="none"/>
                <w:lang w:eastAsia="zh-Hans"/>
              </w:rPr>
              <w:t>8</w:t>
            </w:r>
            <w:r>
              <w:rPr>
                <w:rFonts w:hint="eastAsia" w:ascii="宋体" w:hAnsi="宋体" w:cs="宋体"/>
                <w:color w:val="auto"/>
                <w:szCs w:val="21"/>
                <w:highlight w:val="none"/>
                <w:lang w:eastAsia="zh-Hans"/>
              </w:rPr>
              <w:t>小时内响应，</w:t>
            </w:r>
            <w:r>
              <w:rPr>
                <w:rFonts w:ascii="宋体" w:hAnsi="宋体" w:cs="宋体"/>
                <w:color w:val="auto"/>
                <w:szCs w:val="21"/>
                <w:highlight w:val="none"/>
                <w:lang w:eastAsia="zh-Hans"/>
              </w:rPr>
              <w:t>12</w:t>
            </w:r>
            <w:r>
              <w:rPr>
                <w:rFonts w:hint="eastAsia" w:ascii="宋体" w:hAnsi="宋体" w:cs="宋体"/>
                <w:color w:val="auto"/>
                <w:szCs w:val="21"/>
                <w:highlight w:val="none"/>
                <w:lang w:eastAsia="zh-Hans"/>
              </w:rPr>
              <w:t>小时内现场支持</w:t>
            </w:r>
            <w:r>
              <w:rPr>
                <w:rFonts w:hint="eastAsia" w:ascii="宋体" w:hAnsi="宋体" w:cs="宋体"/>
                <w:color w:val="auto"/>
                <w:szCs w:val="21"/>
                <w:highlight w:val="none"/>
              </w:rPr>
              <w:t>得1</w:t>
            </w:r>
            <w:r>
              <w:rPr>
                <w:rFonts w:ascii="宋体" w:hAnsi="宋体" w:cs="宋体"/>
                <w:color w:val="auto"/>
                <w:szCs w:val="21"/>
                <w:highlight w:val="none"/>
              </w:rPr>
              <w:t>0</w:t>
            </w:r>
            <w:r>
              <w:rPr>
                <w:rFonts w:hint="eastAsia" w:ascii="宋体" w:hAnsi="宋体" w:cs="宋体"/>
                <w:color w:val="auto"/>
                <w:szCs w:val="21"/>
                <w:highlight w:val="none"/>
              </w:rPr>
              <w:t>分；</w:t>
            </w:r>
          </w:p>
          <w:p>
            <w:pPr>
              <w:kinsoku w:val="0"/>
              <w:overflowPunct w:val="0"/>
              <w:spacing w:before="88" w:after="120" w:line="320" w:lineRule="exact"/>
              <w:jc w:val="left"/>
              <w:rPr>
                <w:rFonts w:ascii="宋体" w:hAnsi="宋体" w:cs="宋体"/>
                <w:color w:val="auto"/>
                <w:szCs w:val="21"/>
                <w:highlight w:val="none"/>
              </w:rPr>
            </w:pPr>
            <w:r>
              <w:rPr>
                <w:rFonts w:hint="eastAsia" w:ascii="宋体" w:hAnsi="宋体" w:cs="宋体"/>
                <w:color w:val="auto"/>
                <w:szCs w:val="21"/>
                <w:highlight w:val="none"/>
              </w:rPr>
              <w:t>b)售后服务保障体系及措施较好，技术支持能力较强</w:t>
            </w:r>
            <w:r>
              <w:rPr>
                <w:rFonts w:hint="eastAsia" w:ascii="宋体" w:hAnsi="宋体" w:cs="宋体"/>
                <w:color w:val="auto"/>
                <w:szCs w:val="21"/>
                <w:highlight w:val="none"/>
                <w:lang w:eastAsia="zh-Hans"/>
              </w:rPr>
              <w:t xml:space="preserve">， </w:t>
            </w:r>
            <w:r>
              <w:rPr>
                <w:rFonts w:ascii="宋体" w:hAnsi="宋体" w:cs="宋体"/>
                <w:color w:val="auto"/>
                <w:szCs w:val="21"/>
                <w:highlight w:val="none"/>
                <w:lang w:eastAsia="zh-Hans"/>
              </w:rPr>
              <w:t>8</w:t>
            </w:r>
            <w:r>
              <w:rPr>
                <w:rFonts w:hint="eastAsia" w:ascii="宋体" w:hAnsi="宋体" w:cs="宋体"/>
                <w:color w:val="auto"/>
                <w:szCs w:val="21"/>
                <w:highlight w:val="none"/>
                <w:lang w:eastAsia="zh-Hans"/>
              </w:rPr>
              <w:t>小时内响应，</w:t>
            </w:r>
            <w:r>
              <w:rPr>
                <w:rFonts w:ascii="宋体" w:hAnsi="宋体" w:cs="宋体"/>
                <w:color w:val="auto"/>
                <w:szCs w:val="21"/>
                <w:highlight w:val="none"/>
                <w:lang w:eastAsia="zh-Hans"/>
              </w:rPr>
              <w:t>24</w:t>
            </w:r>
            <w:r>
              <w:rPr>
                <w:rFonts w:hint="eastAsia" w:ascii="宋体" w:hAnsi="宋体" w:cs="宋体"/>
                <w:color w:val="auto"/>
                <w:szCs w:val="21"/>
                <w:highlight w:val="none"/>
                <w:lang w:eastAsia="zh-Hans"/>
              </w:rPr>
              <w:t>小时内现场支持</w:t>
            </w:r>
            <w:r>
              <w:rPr>
                <w:rFonts w:hint="eastAsia" w:ascii="宋体" w:hAnsi="宋体" w:cs="宋体"/>
                <w:color w:val="auto"/>
                <w:szCs w:val="21"/>
                <w:highlight w:val="none"/>
              </w:rPr>
              <w:t>，得</w:t>
            </w:r>
            <w:r>
              <w:rPr>
                <w:rFonts w:ascii="宋体" w:hAnsi="宋体" w:cs="宋体"/>
                <w:color w:val="auto"/>
                <w:szCs w:val="21"/>
                <w:highlight w:val="none"/>
              </w:rPr>
              <w:t>7</w:t>
            </w:r>
            <w:r>
              <w:rPr>
                <w:rFonts w:hint="eastAsia" w:ascii="宋体" w:hAnsi="宋体" w:cs="宋体"/>
                <w:color w:val="auto"/>
                <w:szCs w:val="21"/>
                <w:highlight w:val="none"/>
              </w:rPr>
              <w:t>分；</w:t>
            </w:r>
          </w:p>
          <w:p>
            <w:pPr>
              <w:kinsoku w:val="0"/>
              <w:overflowPunct w:val="0"/>
              <w:spacing w:before="88" w:after="120" w:line="320" w:lineRule="exact"/>
              <w:jc w:val="left"/>
              <w:rPr>
                <w:rFonts w:ascii="宋体" w:hAnsi="宋体" w:cs="宋体"/>
                <w:color w:val="auto"/>
                <w:szCs w:val="21"/>
                <w:highlight w:val="none"/>
              </w:rPr>
            </w:pPr>
            <w:r>
              <w:rPr>
                <w:rFonts w:hint="eastAsia" w:ascii="宋体" w:hAnsi="宋体" w:cs="宋体"/>
                <w:color w:val="auto"/>
                <w:szCs w:val="21"/>
                <w:highlight w:val="none"/>
              </w:rPr>
              <w:t>c)售后服务保障体系及措施基本符合招标要求，技术支持能力</w:t>
            </w:r>
            <w:r>
              <w:rPr>
                <w:rFonts w:hint="eastAsia" w:ascii="宋体" w:hAnsi="宋体" w:cs="宋体"/>
                <w:color w:val="auto"/>
                <w:szCs w:val="21"/>
                <w:highlight w:val="none"/>
                <w:lang w:eastAsia="zh-Hans"/>
              </w:rPr>
              <w:t>一般</w:t>
            </w:r>
            <w:r>
              <w:rPr>
                <w:rFonts w:hint="eastAsia" w:ascii="宋体" w:hAnsi="宋体" w:cs="宋体"/>
                <w:color w:val="auto"/>
                <w:szCs w:val="21"/>
                <w:highlight w:val="none"/>
              </w:rPr>
              <w:t>，</w:t>
            </w:r>
            <w:r>
              <w:rPr>
                <w:rFonts w:ascii="宋体" w:hAnsi="宋体" w:cs="宋体"/>
                <w:color w:val="auto"/>
                <w:szCs w:val="21"/>
                <w:highlight w:val="none"/>
                <w:lang w:eastAsia="zh-Hans"/>
              </w:rPr>
              <w:t>12</w:t>
            </w:r>
            <w:r>
              <w:rPr>
                <w:rFonts w:hint="eastAsia" w:ascii="宋体" w:hAnsi="宋体" w:cs="宋体"/>
                <w:color w:val="auto"/>
                <w:szCs w:val="21"/>
                <w:highlight w:val="none"/>
                <w:lang w:eastAsia="zh-Hans"/>
              </w:rPr>
              <w:t>小时内响应，</w:t>
            </w:r>
            <w:r>
              <w:rPr>
                <w:rFonts w:ascii="宋体" w:hAnsi="宋体" w:cs="宋体"/>
                <w:color w:val="auto"/>
                <w:szCs w:val="21"/>
                <w:highlight w:val="none"/>
                <w:lang w:eastAsia="zh-Hans"/>
              </w:rPr>
              <w:t>48</w:t>
            </w:r>
            <w:r>
              <w:rPr>
                <w:rFonts w:hint="eastAsia" w:ascii="宋体" w:hAnsi="宋体" w:cs="宋体"/>
                <w:color w:val="auto"/>
                <w:szCs w:val="21"/>
                <w:highlight w:val="none"/>
                <w:lang w:eastAsia="zh-Hans"/>
              </w:rPr>
              <w:t>小时内现场支持</w:t>
            </w:r>
            <w:r>
              <w:rPr>
                <w:rFonts w:hint="eastAsia" w:ascii="宋体" w:hAnsi="宋体" w:cs="宋体"/>
                <w:color w:val="auto"/>
                <w:szCs w:val="21"/>
                <w:highlight w:val="none"/>
              </w:rPr>
              <w:t>，得3分。</w:t>
            </w:r>
          </w:p>
          <w:p>
            <w:pPr>
              <w:kinsoku w:val="0"/>
              <w:overflowPunct w:val="0"/>
              <w:spacing w:before="88" w:after="120" w:line="320" w:lineRule="exact"/>
              <w:jc w:val="left"/>
              <w:rPr>
                <w:rFonts w:ascii="宋体" w:hAnsi="宋体" w:cs="宋体"/>
                <w:color w:val="auto"/>
                <w:szCs w:val="21"/>
                <w:highlight w:val="none"/>
              </w:rPr>
            </w:pPr>
            <w:r>
              <w:rPr>
                <w:rFonts w:hint="eastAsia" w:ascii="宋体" w:hAnsi="宋体" w:cs="宋体"/>
                <w:color w:val="auto"/>
                <w:szCs w:val="21"/>
                <w:highlight w:val="none"/>
              </w:rPr>
              <w:t>d</w:t>
            </w:r>
            <w:r>
              <w:rPr>
                <w:rFonts w:ascii="宋体" w:hAnsi="宋体" w:cs="宋体"/>
                <w:color w:val="auto"/>
                <w:szCs w:val="21"/>
                <w:highlight w:val="none"/>
              </w:rPr>
              <w:t>)</w:t>
            </w:r>
            <w:r>
              <w:rPr>
                <w:rFonts w:hint="eastAsia" w:ascii="宋体" w:hAnsi="宋体" w:cs="宋体"/>
                <w:color w:val="auto"/>
                <w:szCs w:val="21"/>
                <w:highlight w:val="none"/>
              </w:rPr>
              <w:t>售后服务保障体系及措施不符合招标要求，得0分。</w:t>
            </w:r>
          </w:p>
        </w:tc>
        <w:tc>
          <w:tcPr>
            <w:tcW w:w="1048" w:type="dxa"/>
            <w:vAlign w:val="center"/>
          </w:tcPr>
          <w:p>
            <w:pPr>
              <w:spacing w:line="360" w:lineRule="exact"/>
              <w:jc w:val="center"/>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ascii="宋体" w:hAnsi="宋体" w:cs="宋体"/>
                <w:color w:val="auto"/>
                <w:kern w:val="0"/>
                <w:szCs w:val="21"/>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9131" w:type="dxa"/>
            <w:gridSpan w:val="4"/>
          </w:tcPr>
          <w:p>
            <w:pPr>
              <w:kinsoku w:val="0"/>
              <w:overflowPunct w:val="0"/>
              <w:spacing w:before="88" w:after="120" w:line="360" w:lineRule="exact"/>
              <w:ind w:left="123"/>
              <w:rPr>
                <w:rFonts w:ascii="宋体" w:hAnsi="宋体" w:cs="宋体"/>
                <w:color w:val="auto"/>
                <w:szCs w:val="21"/>
                <w:highlight w:val="none"/>
              </w:rPr>
            </w:pPr>
            <w:r>
              <w:rPr>
                <w:rFonts w:hint="eastAsia" w:ascii="宋体" w:hAnsi="宋体" w:cs="宋体"/>
                <w:color w:val="auto"/>
                <w:szCs w:val="21"/>
                <w:highlight w:val="none"/>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atLeast"/>
          <w:jc w:val="center"/>
        </w:trPr>
        <w:tc>
          <w:tcPr>
            <w:tcW w:w="1704" w:type="dxa"/>
          </w:tcPr>
          <w:p>
            <w:pPr>
              <w:kinsoku w:val="0"/>
              <w:overflowPunct w:val="0"/>
              <w:spacing w:after="120" w:line="360" w:lineRule="exact"/>
              <w:ind w:left="213"/>
              <w:rPr>
                <w:rFonts w:ascii="宋体" w:hAnsi="宋体" w:cs="宋体"/>
                <w:color w:val="auto"/>
                <w:szCs w:val="21"/>
                <w:highlight w:val="none"/>
              </w:rPr>
            </w:pPr>
          </w:p>
          <w:p>
            <w:pPr>
              <w:kinsoku w:val="0"/>
              <w:overflowPunct w:val="0"/>
              <w:spacing w:after="120" w:line="360" w:lineRule="exact"/>
              <w:ind w:left="213"/>
              <w:rPr>
                <w:rFonts w:ascii="宋体" w:hAnsi="宋体" w:cs="宋体"/>
                <w:color w:val="auto"/>
                <w:szCs w:val="21"/>
                <w:highlight w:val="none"/>
              </w:rPr>
            </w:pPr>
            <w:r>
              <w:rPr>
                <w:rFonts w:hint="eastAsia" w:ascii="宋体" w:hAnsi="宋体" w:cs="宋体"/>
                <w:color w:val="auto"/>
                <w:szCs w:val="21"/>
                <w:highlight w:val="none"/>
              </w:rPr>
              <w:t>4.1</w:t>
            </w:r>
          </w:p>
        </w:tc>
        <w:tc>
          <w:tcPr>
            <w:tcW w:w="1276" w:type="dxa"/>
          </w:tcPr>
          <w:p>
            <w:pPr>
              <w:kinsoku w:val="0"/>
              <w:overflowPunct w:val="0"/>
              <w:spacing w:after="120" w:line="360" w:lineRule="exact"/>
              <w:ind w:left="155" w:right="155"/>
              <w:jc w:val="center"/>
              <w:rPr>
                <w:rFonts w:ascii="宋体" w:hAnsi="宋体" w:cs="宋体"/>
                <w:color w:val="auto"/>
                <w:szCs w:val="21"/>
                <w:highlight w:val="none"/>
              </w:rPr>
            </w:pPr>
          </w:p>
          <w:p>
            <w:pPr>
              <w:kinsoku w:val="0"/>
              <w:overflowPunct w:val="0"/>
              <w:spacing w:after="120" w:line="360" w:lineRule="exact"/>
              <w:ind w:left="155" w:right="155"/>
              <w:jc w:val="center"/>
              <w:rPr>
                <w:rFonts w:ascii="宋体" w:hAnsi="宋体" w:cs="宋体"/>
                <w:color w:val="auto"/>
                <w:kern w:val="0"/>
                <w:szCs w:val="21"/>
                <w:highlight w:val="none"/>
              </w:rPr>
            </w:pPr>
            <w:r>
              <w:rPr>
                <w:rFonts w:hint="eastAsia" w:ascii="宋体" w:hAnsi="宋体" w:cs="宋体"/>
                <w:color w:val="auto"/>
                <w:szCs w:val="21"/>
                <w:highlight w:val="none"/>
              </w:rPr>
              <w:t>业绩</w:t>
            </w:r>
          </w:p>
        </w:tc>
        <w:tc>
          <w:tcPr>
            <w:tcW w:w="5103" w:type="dxa"/>
          </w:tcPr>
          <w:p>
            <w:pPr>
              <w:kinsoku w:val="0"/>
              <w:overflowPunct w:val="0"/>
              <w:spacing w:before="88" w:after="120" w:line="360" w:lineRule="exact"/>
              <w:ind w:right="155"/>
              <w:rPr>
                <w:rFonts w:ascii="宋体" w:hAnsi="宋体" w:cs="宋体"/>
                <w:color w:val="auto"/>
                <w:szCs w:val="21"/>
                <w:highlight w:val="none"/>
              </w:rPr>
            </w:pPr>
            <w:r>
              <w:rPr>
                <w:rFonts w:hint="eastAsia" w:ascii="宋体" w:hAnsi="宋体" w:cs="宋体"/>
                <w:color w:val="auto"/>
                <w:szCs w:val="21"/>
                <w:highlight w:val="none"/>
              </w:rPr>
              <w:t>投标人近三年具有同类项目的实施经验并能够提供相关的业绩证明（以合同签署日期为准，合同复印件加盖公章），每提供一个得2分，总分10分。</w:t>
            </w:r>
          </w:p>
        </w:tc>
        <w:tc>
          <w:tcPr>
            <w:tcW w:w="1048" w:type="dxa"/>
          </w:tcPr>
          <w:p>
            <w:pPr>
              <w:spacing w:line="360" w:lineRule="exact"/>
              <w:rPr>
                <w:rFonts w:ascii="宋体" w:hAnsi="宋体" w:cs="宋体"/>
                <w:color w:val="auto"/>
                <w:kern w:val="0"/>
                <w:szCs w:val="21"/>
                <w:highlight w:val="none"/>
              </w:rPr>
            </w:pPr>
          </w:p>
          <w:p>
            <w:pPr>
              <w:spacing w:line="360" w:lineRule="exact"/>
              <w:ind w:firstLine="210" w:firstLineChars="100"/>
              <w:rPr>
                <w:rFonts w:ascii="宋体" w:hAnsi="宋体" w:cs="宋体"/>
                <w:color w:val="auto"/>
                <w:kern w:val="0"/>
                <w:szCs w:val="21"/>
                <w:highlight w:val="none"/>
              </w:rPr>
            </w:pPr>
            <w:r>
              <w:rPr>
                <w:rFonts w:ascii="宋体" w:hAnsi="宋体" w:cs="宋体"/>
                <w:color w:val="auto"/>
                <w:kern w:val="0"/>
                <w:szCs w:val="21"/>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color w:val="auto"/>
                <w:szCs w:val="21"/>
                <w:highlight w:val="none"/>
              </w:rPr>
            </w:pPr>
            <w:r>
              <w:rPr>
                <w:rFonts w:hint="eastAsia" w:ascii="宋体" w:hAnsi="宋体"/>
                <w:color w:val="auto"/>
                <w:szCs w:val="21"/>
                <w:highlight w:val="none"/>
              </w:rPr>
              <w:t>5、投标文件制作分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704" w:type="dxa"/>
            <w:vAlign w:val="center"/>
          </w:tcPr>
          <w:p>
            <w:pPr>
              <w:jc w:val="center"/>
              <w:rPr>
                <w:rFonts w:ascii="宋体" w:hAnsi="宋体"/>
                <w:color w:val="auto"/>
                <w:szCs w:val="21"/>
                <w:highlight w:val="none"/>
              </w:rPr>
            </w:pPr>
            <w:r>
              <w:rPr>
                <w:rFonts w:hint="eastAsia" w:ascii="宋体" w:hAnsi="宋体"/>
                <w:color w:val="auto"/>
                <w:szCs w:val="21"/>
                <w:highlight w:val="none"/>
              </w:rPr>
              <w:t>5.1</w:t>
            </w:r>
          </w:p>
        </w:tc>
        <w:tc>
          <w:tcPr>
            <w:tcW w:w="1276" w:type="dxa"/>
            <w:vAlign w:val="center"/>
          </w:tcPr>
          <w:p>
            <w:pPr>
              <w:jc w:val="center"/>
              <w:rPr>
                <w:rFonts w:ascii="宋体" w:hAnsi="宋体"/>
                <w:color w:val="auto"/>
                <w:szCs w:val="21"/>
                <w:highlight w:val="none"/>
              </w:rPr>
            </w:pPr>
            <w:r>
              <w:rPr>
                <w:rFonts w:hint="eastAsia" w:ascii="宋体" w:hAnsi="宋体"/>
                <w:color w:val="auto"/>
                <w:szCs w:val="21"/>
                <w:highlight w:val="none"/>
              </w:rPr>
              <w:t>投标文件便于评审</w:t>
            </w:r>
          </w:p>
        </w:tc>
        <w:tc>
          <w:tcPr>
            <w:tcW w:w="5103" w:type="dxa"/>
            <w:vAlign w:val="center"/>
          </w:tcPr>
          <w:p>
            <w:pPr>
              <w:spacing w:line="360" w:lineRule="auto"/>
              <w:rPr>
                <w:rFonts w:ascii="宋体" w:hAnsi="宋体"/>
                <w:color w:val="auto"/>
                <w:szCs w:val="21"/>
                <w:highlight w:val="none"/>
              </w:rPr>
            </w:pPr>
            <w:r>
              <w:rPr>
                <w:rFonts w:hint="eastAsia" w:ascii="宋体" w:hAnsi="宋体" w:cs="宋体"/>
                <w:color w:val="auto"/>
                <w:szCs w:val="21"/>
                <w:highlight w:val="none"/>
              </w:rPr>
              <w:t>文件内容完备，格式规范，封装整齐，满足招标文件要求得2分。未经胶封（如文件夹或订书机等）此项不得分。</w:t>
            </w:r>
          </w:p>
        </w:tc>
        <w:tc>
          <w:tcPr>
            <w:tcW w:w="1048"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r>
    </w:tbl>
    <w:p>
      <w:pPr>
        <w:spacing w:line="360" w:lineRule="auto"/>
        <w:rPr>
          <w:b/>
          <w:color w:val="auto"/>
          <w:sz w:val="28"/>
          <w:szCs w:val="28"/>
          <w:highlight w:val="none"/>
        </w:rPr>
      </w:pPr>
      <w:r>
        <w:rPr>
          <w:rFonts w:hint="eastAsia"/>
          <w:b/>
          <w:color w:val="auto"/>
          <w:sz w:val="28"/>
          <w:szCs w:val="28"/>
          <w:highlight w:val="none"/>
        </w:rPr>
        <w:t>附件</w:t>
      </w:r>
      <w:r>
        <w:rPr>
          <w:b/>
          <w:color w:val="auto"/>
          <w:sz w:val="28"/>
          <w:szCs w:val="28"/>
          <w:highlight w:val="none"/>
        </w:rPr>
        <w:t>6</w:t>
      </w:r>
      <w:r>
        <w:rPr>
          <w:rFonts w:hint="eastAsia"/>
          <w:b/>
          <w:color w:val="auto"/>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color w:val="auto"/>
          <w:sz w:val="34"/>
          <w:highlight w:val="none"/>
        </w:rPr>
      </w:pPr>
      <w:r>
        <w:rPr>
          <w:rFonts w:hint="eastAsia" w:ascii="黑体" w:hAnsi="黑体" w:eastAsia="黑体"/>
          <w:b/>
          <w:color w:val="auto"/>
          <w:sz w:val="34"/>
          <w:highlight w:val="none"/>
        </w:rPr>
        <w:t>采购合同</w:t>
      </w:r>
    </w:p>
    <w:p>
      <w:pPr>
        <w:pStyle w:val="2"/>
        <w:jc w:val="center"/>
        <w:rPr>
          <w:rFonts w:hint="eastAsia"/>
          <w:color w:val="auto"/>
          <w:sz w:val="28"/>
          <w:highlight w:val="none"/>
        </w:rPr>
      </w:pPr>
      <w:r>
        <w:rPr>
          <w:rFonts w:hint="eastAsia"/>
          <w:color w:val="auto"/>
          <w:sz w:val="28"/>
          <w:highlight w:val="none"/>
        </w:rPr>
        <w:t>参考文本，最终以采购方审核意见为准。</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项目名称：</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项目编号：</w:t>
      </w:r>
    </w:p>
    <w:p>
      <w:pPr>
        <w:pStyle w:val="10"/>
        <w:adjustRightInd w:val="0"/>
        <w:snapToGrid w:val="0"/>
        <w:spacing w:before="120" w:after="120" w:line="360" w:lineRule="auto"/>
        <w:ind w:firstLine="658"/>
        <w:rPr>
          <w:rFonts w:hAnsi="宋体"/>
          <w:color w:val="auto"/>
          <w:sz w:val="24"/>
          <w:szCs w:val="24"/>
          <w:highlight w:val="none"/>
          <w:u w:val="single"/>
        </w:rPr>
      </w:pPr>
      <w:r>
        <w:rPr>
          <w:rFonts w:hint="eastAsia" w:hAnsi="宋体"/>
          <w:color w:val="auto"/>
          <w:sz w:val="24"/>
          <w:szCs w:val="24"/>
          <w:highlight w:val="none"/>
        </w:rPr>
        <w:t>甲方：（买方）</w:t>
      </w:r>
      <w:r>
        <w:rPr>
          <w:rFonts w:hAnsi="宋体"/>
          <w:color w:val="auto"/>
          <w:sz w:val="24"/>
          <w:szCs w:val="24"/>
          <w:highlight w:val="none"/>
        </w:rPr>
        <w:t>__________________</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乙方：（卖方）</w:t>
      </w:r>
      <w:r>
        <w:rPr>
          <w:rFonts w:hAnsi="宋体"/>
          <w:color w:val="auto"/>
          <w:sz w:val="24"/>
          <w:szCs w:val="24"/>
          <w:highlight w:val="none"/>
        </w:rPr>
        <w:t>__________________</w:t>
      </w:r>
    </w:p>
    <w:p>
      <w:pPr>
        <w:pStyle w:val="10"/>
        <w:adjustRightInd w:val="0"/>
        <w:snapToGrid w:val="0"/>
        <w:spacing w:before="120" w:after="120" w:line="360" w:lineRule="auto"/>
        <w:ind w:firstLine="658"/>
        <w:rPr>
          <w:rFonts w:hAnsi="宋体"/>
          <w:b/>
          <w:color w:val="auto"/>
          <w:sz w:val="24"/>
          <w:szCs w:val="24"/>
          <w:highlight w:val="none"/>
        </w:rPr>
      </w:pPr>
      <w:r>
        <w:rPr>
          <w:rFonts w:hint="eastAsia" w:hAnsi="宋体"/>
          <w:color w:val="auto"/>
          <w:sz w:val="24"/>
          <w:szCs w:val="24"/>
          <w:highlight w:val="none"/>
        </w:rPr>
        <w:t>甲、乙双方根据甲方项目采购谈判的结果，签署本合同。</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一、货物内容</w:t>
      </w:r>
    </w:p>
    <w:tbl>
      <w:tblPr>
        <w:tblStyle w:val="17"/>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分包号</w:t>
            </w:r>
          </w:p>
        </w:tc>
        <w:tc>
          <w:tcPr>
            <w:tcW w:w="116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货物</w:t>
            </w:r>
          </w:p>
          <w:p>
            <w:pPr>
              <w:spacing w:line="360" w:lineRule="auto"/>
              <w:jc w:val="center"/>
              <w:rPr>
                <w:rFonts w:ascii="宋体"/>
                <w:b/>
                <w:color w:val="auto"/>
                <w:sz w:val="24"/>
                <w:highlight w:val="none"/>
              </w:rPr>
            </w:pPr>
            <w:r>
              <w:rPr>
                <w:rFonts w:hint="eastAsia" w:ascii="宋体" w:hAnsi="宋体"/>
                <w:b/>
                <w:color w:val="auto"/>
                <w:sz w:val="24"/>
                <w:highlight w:val="none"/>
              </w:rPr>
              <w:t>名称</w:t>
            </w:r>
          </w:p>
        </w:tc>
        <w:tc>
          <w:tcPr>
            <w:tcW w:w="111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型号</w:t>
            </w:r>
            <w:r>
              <w:rPr>
                <w:rFonts w:ascii="宋体" w:hAnsi="宋体"/>
                <w:b/>
                <w:color w:val="auto"/>
                <w:sz w:val="24"/>
                <w:highlight w:val="none"/>
              </w:rPr>
              <w:t>/</w:t>
            </w:r>
          </w:p>
          <w:p>
            <w:pPr>
              <w:spacing w:line="360" w:lineRule="auto"/>
              <w:jc w:val="center"/>
              <w:rPr>
                <w:rFonts w:ascii="宋体"/>
                <w:b/>
                <w:color w:val="auto"/>
                <w:sz w:val="24"/>
                <w:highlight w:val="none"/>
              </w:rPr>
            </w:pPr>
            <w:r>
              <w:rPr>
                <w:rFonts w:hint="eastAsia" w:ascii="宋体" w:hAnsi="宋体"/>
                <w:b/>
                <w:color w:val="auto"/>
                <w:sz w:val="24"/>
                <w:highlight w:val="none"/>
              </w:rPr>
              <w:t>规格</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品牌</w:t>
            </w:r>
            <w:r>
              <w:rPr>
                <w:rFonts w:ascii="宋体" w:hAnsi="宋体"/>
                <w:b/>
                <w:color w:val="auto"/>
                <w:sz w:val="24"/>
                <w:highlight w:val="none"/>
              </w:rPr>
              <w:t>/</w:t>
            </w:r>
            <w:r>
              <w:rPr>
                <w:rFonts w:hint="eastAsia" w:ascii="宋体" w:hAnsi="宋体"/>
                <w:b/>
                <w:color w:val="auto"/>
                <w:sz w:val="24"/>
                <w:highlight w:val="none"/>
              </w:rPr>
              <w:t>生产厂家</w:t>
            </w:r>
            <w:r>
              <w:rPr>
                <w:rFonts w:ascii="宋体" w:hAnsi="宋体"/>
                <w:b/>
                <w:color w:val="auto"/>
                <w:sz w:val="24"/>
                <w:highlight w:val="none"/>
              </w:rPr>
              <w:t>/</w:t>
            </w:r>
            <w:r>
              <w:rPr>
                <w:rFonts w:hint="eastAsia" w:ascii="宋体" w:hAnsi="宋体"/>
                <w:b/>
                <w:color w:val="auto"/>
                <w:sz w:val="24"/>
                <w:highlight w:val="none"/>
              </w:rPr>
              <w:t>国别</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计量</w:t>
            </w:r>
          </w:p>
          <w:p>
            <w:pPr>
              <w:spacing w:line="360" w:lineRule="auto"/>
              <w:jc w:val="center"/>
              <w:rPr>
                <w:rFonts w:ascii="宋体"/>
                <w:b/>
                <w:color w:val="auto"/>
                <w:sz w:val="24"/>
                <w:highlight w:val="none"/>
              </w:rPr>
            </w:pPr>
            <w:r>
              <w:rPr>
                <w:rFonts w:hint="eastAsia" w:ascii="宋体" w:hAnsi="宋体"/>
                <w:b/>
                <w:color w:val="auto"/>
                <w:sz w:val="24"/>
                <w:highlight w:val="none"/>
              </w:rPr>
              <w:t>单位</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数量</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单价</w:t>
            </w:r>
          </w:p>
        </w:tc>
        <w:tc>
          <w:tcPr>
            <w:tcW w:w="1162"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每项</w:t>
            </w:r>
          </w:p>
          <w:p>
            <w:pPr>
              <w:spacing w:line="360" w:lineRule="auto"/>
              <w:jc w:val="center"/>
              <w:rPr>
                <w:rFonts w:ascii="宋体"/>
                <w:b/>
                <w:color w:val="auto"/>
                <w:sz w:val="24"/>
                <w:highlight w:val="none"/>
              </w:rPr>
            </w:pPr>
            <w:r>
              <w:rPr>
                <w:rFonts w:hint="eastAsia" w:ascii="宋体" w:hAnsi="宋体"/>
                <w:b/>
                <w:color w:val="auto"/>
                <w:sz w:val="24"/>
                <w:highlight w:val="none"/>
              </w:rPr>
              <w:t>总价</w:t>
            </w:r>
          </w:p>
        </w:tc>
        <w:tc>
          <w:tcPr>
            <w:tcW w:w="1171"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color w:val="auto"/>
                <w:sz w:val="24"/>
                <w:highlight w:val="none"/>
              </w:rPr>
            </w:pPr>
            <w:r>
              <w:rPr>
                <w:rFonts w:hint="eastAsia" w:ascii="宋体" w:hAnsi="宋体"/>
                <w:color w:val="auto"/>
                <w:sz w:val="24"/>
                <w:highlight w:val="none"/>
              </w:rPr>
              <w:t>合计总价</w:t>
            </w:r>
          </w:p>
        </w:tc>
        <w:tc>
          <w:tcPr>
            <w:tcW w:w="8088" w:type="dxa"/>
            <w:gridSpan w:val="7"/>
            <w:vAlign w:val="center"/>
          </w:tcPr>
          <w:p>
            <w:pPr>
              <w:spacing w:line="360" w:lineRule="auto"/>
              <w:rPr>
                <w:rFonts w:ascii="宋体"/>
                <w:color w:val="auto"/>
                <w:sz w:val="24"/>
                <w:highlight w:val="none"/>
                <w:u w:val="single"/>
              </w:rPr>
            </w:pPr>
            <w:r>
              <w:rPr>
                <w:rFonts w:hint="eastAsia" w:ascii="宋体" w:hAnsi="宋体"/>
                <w:color w:val="auto"/>
                <w:sz w:val="24"/>
                <w:highlight w:val="none"/>
              </w:rPr>
              <w:t>大写：      小写：      元</w:t>
            </w:r>
          </w:p>
        </w:tc>
      </w:tr>
    </w:tbl>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二、合同金额</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2.1 </w:t>
      </w:r>
      <w:r>
        <w:rPr>
          <w:rFonts w:hint="eastAsia" w:hAnsi="宋体"/>
          <w:color w:val="auto"/>
          <w:sz w:val="24"/>
          <w:szCs w:val="24"/>
          <w:highlight w:val="none"/>
        </w:rPr>
        <w:t>本合同金额为（大写）：</w:t>
      </w:r>
      <w:r>
        <w:rPr>
          <w:rFonts w:hAnsi="宋体"/>
          <w:color w:val="auto"/>
          <w:sz w:val="24"/>
          <w:szCs w:val="24"/>
          <w:highlight w:val="none"/>
        </w:rPr>
        <w:t>________________________</w:t>
      </w:r>
      <w:r>
        <w:rPr>
          <w:rFonts w:hint="eastAsia" w:hAnsi="宋体"/>
          <w:color w:val="auto"/>
          <w:sz w:val="24"/>
          <w:szCs w:val="24"/>
          <w:highlight w:val="none"/>
        </w:rPr>
        <w:t>元人民币。</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三、技术资料</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3.1</w:t>
      </w:r>
      <w:r>
        <w:rPr>
          <w:rFonts w:hint="eastAsia" w:hAnsi="宋体"/>
          <w:color w:val="auto"/>
          <w:sz w:val="24"/>
          <w:szCs w:val="24"/>
          <w:highlight w:val="none"/>
        </w:rPr>
        <w:t>乙方应按采购文件规定的时间向甲方提供使用货物的有关技术资料。</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3.2 </w:t>
      </w:r>
      <w:r>
        <w:rPr>
          <w:rFonts w:hint="eastAsia" w:hAnsi="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color w:val="auto"/>
          <w:sz w:val="24"/>
          <w:szCs w:val="24"/>
          <w:highlight w:val="none"/>
        </w:rPr>
      </w:pPr>
      <w:r>
        <w:rPr>
          <w:rFonts w:hint="eastAsia" w:hAnsi="宋体"/>
          <w:b/>
          <w:color w:val="auto"/>
          <w:sz w:val="24"/>
          <w:szCs w:val="24"/>
          <w:highlight w:val="none"/>
        </w:rPr>
        <w:t>四、知识产权</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4.1</w:t>
      </w:r>
      <w:r>
        <w:rPr>
          <w:rFonts w:hint="eastAsia" w:hAnsi="宋体"/>
          <w:color w:val="auto"/>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color w:val="auto"/>
          <w:sz w:val="24"/>
          <w:szCs w:val="24"/>
          <w:highlight w:val="none"/>
          <w:u w:val="single"/>
        </w:rPr>
      </w:pPr>
      <w:r>
        <w:rPr>
          <w:rFonts w:hint="eastAsia" w:hAnsi="宋体"/>
          <w:b/>
          <w:color w:val="auto"/>
          <w:sz w:val="24"/>
          <w:szCs w:val="24"/>
          <w:highlight w:val="none"/>
        </w:rPr>
        <w:t>五、产权担保</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5.1 </w:t>
      </w:r>
      <w:r>
        <w:rPr>
          <w:rFonts w:hint="eastAsia" w:hAnsi="宋体"/>
          <w:color w:val="auto"/>
          <w:sz w:val="24"/>
          <w:szCs w:val="24"/>
          <w:highlight w:val="none"/>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六、履约保证金</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6.1 </w:t>
      </w:r>
      <w:r>
        <w:rPr>
          <w:rFonts w:hint="eastAsia" w:hAnsi="宋体"/>
          <w:color w:val="auto"/>
          <w:sz w:val="24"/>
          <w:szCs w:val="24"/>
          <w:highlight w:val="none"/>
        </w:rPr>
        <w:t>乙方交纳人民币</w:t>
      </w:r>
      <w:r>
        <w:rPr>
          <w:rFonts w:hAnsi="宋体"/>
          <w:color w:val="auto"/>
          <w:sz w:val="24"/>
          <w:szCs w:val="24"/>
          <w:highlight w:val="none"/>
        </w:rPr>
        <w:t>_____</w:t>
      </w:r>
      <w:r>
        <w:rPr>
          <w:rFonts w:hint="eastAsia" w:hAnsi="宋体"/>
          <w:color w:val="auto"/>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color w:val="auto"/>
          <w:sz w:val="24"/>
          <w:highlight w:val="none"/>
        </w:rPr>
      </w:pPr>
      <w:r>
        <w:rPr>
          <w:rFonts w:hint="eastAsia" w:ascii="宋体" w:hAnsi="宋体" w:cs="Courier New"/>
          <w:b/>
          <w:color w:val="auto"/>
          <w:sz w:val="24"/>
          <w:highlight w:val="none"/>
        </w:rPr>
        <w:t>七</w:t>
      </w:r>
      <w:r>
        <w:rPr>
          <w:rFonts w:ascii="宋体" w:cs="Courier New"/>
          <w:b/>
          <w:color w:val="auto"/>
          <w:sz w:val="24"/>
          <w:highlight w:val="none"/>
        </w:rPr>
        <w:t>.</w:t>
      </w:r>
      <w:r>
        <w:rPr>
          <w:rFonts w:hint="eastAsia" w:ascii="宋体" w:hAnsi="宋体" w:cs="Courier New"/>
          <w:b/>
          <w:color w:val="auto"/>
          <w:sz w:val="24"/>
          <w:highlight w:val="none"/>
        </w:rPr>
        <w:t>转包或分包</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7.1</w:t>
      </w:r>
      <w:r>
        <w:rPr>
          <w:rFonts w:hint="eastAsia" w:hAnsi="宋体"/>
          <w:color w:val="auto"/>
          <w:sz w:val="24"/>
          <w:szCs w:val="24"/>
          <w:highlight w:val="none"/>
        </w:rPr>
        <w:t>本合同范围的货物，应由乙方直接供应，不得转让他人供应；</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7.2</w:t>
      </w:r>
      <w:r>
        <w:rPr>
          <w:rFonts w:hint="eastAsia" w:hAnsi="宋体"/>
          <w:color w:val="auto"/>
          <w:sz w:val="24"/>
          <w:szCs w:val="24"/>
          <w:highlight w:val="none"/>
        </w:rPr>
        <w:t>除非得到甲方的书面同意，乙方不得部分分包给他人供应。</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7.3</w:t>
      </w:r>
      <w:r>
        <w:rPr>
          <w:rFonts w:hint="eastAsia" w:hAnsi="宋体"/>
          <w:color w:val="auto"/>
          <w:sz w:val="24"/>
          <w:szCs w:val="24"/>
          <w:highlight w:val="none"/>
        </w:rPr>
        <w:t>如有转让和未经甲方同意的分包行为，甲方有权给予终止合同。</w:t>
      </w:r>
    </w:p>
    <w:p>
      <w:pPr>
        <w:pStyle w:val="10"/>
        <w:adjustRightInd w:val="0"/>
        <w:snapToGrid w:val="0"/>
        <w:spacing w:before="120" w:after="120" w:line="360" w:lineRule="auto"/>
        <w:ind w:firstLine="660"/>
        <w:rPr>
          <w:rFonts w:hAnsi="宋体"/>
          <w:color w:val="auto"/>
          <w:sz w:val="24"/>
          <w:szCs w:val="24"/>
          <w:highlight w:val="none"/>
        </w:rPr>
      </w:pPr>
      <w:r>
        <w:rPr>
          <w:rFonts w:hint="eastAsia" w:hAnsi="宋体"/>
          <w:b/>
          <w:color w:val="auto"/>
          <w:sz w:val="24"/>
          <w:szCs w:val="24"/>
          <w:highlight w:val="none"/>
        </w:rPr>
        <w:t>八、质保期</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8.1</w:t>
      </w:r>
      <w:r>
        <w:rPr>
          <w:rFonts w:hint="eastAsia" w:hAnsi="宋体"/>
          <w:color w:val="auto"/>
          <w:sz w:val="24"/>
          <w:szCs w:val="24"/>
          <w:highlight w:val="none"/>
        </w:rPr>
        <w:t>质保期</w:t>
      </w:r>
      <w:r>
        <w:rPr>
          <w:rFonts w:hAnsi="宋体"/>
          <w:color w:val="auto"/>
          <w:sz w:val="24"/>
          <w:szCs w:val="24"/>
          <w:highlight w:val="none"/>
        </w:rPr>
        <w:t>1</w:t>
      </w:r>
      <w:r>
        <w:rPr>
          <w:rFonts w:hint="eastAsia" w:hAnsi="宋体"/>
          <w:color w:val="auto"/>
          <w:sz w:val="24"/>
          <w:szCs w:val="24"/>
          <w:highlight w:val="none"/>
        </w:rPr>
        <w:t>年。（自交货验收合格之日起计）</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九、交货期、交货方式及交货地点</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9.1 </w:t>
      </w:r>
      <w:r>
        <w:rPr>
          <w:rFonts w:hint="eastAsia" w:hAnsi="宋体"/>
          <w:color w:val="auto"/>
          <w:sz w:val="24"/>
          <w:szCs w:val="24"/>
          <w:highlight w:val="none"/>
        </w:rPr>
        <w:t>交货期：</w:t>
      </w:r>
      <w:r>
        <w:rPr>
          <w:rFonts w:hAnsi="宋体"/>
          <w:color w:val="auto"/>
          <w:sz w:val="24"/>
          <w:szCs w:val="24"/>
          <w:highlight w:val="none"/>
        </w:rPr>
        <w:t>_________</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9.2 </w:t>
      </w:r>
      <w:r>
        <w:rPr>
          <w:rFonts w:hint="eastAsia" w:hAnsi="宋体"/>
          <w:color w:val="auto"/>
          <w:sz w:val="24"/>
          <w:szCs w:val="24"/>
          <w:highlight w:val="none"/>
        </w:rPr>
        <w:t>交货方式：</w:t>
      </w:r>
      <w:r>
        <w:rPr>
          <w:rFonts w:hAnsi="宋体"/>
          <w:color w:val="auto"/>
          <w:sz w:val="24"/>
          <w:szCs w:val="24"/>
          <w:highlight w:val="none"/>
        </w:rPr>
        <w:t>_________</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9.3 </w:t>
      </w:r>
      <w:r>
        <w:rPr>
          <w:rFonts w:hint="eastAsia" w:hAnsi="宋体"/>
          <w:color w:val="auto"/>
          <w:sz w:val="24"/>
          <w:szCs w:val="24"/>
          <w:highlight w:val="none"/>
        </w:rPr>
        <w:t>交货地点：用户单位地点或用户指定地点。</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十、货款支付</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10.1</w:t>
      </w:r>
      <w:r>
        <w:rPr>
          <w:rFonts w:hint="eastAsia" w:hAnsi="宋体"/>
          <w:color w:val="auto"/>
          <w:sz w:val="24"/>
          <w:szCs w:val="24"/>
          <w:highlight w:val="none"/>
        </w:rPr>
        <w:t>付款方式：针对国内供应货物，签订合同后，20日内预付合同金额的30%，全部货物交货并最终验收合格后，凭验收凭证和货物验收合格等文件20内支付至合同金额的100%，质量保证金质保期满后，</w:t>
      </w:r>
      <w:r>
        <w:rPr>
          <w:rFonts w:hAnsi="宋体"/>
          <w:color w:val="auto"/>
          <w:sz w:val="24"/>
          <w:szCs w:val="24"/>
          <w:highlight w:val="none"/>
        </w:rPr>
        <w:t>经有关单位确认无质量问题后，一次性</w:t>
      </w:r>
      <w:r>
        <w:rPr>
          <w:rFonts w:hint="eastAsia" w:hAnsi="宋体"/>
          <w:color w:val="auto"/>
          <w:sz w:val="24"/>
          <w:szCs w:val="24"/>
          <w:highlight w:val="none"/>
        </w:rPr>
        <w:t>无息付清</w:t>
      </w:r>
      <w:r>
        <w:rPr>
          <w:rFonts w:hAnsi="宋体"/>
          <w:color w:val="auto"/>
          <w:sz w:val="24"/>
          <w:szCs w:val="24"/>
          <w:highlight w:val="none"/>
        </w:rPr>
        <w:t>。具体内容以最终签署的合同约定为准。</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color w:val="auto"/>
          <w:sz w:val="24"/>
          <w:highlight w:val="none"/>
        </w:rPr>
      </w:pPr>
      <w:r>
        <w:rPr>
          <w:rFonts w:hint="eastAsia" w:ascii="宋体" w:hAnsi="宋体"/>
          <w:b/>
          <w:color w:val="auto"/>
          <w:sz w:val="24"/>
          <w:highlight w:val="none"/>
        </w:rPr>
        <w:t>十一、税</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11.1</w:t>
      </w:r>
      <w:r>
        <w:rPr>
          <w:rFonts w:hint="eastAsia" w:hAnsi="宋体"/>
          <w:color w:val="auto"/>
          <w:sz w:val="24"/>
          <w:szCs w:val="24"/>
          <w:highlight w:val="none"/>
        </w:rPr>
        <w:t>发票要求：针对国内供货的货物，乙方开具合同全额“增值税专用发票”。</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11.2</w:t>
      </w:r>
      <w:r>
        <w:rPr>
          <w:rFonts w:hint="eastAsia" w:hAnsi="宋体"/>
          <w:color w:val="auto"/>
          <w:sz w:val="24"/>
          <w:szCs w:val="24"/>
          <w:highlight w:val="none"/>
        </w:rPr>
        <w:t>本合同执行中相关的一切税费均由乙方负担。</w:t>
      </w:r>
    </w:p>
    <w:p>
      <w:pPr>
        <w:pStyle w:val="10"/>
        <w:adjustRightInd w:val="0"/>
        <w:snapToGrid w:val="0"/>
        <w:spacing w:before="120" w:after="120" w:line="360" w:lineRule="auto"/>
        <w:ind w:left="1" w:firstLine="660"/>
        <w:rPr>
          <w:rFonts w:hAnsi="宋体"/>
          <w:color w:val="auto"/>
          <w:sz w:val="24"/>
          <w:szCs w:val="24"/>
          <w:highlight w:val="none"/>
        </w:rPr>
      </w:pPr>
      <w:r>
        <w:rPr>
          <w:rFonts w:hint="eastAsia" w:hAnsi="宋体"/>
          <w:b/>
          <w:color w:val="auto"/>
          <w:sz w:val="24"/>
          <w:szCs w:val="24"/>
          <w:highlight w:val="none"/>
        </w:rPr>
        <w:t>十二、质量保证及售后服务</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12.1 </w:t>
      </w:r>
      <w:r>
        <w:rPr>
          <w:rFonts w:hint="eastAsia" w:hAnsi="宋体"/>
          <w:color w:val="auto"/>
          <w:sz w:val="24"/>
          <w:szCs w:val="24"/>
          <w:highlight w:val="none"/>
        </w:rPr>
        <w:t>乙方应按采购文件规定的货物性能、技术要求、质量标准向甲方提供未经使用的全新产品。针对国外供应货物（进口货物），乙方须提供原产地证明。</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12.2 </w:t>
      </w:r>
      <w:r>
        <w:rPr>
          <w:rFonts w:hint="eastAsia" w:hAnsi="宋体"/>
          <w:color w:val="auto"/>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）更换：由乙方承担所发生的全部费用。</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）贬值处理：由甲乙双方合议定价。</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12.3 </w:t>
      </w:r>
      <w:r>
        <w:rPr>
          <w:rFonts w:hint="eastAsia" w:hAnsi="宋体"/>
          <w:color w:val="auto"/>
          <w:sz w:val="24"/>
          <w:szCs w:val="24"/>
          <w:highlight w:val="none"/>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12.4 </w:t>
      </w:r>
      <w:r>
        <w:rPr>
          <w:rFonts w:hint="eastAsia" w:hAnsi="宋体"/>
          <w:color w:val="auto"/>
          <w:sz w:val="24"/>
          <w:szCs w:val="24"/>
          <w:highlight w:val="none"/>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12.5</w:t>
      </w:r>
      <w:r>
        <w:rPr>
          <w:rFonts w:hint="eastAsia" w:hAnsi="宋体"/>
          <w:color w:val="auto"/>
          <w:sz w:val="24"/>
          <w:szCs w:val="24"/>
          <w:highlight w:val="none"/>
        </w:rPr>
        <w:t>上述的货物免费保修期为</w:t>
      </w:r>
      <w:r>
        <w:rPr>
          <w:rFonts w:hint="eastAsia" w:hAnsi="宋体"/>
          <w:color w:val="auto"/>
          <w:sz w:val="24"/>
          <w:szCs w:val="24"/>
          <w:highlight w:val="none"/>
          <w:u w:val="single"/>
        </w:rPr>
        <w:t xml:space="preserve">   </w:t>
      </w:r>
      <w:r>
        <w:rPr>
          <w:rFonts w:hint="eastAsia" w:hAnsi="宋体"/>
          <w:color w:val="auto"/>
          <w:sz w:val="24"/>
          <w:szCs w:val="24"/>
          <w:highlight w:val="none"/>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十三、调试和验收</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13.1 </w:t>
      </w:r>
      <w:r>
        <w:rPr>
          <w:rFonts w:hint="eastAsia" w:hAnsi="宋体"/>
          <w:color w:val="auto"/>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13.2 </w:t>
      </w:r>
      <w:r>
        <w:rPr>
          <w:rFonts w:hint="eastAsia" w:hAnsi="宋体"/>
          <w:color w:val="auto"/>
          <w:sz w:val="24"/>
          <w:szCs w:val="24"/>
          <w:highlight w:val="none"/>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13.3 </w:t>
      </w:r>
      <w:r>
        <w:rPr>
          <w:rFonts w:hint="eastAsia" w:hAnsi="宋体"/>
          <w:color w:val="auto"/>
          <w:sz w:val="24"/>
          <w:szCs w:val="24"/>
          <w:highlight w:val="none"/>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13.4 </w:t>
      </w:r>
      <w:r>
        <w:rPr>
          <w:rFonts w:hint="eastAsia" w:hAnsi="宋体"/>
          <w:color w:val="auto"/>
          <w:sz w:val="24"/>
          <w:szCs w:val="24"/>
          <w:highlight w:val="none"/>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13.5 </w:t>
      </w:r>
      <w:r>
        <w:rPr>
          <w:rFonts w:hint="eastAsia" w:hAnsi="宋体"/>
          <w:color w:val="auto"/>
          <w:sz w:val="24"/>
          <w:szCs w:val="24"/>
          <w:highlight w:val="none"/>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十四、货物包装、发运及运输</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14.1 </w:t>
      </w:r>
      <w:r>
        <w:rPr>
          <w:rFonts w:hint="eastAsia" w:hAnsi="宋体"/>
          <w:color w:val="auto"/>
          <w:sz w:val="24"/>
          <w:szCs w:val="24"/>
          <w:highlight w:val="none"/>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14.2 </w:t>
      </w:r>
      <w:r>
        <w:rPr>
          <w:rFonts w:hint="eastAsia" w:hAnsi="宋体"/>
          <w:color w:val="auto"/>
          <w:sz w:val="24"/>
          <w:szCs w:val="24"/>
          <w:highlight w:val="none"/>
        </w:rPr>
        <w:t>使用说明书、质量检验证明书、随配附件和工具以及清单一并附于货物内。</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14.3 </w:t>
      </w:r>
      <w:r>
        <w:rPr>
          <w:rFonts w:hint="eastAsia" w:hAnsi="宋体"/>
          <w:color w:val="auto"/>
          <w:sz w:val="24"/>
          <w:szCs w:val="24"/>
          <w:highlight w:val="none"/>
        </w:rPr>
        <w:t>乙方在货物发运手续办理完毕后</w:t>
      </w:r>
      <w:r>
        <w:rPr>
          <w:rFonts w:hAnsi="宋体"/>
          <w:color w:val="auto"/>
          <w:sz w:val="24"/>
          <w:szCs w:val="24"/>
          <w:highlight w:val="none"/>
        </w:rPr>
        <w:t>24</w:t>
      </w:r>
      <w:r>
        <w:rPr>
          <w:rFonts w:hint="eastAsia" w:hAnsi="宋体"/>
          <w:color w:val="auto"/>
          <w:sz w:val="24"/>
          <w:szCs w:val="24"/>
          <w:highlight w:val="none"/>
        </w:rPr>
        <w:t>小时内或货到甲方</w:t>
      </w:r>
      <w:r>
        <w:rPr>
          <w:rFonts w:hAnsi="宋体"/>
          <w:color w:val="auto"/>
          <w:sz w:val="24"/>
          <w:szCs w:val="24"/>
          <w:highlight w:val="none"/>
        </w:rPr>
        <w:t>48</w:t>
      </w:r>
      <w:r>
        <w:rPr>
          <w:rFonts w:hint="eastAsia" w:hAnsi="宋体"/>
          <w:color w:val="auto"/>
          <w:sz w:val="24"/>
          <w:szCs w:val="24"/>
          <w:highlight w:val="none"/>
        </w:rPr>
        <w:t>小时前通知甲方，以准备接货。</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14.4 </w:t>
      </w:r>
      <w:r>
        <w:rPr>
          <w:rFonts w:hint="eastAsia" w:hAnsi="宋体"/>
          <w:color w:val="auto"/>
          <w:sz w:val="24"/>
          <w:szCs w:val="24"/>
          <w:highlight w:val="none"/>
        </w:rPr>
        <w:t>货物在交付甲方前发生的风险均由乙方负责。</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14.5 </w:t>
      </w:r>
      <w:r>
        <w:rPr>
          <w:rFonts w:hint="eastAsia" w:hAnsi="宋体"/>
          <w:color w:val="auto"/>
          <w:sz w:val="24"/>
          <w:szCs w:val="24"/>
          <w:highlight w:val="none"/>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十五、违约责任</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15.1</w:t>
      </w:r>
      <w:r>
        <w:rPr>
          <w:rFonts w:hint="eastAsia" w:hAnsi="宋体"/>
          <w:color w:val="auto"/>
          <w:sz w:val="24"/>
          <w:szCs w:val="24"/>
          <w:highlight w:val="none"/>
        </w:rPr>
        <w:t>乙方逾期交付货物的，乙方应按逾期交货总额每日千分之六向甲方支付违约金，由甲方从待付货款中扣除。逾期超过约定日期</w:t>
      </w:r>
      <w:r>
        <w:rPr>
          <w:rFonts w:hAnsi="宋体"/>
          <w:color w:val="auto"/>
          <w:sz w:val="24"/>
          <w:szCs w:val="24"/>
          <w:highlight w:val="none"/>
        </w:rPr>
        <w:t>10</w:t>
      </w:r>
      <w:r>
        <w:rPr>
          <w:rFonts w:hint="eastAsia" w:hAnsi="宋体"/>
          <w:color w:val="auto"/>
          <w:sz w:val="24"/>
          <w:szCs w:val="24"/>
          <w:highlight w:val="none"/>
        </w:rPr>
        <w:t>个工作日不能交货的，甲方可解除本合同。乙方因逾期交货或因其他违约行为导致甲方解除合同的，乙方应向甲方支付合同总值</w:t>
      </w:r>
      <w:r>
        <w:rPr>
          <w:rFonts w:hAnsi="宋体"/>
          <w:color w:val="auto"/>
          <w:sz w:val="24"/>
          <w:szCs w:val="24"/>
          <w:highlight w:val="none"/>
        </w:rPr>
        <w:t>5%</w:t>
      </w:r>
      <w:r>
        <w:rPr>
          <w:rFonts w:hint="eastAsia" w:hAnsi="宋体"/>
          <w:color w:val="auto"/>
          <w:sz w:val="24"/>
          <w:szCs w:val="24"/>
          <w:highlight w:val="none"/>
        </w:rPr>
        <w:t>的违约金，如造成甲方损失超过违约金的，超出部分由乙方继续承担赔偿责任。</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15.2</w:t>
      </w:r>
      <w:r>
        <w:rPr>
          <w:rFonts w:hint="eastAsia" w:hAnsi="宋体"/>
          <w:color w:val="auto"/>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十六、廉政条款</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16.1</w:t>
      </w:r>
      <w:r>
        <w:rPr>
          <w:rFonts w:hint="eastAsia" w:hAnsi="宋体"/>
          <w:color w:val="auto"/>
          <w:sz w:val="24"/>
          <w:szCs w:val="24"/>
          <w:highlight w:val="none"/>
        </w:rPr>
        <w:t>乙方必须支持甲方的廉政建设，不得向甲方相关人员提供金钱和物质上的好处，一经发现处以合同金额</w:t>
      </w:r>
      <w:r>
        <w:rPr>
          <w:rFonts w:hAnsi="宋体"/>
          <w:color w:val="auto"/>
          <w:sz w:val="24"/>
          <w:szCs w:val="24"/>
          <w:highlight w:val="none"/>
        </w:rPr>
        <w:t>20%</w:t>
      </w:r>
      <w:r>
        <w:rPr>
          <w:rFonts w:hint="eastAsia" w:hAnsi="宋体"/>
          <w:color w:val="auto"/>
          <w:sz w:val="24"/>
          <w:szCs w:val="24"/>
          <w:highlight w:val="none"/>
        </w:rPr>
        <w:t>的罚款。</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十七、不可抗力事件处理</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17.1 </w:t>
      </w:r>
      <w:r>
        <w:rPr>
          <w:rFonts w:hint="eastAsia" w:hAnsi="宋体"/>
          <w:color w:val="auto"/>
          <w:sz w:val="24"/>
          <w:szCs w:val="24"/>
          <w:highlight w:val="none"/>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17.2 </w:t>
      </w:r>
      <w:r>
        <w:rPr>
          <w:rFonts w:hint="eastAsia" w:hAnsi="宋体"/>
          <w:color w:val="auto"/>
          <w:sz w:val="24"/>
          <w:szCs w:val="24"/>
          <w:highlight w:val="none"/>
        </w:rPr>
        <w:t>不可抗力事件发生后，应立即通知对方，并寄送有关权威机构出具的证明。</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17.3 </w:t>
      </w:r>
      <w:r>
        <w:rPr>
          <w:rFonts w:hint="eastAsia" w:hAnsi="宋体"/>
          <w:color w:val="auto"/>
          <w:sz w:val="24"/>
          <w:szCs w:val="24"/>
          <w:highlight w:val="none"/>
        </w:rPr>
        <w:t>不可抗力事件延续</w:t>
      </w:r>
      <w:r>
        <w:rPr>
          <w:rFonts w:hAnsi="宋体"/>
          <w:color w:val="auto"/>
          <w:sz w:val="24"/>
          <w:szCs w:val="24"/>
          <w:highlight w:val="none"/>
        </w:rPr>
        <w:t>30</w:t>
      </w:r>
      <w:r>
        <w:rPr>
          <w:rFonts w:hint="eastAsia" w:hAnsi="宋体"/>
          <w:color w:val="auto"/>
          <w:sz w:val="24"/>
          <w:szCs w:val="24"/>
          <w:highlight w:val="none"/>
        </w:rPr>
        <w:t>天以上，双方应通过友好协商，确定是否继续履行合同。</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十八、诉讼</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18.1 </w:t>
      </w:r>
      <w:r>
        <w:rPr>
          <w:rFonts w:hint="eastAsia" w:hAnsi="宋体"/>
          <w:color w:val="auto"/>
          <w:sz w:val="24"/>
          <w:szCs w:val="24"/>
          <w:highlight w:val="none"/>
        </w:rPr>
        <w:t>双方在执行合同中所发生的一切争议，应通过协商解决。如协商不成，可向合同签订地法院起诉，合同签订地在此约定为南京市。如因合同履行发生纠纷，适用中国法律。</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十九、合同文件的优先顺序</w:t>
      </w:r>
      <w:r>
        <w:rPr>
          <w:rFonts w:hint="eastAsia" w:hAnsi="宋体"/>
          <w:color w:val="auto"/>
          <w:sz w:val="24"/>
          <w:szCs w:val="24"/>
          <w:highlight w:val="none"/>
        </w:rPr>
        <w:t xml:space="preserve"> </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（1）合同协议书； </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（2）中标通知书；</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（3）招标文件；</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（4）投标函及其附录（如果有）；</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（5）专用合同条款及其附件；</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（6）通用合同条款； </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（7）技术标准和要求；</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（8）其他合同文件。</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二十、合同生效及其它</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19.1 </w:t>
      </w:r>
      <w:r>
        <w:rPr>
          <w:rFonts w:hint="eastAsia" w:hAnsi="宋体"/>
          <w:color w:val="auto"/>
          <w:sz w:val="24"/>
          <w:szCs w:val="24"/>
          <w:highlight w:val="none"/>
        </w:rPr>
        <w:t>合同经双方法定代表人或授权委托代表人签字并加盖单位公章后生效。</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19.2</w:t>
      </w:r>
      <w:r>
        <w:rPr>
          <w:rFonts w:hint="eastAsia" w:hAnsi="宋体"/>
          <w:color w:val="auto"/>
          <w:sz w:val="24"/>
          <w:szCs w:val="24"/>
          <w:highlight w:val="none"/>
        </w:rPr>
        <w:t>本合同未尽事宜，遵照《合同法》有关条文执行。</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19.3 </w:t>
      </w:r>
      <w:r>
        <w:rPr>
          <w:rFonts w:hint="eastAsia" w:hAnsi="宋体"/>
          <w:color w:val="auto"/>
          <w:sz w:val="24"/>
          <w:szCs w:val="24"/>
          <w:highlight w:val="none"/>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color w:val="auto"/>
          <w:sz w:val="24"/>
          <w:szCs w:val="24"/>
          <w:highlight w:val="none"/>
        </w:rPr>
      </w:pPr>
      <w:r>
        <w:rPr>
          <w:rFonts w:hint="eastAsia" w:hAnsi="宋体"/>
          <w:color w:val="auto"/>
          <w:sz w:val="24"/>
          <w:szCs w:val="24"/>
          <w:highlight w:val="none"/>
        </w:rPr>
        <w:t>甲方：乙方：</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地址：地址：</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法定代表人或授权代表：</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项目负责人</w:t>
      </w:r>
      <w:r>
        <w:rPr>
          <w:rFonts w:hAnsi="宋体"/>
          <w:color w:val="auto"/>
          <w:sz w:val="24"/>
          <w:szCs w:val="24"/>
          <w:highlight w:val="none"/>
        </w:rPr>
        <w:t xml:space="preserve">:                              </w:t>
      </w:r>
      <w:r>
        <w:rPr>
          <w:rFonts w:hint="eastAsia" w:hAnsi="宋体"/>
          <w:color w:val="auto"/>
          <w:sz w:val="24"/>
          <w:szCs w:val="24"/>
          <w:highlight w:val="none"/>
        </w:rPr>
        <w:t>法定代表人或授权代表：</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项目联系人</w:t>
      </w:r>
      <w:r>
        <w:rPr>
          <w:rFonts w:hAnsi="宋体"/>
          <w:color w:val="auto"/>
          <w:sz w:val="24"/>
          <w:szCs w:val="24"/>
          <w:highlight w:val="none"/>
        </w:rPr>
        <w:t>:</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联系电话：联系电话：</w:t>
      </w:r>
    </w:p>
    <w:p>
      <w:pPr>
        <w:pStyle w:val="10"/>
        <w:adjustRightInd w:val="0"/>
        <w:snapToGrid w:val="0"/>
        <w:spacing w:before="120" w:after="120" w:line="360" w:lineRule="auto"/>
        <w:ind w:firstLine="767"/>
        <w:rPr>
          <w:rFonts w:cs="仿宋"/>
          <w:color w:val="auto"/>
          <w:sz w:val="24"/>
          <w:highlight w:val="none"/>
        </w:rPr>
      </w:pPr>
      <w:r>
        <w:rPr>
          <w:rFonts w:hint="eastAsia"/>
          <w:color w:val="auto"/>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微软雅黑"/>
    <w:panose1 w:val="00000000000000000000"/>
    <w:charset w:val="86"/>
    <w:family w:val="swiss"/>
    <w:pitch w:val="default"/>
    <w:sig w:usb0="00000000" w:usb1="00000000" w:usb2="00000010" w:usb3="00000000" w:csb0="00040000" w:csb1="00000000"/>
  </w:font>
  <w:font w:name="Open Sans Light">
    <w:altName w:val="Arial Unicode MS"/>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19</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22</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2年招标文件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mMTlkYWQ1MDQxY2M5NTRlNzE5NDZkZmRiZWE0ZjEifQ=="/>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01"/>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2F12"/>
    <w:rsid w:val="00153196"/>
    <w:rsid w:val="0015430F"/>
    <w:rsid w:val="001559FB"/>
    <w:rsid w:val="0016003D"/>
    <w:rsid w:val="0016077E"/>
    <w:rsid w:val="0016145E"/>
    <w:rsid w:val="00162137"/>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063"/>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4BA3"/>
    <w:rsid w:val="001D6CCD"/>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1F13"/>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62"/>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1A90"/>
    <w:rsid w:val="00372A01"/>
    <w:rsid w:val="00372D67"/>
    <w:rsid w:val="00373E38"/>
    <w:rsid w:val="003746B8"/>
    <w:rsid w:val="00376287"/>
    <w:rsid w:val="00377164"/>
    <w:rsid w:val="0038309B"/>
    <w:rsid w:val="00383BCB"/>
    <w:rsid w:val="00384882"/>
    <w:rsid w:val="003848DA"/>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5CD"/>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5DA"/>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5DD7"/>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6FDE"/>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C9"/>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0576"/>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5782C"/>
    <w:rsid w:val="007605A9"/>
    <w:rsid w:val="0076167D"/>
    <w:rsid w:val="0076289B"/>
    <w:rsid w:val="00762912"/>
    <w:rsid w:val="00763E0D"/>
    <w:rsid w:val="0076475D"/>
    <w:rsid w:val="007649AC"/>
    <w:rsid w:val="00766EBB"/>
    <w:rsid w:val="007722FA"/>
    <w:rsid w:val="00772300"/>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173B"/>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0ECB"/>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0582"/>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0A3"/>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8F2"/>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3C9C"/>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0F6C"/>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7633D"/>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C5E"/>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772AB"/>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488A"/>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27FC9"/>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0EDF"/>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8204A8"/>
    <w:rsid w:val="036159EE"/>
    <w:rsid w:val="05B517B2"/>
    <w:rsid w:val="0666393D"/>
    <w:rsid w:val="072D44C0"/>
    <w:rsid w:val="078D73D6"/>
    <w:rsid w:val="07D33D16"/>
    <w:rsid w:val="08C1459D"/>
    <w:rsid w:val="09637941"/>
    <w:rsid w:val="0B675B31"/>
    <w:rsid w:val="0BDF51D7"/>
    <w:rsid w:val="0C3615C8"/>
    <w:rsid w:val="0C4861BD"/>
    <w:rsid w:val="0C7E7AA1"/>
    <w:rsid w:val="0CFE3A2E"/>
    <w:rsid w:val="0D873213"/>
    <w:rsid w:val="0D9425DE"/>
    <w:rsid w:val="0D99361C"/>
    <w:rsid w:val="0E296A0E"/>
    <w:rsid w:val="107D340A"/>
    <w:rsid w:val="10EB4170"/>
    <w:rsid w:val="10F05838"/>
    <w:rsid w:val="113C24CA"/>
    <w:rsid w:val="115B1783"/>
    <w:rsid w:val="119D0D41"/>
    <w:rsid w:val="11D57EAE"/>
    <w:rsid w:val="12162C3B"/>
    <w:rsid w:val="12F417B0"/>
    <w:rsid w:val="130F1D58"/>
    <w:rsid w:val="145263CB"/>
    <w:rsid w:val="146723C1"/>
    <w:rsid w:val="14896182"/>
    <w:rsid w:val="155010AB"/>
    <w:rsid w:val="15572C10"/>
    <w:rsid w:val="15737A45"/>
    <w:rsid w:val="1584594C"/>
    <w:rsid w:val="15907301"/>
    <w:rsid w:val="15A069B5"/>
    <w:rsid w:val="15A90346"/>
    <w:rsid w:val="15B24E31"/>
    <w:rsid w:val="15BD1BCA"/>
    <w:rsid w:val="16AA09BD"/>
    <w:rsid w:val="17652C65"/>
    <w:rsid w:val="17833DE3"/>
    <w:rsid w:val="195868A0"/>
    <w:rsid w:val="19775424"/>
    <w:rsid w:val="1A241EC0"/>
    <w:rsid w:val="1AE96A89"/>
    <w:rsid w:val="1C121D57"/>
    <w:rsid w:val="1C4A137C"/>
    <w:rsid w:val="1C8F1DE9"/>
    <w:rsid w:val="1DA871CA"/>
    <w:rsid w:val="1F11313D"/>
    <w:rsid w:val="1F956998"/>
    <w:rsid w:val="1FA31BDA"/>
    <w:rsid w:val="20DC5C02"/>
    <w:rsid w:val="20DE7ECC"/>
    <w:rsid w:val="20FE711F"/>
    <w:rsid w:val="21241474"/>
    <w:rsid w:val="21A70E96"/>
    <w:rsid w:val="22154312"/>
    <w:rsid w:val="225E4DAF"/>
    <w:rsid w:val="22891E2D"/>
    <w:rsid w:val="22A743B8"/>
    <w:rsid w:val="22D33607"/>
    <w:rsid w:val="23FD2509"/>
    <w:rsid w:val="243943F8"/>
    <w:rsid w:val="24E05430"/>
    <w:rsid w:val="25D8080A"/>
    <w:rsid w:val="267A7579"/>
    <w:rsid w:val="272231F7"/>
    <w:rsid w:val="27961F1E"/>
    <w:rsid w:val="27AD7C03"/>
    <w:rsid w:val="28C46277"/>
    <w:rsid w:val="29062B05"/>
    <w:rsid w:val="29127A38"/>
    <w:rsid w:val="2AAA7342"/>
    <w:rsid w:val="2AB43BC5"/>
    <w:rsid w:val="2B556F15"/>
    <w:rsid w:val="2B7F4BC3"/>
    <w:rsid w:val="2CE81BAF"/>
    <w:rsid w:val="2D1934AC"/>
    <w:rsid w:val="2DAC05D8"/>
    <w:rsid w:val="2DE728EA"/>
    <w:rsid w:val="2E726843"/>
    <w:rsid w:val="2E8B11F1"/>
    <w:rsid w:val="2EDC02FF"/>
    <w:rsid w:val="2EE87C86"/>
    <w:rsid w:val="2EEC5388"/>
    <w:rsid w:val="2FDC0137"/>
    <w:rsid w:val="3172033E"/>
    <w:rsid w:val="3227588C"/>
    <w:rsid w:val="325F6558"/>
    <w:rsid w:val="331653E5"/>
    <w:rsid w:val="33923E0B"/>
    <w:rsid w:val="341C30A3"/>
    <w:rsid w:val="351529A9"/>
    <w:rsid w:val="355A74E9"/>
    <w:rsid w:val="35FD1F7A"/>
    <w:rsid w:val="36616918"/>
    <w:rsid w:val="366D672C"/>
    <w:rsid w:val="3676129B"/>
    <w:rsid w:val="36E3150F"/>
    <w:rsid w:val="3836614A"/>
    <w:rsid w:val="384A4707"/>
    <w:rsid w:val="385D644E"/>
    <w:rsid w:val="38F33167"/>
    <w:rsid w:val="39C83C69"/>
    <w:rsid w:val="39CE5E1D"/>
    <w:rsid w:val="3A9701E9"/>
    <w:rsid w:val="3B4244C5"/>
    <w:rsid w:val="3C003247"/>
    <w:rsid w:val="3C05546D"/>
    <w:rsid w:val="3C8E6F2D"/>
    <w:rsid w:val="3D6145DC"/>
    <w:rsid w:val="3DD11BDD"/>
    <w:rsid w:val="3E495BEB"/>
    <w:rsid w:val="3E5E0082"/>
    <w:rsid w:val="3EDB4EA4"/>
    <w:rsid w:val="3F9F3463"/>
    <w:rsid w:val="3FC31914"/>
    <w:rsid w:val="405D6728"/>
    <w:rsid w:val="40FD6FDA"/>
    <w:rsid w:val="41110191"/>
    <w:rsid w:val="414A37BB"/>
    <w:rsid w:val="41B45A04"/>
    <w:rsid w:val="42643A73"/>
    <w:rsid w:val="42AA1012"/>
    <w:rsid w:val="43FB66E3"/>
    <w:rsid w:val="44C844E4"/>
    <w:rsid w:val="44DC7F4B"/>
    <w:rsid w:val="45651876"/>
    <w:rsid w:val="45CC523B"/>
    <w:rsid w:val="466F6CEB"/>
    <w:rsid w:val="46AA377D"/>
    <w:rsid w:val="49363676"/>
    <w:rsid w:val="49713AA7"/>
    <w:rsid w:val="499A2688"/>
    <w:rsid w:val="49D47D5A"/>
    <w:rsid w:val="49F62026"/>
    <w:rsid w:val="4A4B48E3"/>
    <w:rsid w:val="4B1A7369"/>
    <w:rsid w:val="4B5137BF"/>
    <w:rsid w:val="4D774E55"/>
    <w:rsid w:val="4DA86B45"/>
    <w:rsid w:val="4E3720DD"/>
    <w:rsid w:val="4F510F39"/>
    <w:rsid w:val="4FAF38AA"/>
    <w:rsid w:val="51497070"/>
    <w:rsid w:val="51E025FE"/>
    <w:rsid w:val="52922F88"/>
    <w:rsid w:val="52AA4A52"/>
    <w:rsid w:val="52FD675A"/>
    <w:rsid w:val="532B7AD5"/>
    <w:rsid w:val="53D80FA7"/>
    <w:rsid w:val="542D758B"/>
    <w:rsid w:val="5448002A"/>
    <w:rsid w:val="5473349C"/>
    <w:rsid w:val="549E05E7"/>
    <w:rsid w:val="54A3797A"/>
    <w:rsid w:val="54B6223B"/>
    <w:rsid w:val="54E15A0F"/>
    <w:rsid w:val="55344B23"/>
    <w:rsid w:val="56732DC5"/>
    <w:rsid w:val="56877A5F"/>
    <w:rsid w:val="56C21B98"/>
    <w:rsid w:val="57360F05"/>
    <w:rsid w:val="57E17663"/>
    <w:rsid w:val="581F495D"/>
    <w:rsid w:val="58484116"/>
    <w:rsid w:val="58DA78C0"/>
    <w:rsid w:val="58E017CC"/>
    <w:rsid w:val="5A770570"/>
    <w:rsid w:val="5AC859BF"/>
    <w:rsid w:val="5B4C17F1"/>
    <w:rsid w:val="5B900C61"/>
    <w:rsid w:val="5C0F2072"/>
    <w:rsid w:val="5CFC1D50"/>
    <w:rsid w:val="5E6C25B6"/>
    <w:rsid w:val="5E84123F"/>
    <w:rsid w:val="5F0028BB"/>
    <w:rsid w:val="5F2528F6"/>
    <w:rsid w:val="5F9764C2"/>
    <w:rsid w:val="603300A7"/>
    <w:rsid w:val="607E0927"/>
    <w:rsid w:val="60D968DA"/>
    <w:rsid w:val="60F41422"/>
    <w:rsid w:val="619D5BCC"/>
    <w:rsid w:val="62107539"/>
    <w:rsid w:val="6233128F"/>
    <w:rsid w:val="62635DDC"/>
    <w:rsid w:val="627A5C1C"/>
    <w:rsid w:val="62FE3555"/>
    <w:rsid w:val="63D7368B"/>
    <w:rsid w:val="63EA24F1"/>
    <w:rsid w:val="657A0549"/>
    <w:rsid w:val="665A104A"/>
    <w:rsid w:val="66E173DB"/>
    <w:rsid w:val="66ED444E"/>
    <w:rsid w:val="67341E78"/>
    <w:rsid w:val="67484273"/>
    <w:rsid w:val="68A603CF"/>
    <w:rsid w:val="69D32689"/>
    <w:rsid w:val="69E27B06"/>
    <w:rsid w:val="69EA623B"/>
    <w:rsid w:val="6A0F3694"/>
    <w:rsid w:val="6A5445FC"/>
    <w:rsid w:val="6A5C1E75"/>
    <w:rsid w:val="6AB76CFB"/>
    <w:rsid w:val="6ABA08C1"/>
    <w:rsid w:val="6BC1702A"/>
    <w:rsid w:val="6C282248"/>
    <w:rsid w:val="6CBD55AC"/>
    <w:rsid w:val="6DE636A7"/>
    <w:rsid w:val="6DE86594"/>
    <w:rsid w:val="6E5C2511"/>
    <w:rsid w:val="6FD44DCB"/>
    <w:rsid w:val="718764FD"/>
    <w:rsid w:val="725831A5"/>
    <w:rsid w:val="73607DE9"/>
    <w:rsid w:val="73711235"/>
    <w:rsid w:val="753E278B"/>
    <w:rsid w:val="75BE6EB5"/>
    <w:rsid w:val="7815375E"/>
    <w:rsid w:val="78C20502"/>
    <w:rsid w:val="790D6252"/>
    <w:rsid w:val="79E738F6"/>
    <w:rsid w:val="7AE40810"/>
    <w:rsid w:val="7B0749C7"/>
    <w:rsid w:val="7B2C5DE4"/>
    <w:rsid w:val="7BBB6C68"/>
    <w:rsid w:val="7C574749"/>
    <w:rsid w:val="7C8E2CF6"/>
    <w:rsid w:val="7C967B8B"/>
    <w:rsid w:val="7CD015B7"/>
    <w:rsid w:val="7E4931C0"/>
    <w:rsid w:val="7E7248EE"/>
    <w:rsid w:val="7EEF6C2A"/>
    <w:rsid w:val="7F074C20"/>
    <w:rsid w:val="7F363A3A"/>
    <w:rsid w:val="7FDF1E58"/>
    <w:rsid w:val="CFE2BFA3"/>
    <w:rsid w:val="DEA9E635"/>
    <w:rsid w:val="F6F617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pPr>
  </w:style>
  <w:style w:type="paragraph" w:styleId="5">
    <w:name w:val="annotation text"/>
    <w:basedOn w:val="1"/>
    <w:link w:val="25"/>
    <w:qFormat/>
    <w:uiPriority w:val="99"/>
    <w:pPr>
      <w:jc w:val="left"/>
    </w:pPr>
    <w:rPr>
      <w:sz w:val="24"/>
      <w:szCs w:val="20"/>
    </w:rPr>
  </w:style>
  <w:style w:type="paragraph" w:styleId="6">
    <w:name w:val="Body Text"/>
    <w:basedOn w:val="1"/>
    <w:link w:val="43"/>
    <w:unhideWhenUsed/>
    <w:qFormat/>
    <w:locked/>
    <w:uiPriority w:val="99"/>
    <w:pPr>
      <w:spacing w:after="120"/>
    </w:pPr>
  </w:style>
  <w:style w:type="paragraph" w:styleId="7">
    <w:name w:val="Body Text Indent"/>
    <w:basedOn w:val="1"/>
    <w:link w:val="26"/>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7"/>
    <w:qFormat/>
    <w:uiPriority w:val="0"/>
    <w:rPr>
      <w:rFonts w:ascii="宋体" w:hAnsi="Courier New"/>
      <w:szCs w:val="20"/>
    </w:rPr>
  </w:style>
  <w:style w:type="paragraph" w:styleId="11">
    <w:name w:val="Date"/>
    <w:basedOn w:val="1"/>
    <w:next w:val="1"/>
    <w:link w:val="28"/>
    <w:qFormat/>
    <w:uiPriority w:val="99"/>
    <w:pPr>
      <w:ind w:left="100" w:leftChars="2500"/>
    </w:pPr>
    <w:rPr>
      <w:sz w:val="24"/>
      <w:szCs w:val="20"/>
    </w:rPr>
  </w:style>
  <w:style w:type="paragraph" w:styleId="12">
    <w:name w:val="Balloon Text"/>
    <w:basedOn w:val="1"/>
    <w:link w:val="52"/>
    <w:semiHidden/>
    <w:unhideWhenUsed/>
    <w:qFormat/>
    <w:uiPriority w:val="99"/>
    <w:rPr>
      <w:sz w:val="18"/>
      <w:szCs w:val="18"/>
    </w:rPr>
  </w:style>
  <w:style w:type="paragraph" w:styleId="13">
    <w:name w:val="footer"/>
    <w:basedOn w:val="1"/>
    <w:link w:val="29"/>
    <w:qFormat/>
    <w:uiPriority w:val="99"/>
    <w:pPr>
      <w:tabs>
        <w:tab w:val="center" w:pos="4153"/>
        <w:tab w:val="right" w:pos="8306"/>
      </w:tabs>
      <w:snapToGrid w:val="0"/>
      <w:jc w:val="left"/>
    </w:pPr>
    <w:rPr>
      <w:kern w:val="0"/>
      <w:sz w:val="18"/>
      <w:szCs w:val="18"/>
    </w:r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1"/>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locked/>
    <w:uiPriority w:val="0"/>
  </w:style>
  <w:style w:type="character" w:styleId="21">
    <w:name w:val="Hyperlink"/>
    <w:qFormat/>
    <w:uiPriority w:val="99"/>
    <w:rPr>
      <w:rFonts w:cs="Times New Roman"/>
      <w:color w:val="0563C1"/>
      <w:u w:val="single"/>
    </w:rPr>
  </w:style>
  <w:style w:type="character" w:styleId="22">
    <w:name w:val="annotation reference"/>
    <w:basedOn w:val="19"/>
    <w:qFormat/>
    <w:uiPriority w:val="99"/>
    <w:rPr>
      <w:rFonts w:cs="Times New Roman"/>
      <w:sz w:val="21"/>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标题 1 字符"/>
    <w:link w:val="3"/>
    <w:qFormat/>
    <w:locked/>
    <w:uiPriority w:val="99"/>
    <w:rPr>
      <w:rFonts w:cs="Times New Roman"/>
      <w:b/>
      <w:kern w:val="44"/>
      <w:sz w:val="44"/>
    </w:rPr>
  </w:style>
  <w:style w:type="character" w:customStyle="1" w:styleId="25">
    <w:name w:val="批注文字 字符"/>
    <w:link w:val="5"/>
    <w:qFormat/>
    <w:locked/>
    <w:uiPriority w:val="99"/>
    <w:rPr>
      <w:rFonts w:cs="Times New Roman"/>
      <w:kern w:val="2"/>
      <w:sz w:val="24"/>
    </w:rPr>
  </w:style>
  <w:style w:type="character" w:customStyle="1" w:styleId="26">
    <w:name w:val="正文文本缩进 字符"/>
    <w:link w:val="7"/>
    <w:qFormat/>
    <w:locked/>
    <w:uiPriority w:val="99"/>
    <w:rPr>
      <w:rFonts w:ascii="等线" w:eastAsia="等线" w:cs="Times New Roman"/>
      <w:kern w:val="2"/>
      <w:sz w:val="22"/>
    </w:rPr>
  </w:style>
  <w:style w:type="character" w:customStyle="1" w:styleId="27">
    <w:name w:val="纯文本 字符"/>
    <w:link w:val="10"/>
    <w:qFormat/>
    <w:locked/>
    <w:uiPriority w:val="0"/>
    <w:rPr>
      <w:rFonts w:ascii="宋体" w:hAnsi="Courier New" w:cs="Times New Roman"/>
      <w:kern w:val="2"/>
      <w:sz w:val="21"/>
    </w:rPr>
  </w:style>
  <w:style w:type="character" w:customStyle="1" w:styleId="28">
    <w:name w:val="日期 字符"/>
    <w:link w:val="11"/>
    <w:qFormat/>
    <w:locked/>
    <w:uiPriority w:val="99"/>
    <w:rPr>
      <w:rFonts w:cs="Times New Roman"/>
      <w:kern w:val="2"/>
      <w:sz w:val="24"/>
    </w:rPr>
  </w:style>
  <w:style w:type="character" w:customStyle="1" w:styleId="29">
    <w:name w:val="页脚 字符"/>
    <w:link w:val="13"/>
    <w:semiHidden/>
    <w:qFormat/>
    <w:locked/>
    <w:uiPriority w:val="99"/>
    <w:rPr>
      <w:rFonts w:cs="Times New Roman"/>
      <w:sz w:val="18"/>
      <w:szCs w:val="18"/>
    </w:rPr>
  </w:style>
  <w:style w:type="character" w:customStyle="1" w:styleId="30">
    <w:name w:val="页眉 字符"/>
    <w:link w:val="14"/>
    <w:qFormat/>
    <w:locked/>
    <w:uiPriority w:val="99"/>
    <w:rPr>
      <w:rFonts w:cs="Times New Roman"/>
      <w:kern w:val="2"/>
      <w:sz w:val="18"/>
    </w:rPr>
  </w:style>
  <w:style w:type="character" w:customStyle="1" w:styleId="31">
    <w:name w:val="批注主题 字符"/>
    <w:link w:val="16"/>
    <w:qFormat/>
    <w:locked/>
    <w:uiPriority w:val="99"/>
    <w:rPr>
      <w:rFonts w:cs="Times New Roman"/>
      <w:b/>
      <w:kern w:val="2"/>
      <w:sz w:val="24"/>
    </w:rPr>
  </w:style>
  <w:style w:type="paragraph" w:customStyle="1" w:styleId="32">
    <w:name w:val="Char"/>
    <w:basedOn w:val="1"/>
    <w:qFormat/>
    <w:uiPriority w:val="99"/>
    <w:pPr>
      <w:tabs>
        <w:tab w:val="left" w:pos="360"/>
      </w:tabs>
    </w:pPr>
    <w:rPr>
      <w:sz w:val="24"/>
    </w:rPr>
  </w:style>
  <w:style w:type="character" w:customStyle="1" w:styleId="33">
    <w:name w:val="列出段落 Char"/>
    <w:link w:val="34"/>
    <w:qFormat/>
    <w:locked/>
    <w:uiPriority w:val="0"/>
  </w:style>
  <w:style w:type="paragraph" w:customStyle="1" w:styleId="34">
    <w:name w:val="列出段落1"/>
    <w:basedOn w:val="1"/>
    <w:link w:val="33"/>
    <w:qFormat/>
    <w:uiPriority w:val="34"/>
    <w:pPr>
      <w:widowControl/>
      <w:ind w:firstLine="420" w:firstLineChars="200"/>
      <w:jc w:val="left"/>
    </w:pPr>
    <w:rPr>
      <w:kern w:val="0"/>
      <w:sz w:val="20"/>
      <w:szCs w:val="20"/>
    </w:rPr>
  </w:style>
  <w:style w:type="table" w:customStyle="1" w:styleId="35">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占位符文本1"/>
    <w:semiHidden/>
    <w:qFormat/>
    <w:uiPriority w:val="99"/>
    <w:rPr>
      <w:rFonts w:cs="Times New Roman"/>
      <w:color w:val="808080"/>
    </w:rPr>
  </w:style>
  <w:style w:type="paragraph" w:customStyle="1" w:styleId="37">
    <w:name w:val="列出段落1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8">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9">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列出段落2"/>
    <w:basedOn w:val="1"/>
    <w:qFormat/>
    <w:uiPriority w:val="99"/>
    <w:pPr>
      <w:ind w:firstLine="420" w:firstLineChars="200"/>
    </w:pPr>
    <w:rPr>
      <w:rFonts w:ascii="Calibri" w:hAnsi="Calibri"/>
      <w:szCs w:val="22"/>
    </w:rPr>
  </w:style>
  <w:style w:type="character" w:customStyle="1" w:styleId="41">
    <w:name w:val="标题 2 Char Char Char"/>
    <w:qFormat/>
    <w:uiPriority w:val="99"/>
    <w:rPr>
      <w:rFonts w:ascii="Arial" w:hAnsi="Arial" w:eastAsia="黑体"/>
      <w:b/>
      <w:kern w:val="2"/>
      <w:sz w:val="32"/>
      <w:lang w:val="en-US" w:eastAsia="zh-CN"/>
    </w:rPr>
  </w:style>
  <w:style w:type="paragraph" w:customStyle="1" w:styleId="42">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3">
    <w:name w:val="正文文本 字符"/>
    <w:link w:val="6"/>
    <w:qFormat/>
    <w:uiPriority w:val="99"/>
    <w:rPr>
      <w:kern w:val="2"/>
      <w:sz w:val="21"/>
      <w:szCs w:val="24"/>
    </w:rPr>
  </w:style>
  <w:style w:type="paragraph" w:customStyle="1" w:styleId="44">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5">
    <w:name w:val="正文2"/>
    <w:basedOn w:val="1"/>
    <w:qFormat/>
    <w:uiPriority w:val="0"/>
    <w:pPr>
      <w:spacing w:before="156" w:line="360" w:lineRule="auto"/>
      <w:ind w:firstLine="510" w:firstLineChars="200"/>
    </w:pPr>
    <w:rPr>
      <w:sz w:val="24"/>
    </w:rPr>
  </w:style>
  <w:style w:type="paragraph" w:customStyle="1" w:styleId="46">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7">
    <w:name w:val="A9"/>
    <w:qFormat/>
    <w:uiPriority w:val="0"/>
    <w:rPr>
      <w:rFonts w:cs="PSFEIH+StoneSans"/>
      <w:color w:val="262424"/>
      <w:sz w:val="20"/>
      <w:szCs w:val="20"/>
    </w:rPr>
  </w:style>
  <w:style w:type="paragraph" w:customStyle="1" w:styleId="48">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9">
    <w:name w:val="A14"/>
    <w:qFormat/>
    <w:uiPriority w:val="99"/>
    <w:rPr>
      <w:rFonts w:cs="Open Sans Light"/>
      <w:color w:val="FFFFFF"/>
      <w:sz w:val="13"/>
      <w:szCs w:val="13"/>
    </w:rPr>
  </w:style>
  <w:style w:type="paragraph" w:customStyle="1" w:styleId="50">
    <w:name w:val="表格文字"/>
    <w:basedOn w:val="1"/>
    <w:next w:val="6"/>
    <w:qFormat/>
    <w:uiPriority w:val="0"/>
    <w:rPr>
      <w:sz w:val="24"/>
    </w:r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2">
    <w:name w:val="批注框文本 字符"/>
    <w:basedOn w:val="19"/>
    <w:link w:val="1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22</Pages>
  <Words>11755</Words>
  <Characters>12475</Characters>
  <Lines>94</Lines>
  <Paragraphs>26</Paragraphs>
  <TotalTime>8</TotalTime>
  <ScaleCrop>false</ScaleCrop>
  <LinksUpToDate>false</LinksUpToDate>
  <CharactersWithSpaces>12631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2022-08-17T03:05:00Z</dcterms:created>
  <dc:creator>微软用户</dc:creator>
  <cp:lastModifiedBy>Administrator</cp:lastModifiedBy>
  <cp:lastPrinted>2019-11-23T01:53:00Z</cp:lastPrinted>
  <dcterms:modified xsi:type="dcterms:W3CDTF">2022-09-15T03:42:35Z</dcterms:modified>
  <dc:title>淮海工学院A8-10号楼学生宿舍家具招标书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7FBDF63D27554338BB8BC1E9614956A8</vt:lpwstr>
  </property>
</Properties>
</file>