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信息科技大楼强弱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电施工编制说明</w:t>
      </w:r>
    </w:p>
    <w:p>
      <w:pPr>
        <w:pStyle w:val="19"/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强电施工设计说明</w:t>
      </w:r>
      <w:r>
        <w:rPr>
          <w:rFonts w:hint="eastAsia" w:ascii="宋体" w:hAnsi="宋体" w:eastAsia="宋体" w:cs="宋体"/>
          <w:lang w:eastAsia="zh-CN"/>
        </w:rPr>
        <w:t>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一.工程概况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1．项目名称：南京信息工程大学信息科技大楼工作位强弱电布线工程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2．工程概况：本项目为南京信息工程大学信息科技大楼工作位强弱电布线工程，施工内容包括电气工程、综合布线工程等。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3．相关专业提供给的工程设计资料；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4．各市政主管部门对施工图的审批意见；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5．甲方提供的设计任务书及设计要求；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6．中华人民共和国现行主要标准及法规：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《民用建筑电气设计标准＞GB 51348-2019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《智能建筑设计标准》GB T50314-2015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《供配电系统设计规范》GB 50052-2009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《建筑电气与智能化通用规范》GB 55024-2022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《低压配电设计规范》GB 50054-2011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《公共建筑节能设计标准》GB 50189-2015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《通用用电设备配电设计规范》GB 50055-2011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《建筑机电工程抗震设计规范》GB 50981-2014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《既有建筑维护与改造通用规范》GB 55022-2021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《建筑电气制图标准》GB T50786-2012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《建筑物防需设计报范》CR 50057-2010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《建筑电气工程施工质量验收规范》GB50303-2015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《安全防范工程通用规范》GB55029-2022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《建筑节能与可再生能源利用通用规范》GB 55015-2021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6．其他有关国家及地方的现行规程、规范及标准（略）。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二.设计范围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1．本次电器工程范围内仅涉及以下电气设计：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1）插座平面及系统；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2．与其它专业设计的分工：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1）低压配电不在本次设计范围内。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2）本次设计范围分界点为各楼层各房间入户门。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3）土建施工图已有防雷接地，本次不做设计。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4）本次设计不包含消防部分。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三.电力配电系统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1．本次设计范围内的设备用电负荷分类：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本次设计范围内均为三级负荷。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2．功率因数补偿：在变配电室低压侧设功率因数集中自动补偿装置，电容器组采用自动循环投切方式，要求补偿后的功率因数≥0.90．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四.设备选择及安装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1．系统的各类设备外壳应选用不燃材料或难燃材料（氧指数≥28）制造，内部接线盒外部接线应符合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2．插座安装准确位置请与其它专业密切配合，避免与其它设备重位。电源插座与信息插座水平间距不小于200mm。插座均为标准系列，明装，除注明者外，均为250V，10A．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插座接线应符合下列规定：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1）对于单相两孔插座，面对插座的右孔或上孔应与相线连接，左孔或下孔应与中性导体（N）连接。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2）单相三孔。五孔插座的保护接地导体（PE）应接在上孔；插座的保护接地导体端子不得与中性导体端子连接；同一场所的单相插座，其接线的相序应均分在三相上。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3）保护接地导体（PE）在灯具间和插座之间不得串联连接。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4）相线与中性导体（N）不应利用插座本体的接线端子转接供电。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5）对于相导体对地标称电压为220V的TN系统配电线路的接地故障保护，其切断故障回路的时间应符合下列要求：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5.1 对于配电线路或仅供给固定式电气设备用电的末端线路，不应大于5s；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5.2 对于供电给手持式电气设备和移动式电气设备末端线路或插座回路，不应大于0.4s．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3．不同电压等级、不同电源回路不应穿在同一管内或桥架内。本次设计范围内的电源均采用穿管明敷设。电缆若不敷设在桥架上时应穿管敷设。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4．电缆桥架：电缆桥架水平安装时，支架间距不大于1.5m，垂直安装时，支架间距不大于2m．桥架等施工时，应注意与其它专业的配合。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5．插座拿近可燃物时，应采取隔热、散热等防火措施。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6．不同电压等级的电力线缆不应共用同一导管或电缆桥架布线；电力线缆和智能化线缆不应共用同一导管或电缆桥架布线；在有可燃物闷顶和吊顶内敷设电力线缆时，应采用不燃材料的导管或电缆槽盒保护。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7．配电线路不得穿越通风管道内腔或直接敷设在通风管道外壁上，穿金属导管保护的配电线路可紧贴通风管道外壁敷设。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插座分别由不同回路供电。插座均为安全型插座。所有插座回路电流断路器保护，漏电动作电流30mA（动作时间不大于0.1s），工程照明配电终端回路均设短路保护、过负荷保护，过负荷及短路保护兼做接地故障保护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五、电缆、导线的选型及敷设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1．低压出线电缆：本次项目涉及电缆穿热镀锌钢管和阻燃PVC槽管保护或防火隔板敷设。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2．本次设计范围内的普通插座导线选用</w:t>
      </w:r>
      <w:r>
        <w:rPr>
          <w:rFonts w:hint="eastAsia" w:ascii="宋体" w:hAnsi="宋体" w:eastAsia="宋体" w:cs="宋体"/>
          <w:lang w:val="en-US" w:eastAsia="zh-CN"/>
        </w:rPr>
        <w:t>BV、BVVB</w:t>
      </w:r>
      <w:r>
        <w:rPr>
          <w:rFonts w:hint="eastAsia" w:ascii="宋体" w:hAnsi="宋体" w:eastAsia="宋体" w:cs="宋体"/>
        </w:rPr>
        <w:t>型导线，，穿PVC槽管、金属地槽、KBG管</w: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eastAsia" w:ascii="宋体" w:hAnsi="宋体" w:eastAsia="宋体" w:cs="宋体"/>
        </w:rPr>
        <w:t>部分镀锌金属桥架内敷设有装修要求的场所在吊顶内明敷设，或者墙上明敷设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3．所有穿过建筑物伸缩缝、沉降缝、后浇带的管线应按国家、地方标准图集中有关规定和做法，结合建筑物形式采取软连接等补偿和保护措施。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六.其它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1．在施工时应满足GB 50303-2015、GB50617-2010等施工及验收规范中所有强制性条文要求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2．凡与施工有关而又未说明之处，参见国家、地方标准图集施工，或与设计院协商解决。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3．本工程所选设备、材料，必须具有国家级检测中心的检测合格证书（3CF认证）；必须满足与产品相关的国家标准；供电产品、消防产品应具有入网许可证。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4．招标所确定的设备规格、性能等技术指标，不应低于设计图纸的要求。所有设备确定厂家后均应建设、施工、设计、监理四方进行技术交底。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5．根据国务院签发的《建设工程质量管理条例》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1）本设计文件需报政府建设行政主管部门或其他有关部门。施工图审图部门审查批准后，方可使用。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2）建设方应提供电源等市政原始资料，原始资料必须真实、准确、齐全。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3）由各单位采购的设备、材料，应保证符合设计文件及合同的要求。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4）施工单位必须按照工程设计图纸和施工技术标准施工，不得擅自修改工程设计。施工单位在施工过程中发现设计文件和图纸有差错的，应当及时提出意见和建议。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6．单相负荷尽可能均衡地分配在三相上，使三相负荷保持基本平衡，最大相负荷不超过三相负荷平均值的115％，最小相负荷不小于三相负荷平均值的85％。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七.电气抗震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 本建筑所在地区抗震设防烈度为7度，故建筑机电工程必须进行抗震设计。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 部分桥架的安装螺栓或焊接强度应满足抗震要求。</w:t>
      </w:r>
    </w:p>
    <w:p>
      <w:pPr>
        <w:pStyle w:val="19"/>
        <w:spacing w:line="360" w:lineRule="auto"/>
        <w:jc w:val="center"/>
        <w:rPr>
          <w:rFonts w:hint="eastAsia" w:ascii="宋体" w:hAnsi="宋体" w:eastAsia="宋体" w:cs="宋体"/>
        </w:rPr>
      </w:pPr>
    </w:p>
    <w:p>
      <w:pPr>
        <w:pStyle w:val="19"/>
        <w:spacing w:line="360" w:lineRule="auto"/>
        <w:jc w:val="left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</w:rPr>
        <w:t>弱电施工设计说明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工程概况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1．项目名称：南京信息工程大学信息科技大楼工作位强弱电布线工程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2．工程概况：本项目为南京信息工程大学信息科技大楼工作位强弱电布线工程，施工内容包括电气工程、综合布线工程等。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3、本工程根据业主提供的有关资料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4、本公司其他专业提供的设计要求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5、现行的规范及标准：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《建筑电气制图标准》GB／T 50786-2012；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《综合布线系统工程设计规范》GB50311-2016：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《建筑电气工程施工质量验收规范》GB50303-2015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《民用建筑设计统一标准》GB50352-2019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《智能建筑设计标准》GB50314-2015；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《宽带接入用综合配线箱》YD／T 1313-2008；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《建筑物电子信息系统防雷技术规范》GB50343-2012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《安全防范工程通用规范》CB55029-2022：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《建筑电气与智能化通用规范＞GB55024-2022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《通信管道与通道工程设计规范》GB 50373-2006：</w:t>
      </w:r>
    </w:p>
    <w:p>
      <w:pPr>
        <w:pStyle w:val="19"/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6、国家和地方的其他相关现行规范，规程，标准及文件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设计范围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1．本次仅对综合布线工作区子系统、电气抗震设计（详强电设计说明）进行初次设计。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2．弱电系统分界：按建设单位提供的设计任务书要求，本次仅对建设范围内弱电系统进行设计。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3．综合布线工作区子系统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3.1．本次设计仅涉及到工作区范围内弱电信息插座布线，该布线范围为户内交换机至弱电信息插座；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3.2综合布线施工说明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线缆敷设要求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线缆敷设应平直，不得扭绞、打圈，不应受到外力的挤压和损伤；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线缆两端应贴有标签，标明起始和终端位置，标签书写应清晰、端正、正确；线缆中间不得有接头；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3.</w:t>
      </w:r>
      <w:r>
        <w:rPr>
          <w:rFonts w:hint="eastAsia" w:ascii="宋体" w:hAnsi="宋体" w:eastAsia="宋体" w:cs="宋体"/>
        </w:rPr>
        <w:t>综合布线线缆单独敷设于综合布线管槽内，与其它弱电线缆宜分槽敷设；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线缆布放时应有冗余，工作区为0.3m，有特殊要求的应按设计要求预留长度。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电缆转弯时弯曲半径应符合下列规定：</w:t>
      </w:r>
    </w:p>
    <w:p>
      <w:pPr>
        <w:pStyle w:val="19"/>
        <w:spacing w:line="360" w:lineRule="auto"/>
        <w:ind w:firstLine="22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6类非屏蔽4对双绞线的弯曲半径应至少为电缆外径的4倍；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布放</w:t>
      </w:r>
      <w:r>
        <w:rPr>
          <w:rFonts w:hint="eastAsia" w:ascii="宋体" w:hAnsi="宋体" w:eastAsia="宋体" w:cs="宋体"/>
          <w:lang w:eastAsia="zh-CN"/>
        </w:rPr>
        <w:t>线缆</w:t>
      </w:r>
      <w:r>
        <w:rPr>
          <w:rFonts w:hint="eastAsia" w:ascii="宋体" w:hAnsi="宋体" w:eastAsia="宋体" w:cs="宋体"/>
        </w:rPr>
        <w:t>时，拉线速度应慢速平稳：</w:t>
      </w:r>
    </w:p>
    <w:p>
      <w:pPr>
        <w:pStyle w:val="19"/>
        <w:spacing w:line="360" w:lineRule="auto"/>
        <w:ind w:firstLine="22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1根4对双绞线拉力为100N（10kg）；2根4对双绞线拉力为150N（15kg）；3根4对双绞线拉力为200N（20kg）；n根4对双绞线拉力为nx50＋50（N）。无论电缆根数多少，最大拉力不应超过40kg，速度不应超过15m／min。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垂直干线敷设应符合下列要求：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采用</w:t>
      </w:r>
      <w:r>
        <w:rPr>
          <w:rFonts w:hint="eastAsia" w:ascii="宋体" w:hAnsi="宋体" w:eastAsia="宋体" w:cs="宋体"/>
          <w:lang w:eastAsia="zh-CN"/>
        </w:rPr>
        <w:t>线缆</w:t>
      </w:r>
      <w:r>
        <w:rPr>
          <w:rFonts w:hint="eastAsia" w:ascii="宋体" w:hAnsi="宋体" w:eastAsia="宋体" w:cs="宋体"/>
        </w:rPr>
        <w:t>桥架和PVC管槽混合敷设；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采用由建筑物的高层向低层下垂敷设；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槽道中敷设，应平齐顺直、排列有序，不应重叠或交叉；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双绞线与信息插座进行端接时，应符合色标的要求，应保持线对对绞状态；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双绞线连接可采用T568A或T568B方式，但两种端接方式不应混合使用。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弱电综合管线敷设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本工作区子系统UTP6线缆的敷设为穿镀锌金属桥架敷设或穿PVC管槽沿墙明敷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其他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 xml:space="preserve"> 金属材质穿线管相连接处需用不小于4mm</w:t>
      </w:r>
      <w:r>
        <w:rPr>
          <w:rFonts w:hint="eastAsia" w:ascii="宋体" w:hAnsi="宋体" w:eastAsia="宋体" w:cs="宋体"/>
          <w:lang w:eastAsia="zh-CN"/>
        </w:rPr>
        <w:t xml:space="preserve"> </w:t>
      </w:r>
      <w:r>
        <w:rPr>
          <w:rFonts w:hint="eastAsia" w:ascii="宋体" w:hAnsi="宋体" w:eastAsia="宋体" w:cs="宋体"/>
        </w:rPr>
        <w:t>2的软铜线（跨接线）可靠连接</w:t>
      </w:r>
    </w:p>
    <w:p>
      <w:pPr>
        <w:pStyle w:val="19"/>
        <w:spacing w:line="360" w:lineRule="auto"/>
        <w:ind w:left="220" w:hanging="220" w:hanging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线槽的直线段长度超过30米时宜设伸缩节，金属桥架、线槽的直线段长度超过30米时宜设伸缩节，跨越建筑物伸缩缝处，宜设补偿装置。电缆、管线、线槽等过伸缩缝处理详05D5＿《内线工程》（第四卷＿共四卷）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线缆桥架或金属管槽应不少于两处与接地干线相连接。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PVC槽管布置时需要采用强力固定方式，枪钉或结构胶水。</w:t>
      </w:r>
    </w:p>
    <w:p>
      <w:pPr>
        <w:pStyle w:val="19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  <w:lang w:eastAsia="zh-CN"/>
        </w:rPr>
        <w:t>.</w:t>
      </w:r>
      <w:r>
        <w:rPr>
          <w:rFonts w:hint="eastAsia" w:ascii="宋体" w:hAnsi="宋体" w:eastAsia="宋体" w:cs="宋体"/>
        </w:rPr>
        <w:t>本工程所选设备、材料，必须具有国家级检测中心的检测合格证书（3C认证）；必须满足国标要求。</w:t>
      </w:r>
    </w:p>
    <w:p>
      <w:pPr>
        <w:pStyle w:val="19"/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  <w:lang w:eastAsia="zh-CN"/>
        </w:rPr>
        <w:t>. 未尽事宜按国家现行有关施工验收规范执行。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2FhMTY1YzFjZTJjNTk3ZTJjMGEzNmJlMWY2ZmExOTMifQ=="/>
  </w:docVars>
  <w:rsids>
    <w:rsidRoot w:val="00B47730"/>
    <w:rsid w:val="00034616"/>
    <w:rsid w:val="0006063C"/>
    <w:rsid w:val="0015074B"/>
    <w:rsid w:val="0029639D"/>
    <w:rsid w:val="00326F90"/>
    <w:rsid w:val="007D6E81"/>
    <w:rsid w:val="00862858"/>
    <w:rsid w:val="00AA1D8D"/>
    <w:rsid w:val="00B47730"/>
    <w:rsid w:val="00C508EE"/>
    <w:rsid w:val="00CB0664"/>
    <w:rsid w:val="00FC693F"/>
    <w:rsid w:val="34562EFA"/>
    <w:rsid w:val="76E1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Char"/>
    <w:basedOn w:val="132"/>
    <w:link w:val="25"/>
    <w:qFormat/>
    <w:uiPriority w:val="99"/>
  </w:style>
  <w:style w:type="character" w:customStyle="1" w:styleId="136">
    <w:name w:val="页脚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39">
    <w:name w:val="标题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40">
    <w:name w:val="标题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141">
    <w:name w:val="标题 Char"/>
    <w:basedOn w:val="132"/>
    <w:link w:val="31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2">
    <w:name w:val="副标题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Char"/>
    <w:basedOn w:val="132"/>
    <w:link w:val="19"/>
    <w:qFormat/>
    <w:uiPriority w:val="99"/>
  </w:style>
  <w:style w:type="character" w:customStyle="1" w:styleId="145">
    <w:name w:val="正文文本 2 Char"/>
    <w:basedOn w:val="132"/>
    <w:link w:val="28"/>
    <w:qFormat/>
    <w:uiPriority w:val="99"/>
  </w:style>
  <w:style w:type="character" w:customStyle="1" w:styleId="146">
    <w:name w:val="正文文本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</w:rPr>
  </w:style>
  <w:style w:type="character" w:customStyle="1" w:styleId="149">
    <w:name w:val="引用 Char"/>
    <w:basedOn w:val="132"/>
    <w:link w:val="148"/>
    <w:qFormat/>
    <w:uiPriority w:val="29"/>
    <w:rPr>
      <w:i/>
      <w:iCs/>
      <w:color w:val="000000" w:themeColor="text1"/>
    </w:rPr>
  </w:style>
  <w:style w:type="character" w:customStyle="1" w:styleId="150">
    <w:name w:val="标题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1">
    <w:name w:val="标题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52">
    <w:name w:val="标题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53">
    <w:name w:val="标题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54">
    <w:name w:val="标题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55">
    <w:name w:val="标题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57">
    <w:name w:val="明显引用 Char"/>
    <w:basedOn w:val="132"/>
    <w:link w:val="156"/>
    <w:qFormat/>
    <w:uiPriority w:val="30"/>
    <w:rPr>
      <w:b/>
      <w:bCs/>
      <w:i/>
      <w:iCs/>
      <w:color w:val="4F81BD" w:themeColor="accent1"/>
    </w:rPr>
  </w:style>
  <w:style w:type="character" w:customStyle="1" w:styleId="158">
    <w:name w:val="Subtle Emphasis"/>
    <w:basedOn w:val="132"/>
    <w:qFormat/>
    <w:uiPriority w:val="19"/>
    <w:rPr>
      <w:i/>
      <w:iCs/>
      <w:color w:val="7F7F7F" w:themeColor="text1" w:themeTint="7F"/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777F23-E126-4C2F-8195-F5383F560D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3404</Words>
  <Characters>3806</Characters>
  <Lines>10</Lines>
  <Paragraphs>2</Paragraphs>
  <TotalTime>5</TotalTime>
  <ScaleCrop>false</ScaleCrop>
  <LinksUpToDate>false</LinksUpToDate>
  <CharactersWithSpaces>3829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2023-03-28T02:58:00Z</dcterms:created>
  <dc:creator>python-docx</dc:creator>
  <dc:description>generated by python-docx</dc:description>
  <cp:lastModifiedBy>康金荣</cp:lastModifiedBy>
  <dcterms:modified xsi:type="dcterms:W3CDTF">2023-03-28T03:11:54Z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0438CCE8D448400A9B98262C1A0ECBF1</vt:lpwstr>
  </property>
</Properties>
</file>