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44"/>
          <w:szCs w:val="44"/>
          <w:highlight w:val="none"/>
        </w:rPr>
      </w:pPr>
      <w:r>
        <w:rPr>
          <w:rFonts w:hint="eastAsia"/>
          <w:b/>
          <w:color w:val="auto"/>
          <w:sz w:val="44"/>
          <w:szCs w:val="44"/>
          <w:highlight w:val="none"/>
        </w:rPr>
        <w:t>南京信息工程大学金牛湖园区沙盘模型</w:t>
      </w:r>
    </w:p>
    <w:p>
      <w:pPr>
        <w:jc w:val="center"/>
        <w:rPr>
          <w:b/>
          <w:color w:val="auto"/>
          <w:sz w:val="44"/>
          <w:szCs w:val="44"/>
          <w:highlight w:val="none"/>
        </w:rPr>
      </w:pPr>
      <w:r>
        <w:rPr>
          <w:rFonts w:hint="eastAsia"/>
          <w:b/>
          <w:color w:val="auto"/>
          <w:sz w:val="44"/>
          <w:szCs w:val="44"/>
          <w:highlight w:val="none"/>
        </w:rPr>
        <w:t>设计及制作项目</w:t>
      </w:r>
      <w:r>
        <w:rPr>
          <w:b/>
          <w:color w:val="auto"/>
          <w:sz w:val="44"/>
          <w:szCs w:val="44"/>
          <w:highlight w:val="none"/>
        </w:rPr>
        <w:t>招标文件</w:t>
      </w:r>
    </w:p>
    <w:p>
      <w:pPr>
        <w:pStyle w:val="8"/>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 xml:space="preserve"> JZCG-2022-00146</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w:t>
      </w:r>
      <w:r>
        <w:rPr>
          <w:rFonts w:hint="eastAsia" w:ascii="宋体" w:hAnsi="宋体" w:cs="仿宋"/>
          <w:color w:val="auto"/>
          <w:sz w:val="28"/>
          <w:szCs w:val="28"/>
          <w:highlight w:val="none"/>
          <w:u w:val="single"/>
          <w:lang w:val="en-US" w:eastAsia="zh-CN"/>
        </w:rPr>
        <w:t>3</w:t>
      </w:r>
      <w:r>
        <w:rPr>
          <w:rFonts w:hint="eastAsia" w:ascii="宋体" w:hAnsi="宋体" w:cs="仿宋"/>
          <w:color w:val="auto"/>
          <w:sz w:val="28"/>
          <w:szCs w:val="28"/>
          <w:highlight w:val="none"/>
          <w:u w:val="single"/>
        </w:rPr>
        <w:t>年</w:t>
      </w:r>
      <w:r>
        <w:rPr>
          <w:rFonts w:hint="eastAsia" w:ascii="宋体" w:hAnsi="宋体" w:cs="仿宋"/>
          <w:color w:val="auto"/>
          <w:sz w:val="28"/>
          <w:szCs w:val="28"/>
          <w:highlight w:val="none"/>
          <w:u w:val="single"/>
          <w:lang w:val="en-US" w:eastAsia="zh-CN"/>
        </w:rPr>
        <w:t>0</w:t>
      </w:r>
      <w:r>
        <w:rPr>
          <w:rFonts w:hint="eastAsia" w:ascii="宋体" w:hAnsi="宋体" w:cs="仿宋"/>
          <w:color w:val="auto"/>
          <w:sz w:val="28"/>
          <w:szCs w:val="28"/>
          <w:highlight w:val="none"/>
          <w:u w:val="single"/>
        </w:rPr>
        <w:t>1月</w:t>
      </w:r>
      <w:r>
        <w:rPr>
          <w:rFonts w:hint="eastAsia" w:ascii="宋体" w:hAnsi="宋体" w:cs="仿宋"/>
          <w:color w:val="auto"/>
          <w:sz w:val="28"/>
          <w:szCs w:val="28"/>
          <w:highlight w:val="none"/>
          <w:u w:val="single"/>
          <w:lang w:val="en-US" w:eastAsia="zh-CN"/>
        </w:rPr>
        <w:t>04</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日1</w:t>
      </w:r>
      <w:r>
        <w:rPr>
          <w:rFonts w:hint="eastAsia" w:ascii="宋体" w:hAnsi="宋体" w:cs="仿宋"/>
          <w:color w:val="auto"/>
          <w:sz w:val="28"/>
          <w:szCs w:val="28"/>
          <w:highlight w:val="none"/>
          <w:u w:val="single"/>
          <w:lang w:val="en-US" w:eastAsia="zh-CN"/>
        </w:rPr>
        <w:t>4</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w:t>
      </w:r>
      <w:r>
        <w:rPr>
          <w:rFonts w:hint="eastAsia" w:ascii="宋体" w:hAnsi="宋体"/>
          <w:color w:val="auto"/>
          <w:sz w:val="28"/>
          <w:szCs w:val="28"/>
          <w:highlight w:val="none"/>
        </w:rPr>
        <w:t>金牛湖园区运行管理</w:t>
      </w:r>
      <w:r>
        <w:rPr>
          <w:rFonts w:ascii="宋体" w:hAnsi="宋体"/>
          <w:color w:val="auto"/>
          <w:sz w:val="28"/>
          <w:szCs w:val="28"/>
          <w:highlight w:val="none"/>
        </w:rPr>
        <w:t>工作需要，受</w:t>
      </w:r>
      <w:r>
        <w:rPr>
          <w:rFonts w:hint="eastAsia" w:ascii="宋体" w:hAnsi="宋体"/>
          <w:color w:val="auto"/>
          <w:sz w:val="28"/>
          <w:szCs w:val="28"/>
          <w:highlight w:val="none"/>
        </w:rPr>
        <w:t>金牛湖</w:t>
      </w:r>
      <w:r>
        <w:rPr>
          <w:rFonts w:hint="default" w:ascii="宋体" w:hAnsi="宋体"/>
          <w:color w:val="auto"/>
          <w:sz w:val="28"/>
          <w:szCs w:val="28"/>
          <w:highlight w:val="none"/>
          <w:lang w:val="en-US" w:eastAsia="zh-CN"/>
        </w:rPr>
        <w:t>产教融合</w:t>
      </w:r>
      <w:r>
        <w:rPr>
          <w:rFonts w:hint="eastAsia" w:ascii="宋体" w:hAnsi="宋体"/>
          <w:color w:val="auto"/>
          <w:sz w:val="28"/>
          <w:szCs w:val="28"/>
          <w:highlight w:val="none"/>
        </w:rPr>
        <w:t>园区管委会</w:t>
      </w:r>
      <w:r>
        <w:rPr>
          <w:rFonts w:ascii="宋体" w:hAnsi="宋体"/>
          <w:color w:val="auto"/>
          <w:sz w:val="28"/>
          <w:szCs w:val="28"/>
          <w:highlight w:val="none"/>
        </w:rPr>
        <w:t>委托，就</w:t>
      </w:r>
      <w:r>
        <w:rPr>
          <w:rFonts w:hint="eastAsia" w:ascii="宋体" w:hAnsi="宋体"/>
          <w:color w:val="auto"/>
          <w:sz w:val="28"/>
          <w:szCs w:val="28"/>
          <w:highlight w:val="none"/>
        </w:rPr>
        <w:t>南京信息工程大学金牛湖园区沙盘模型设计及制作项目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4"/>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4"/>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w:t>
      </w:r>
      <w:r>
        <w:rPr>
          <w:rFonts w:hint="eastAsia" w:ascii="宋体" w:hAnsi="宋体"/>
          <w:color w:val="auto"/>
          <w:sz w:val="28"/>
          <w:szCs w:val="28"/>
          <w:highlight w:val="none"/>
        </w:rPr>
        <w:t>南京信息工程大学金牛湖园区沙盘模型设计及制作</w:t>
      </w:r>
      <w:r>
        <w:rPr>
          <w:rFonts w:hint="eastAsia" w:ascii="宋体" w:hAnsi="宋体"/>
          <w:color w:val="auto"/>
          <w:kern w:val="2"/>
          <w:sz w:val="28"/>
          <w:szCs w:val="28"/>
          <w:highlight w:val="none"/>
        </w:rPr>
        <w:t>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南京信息工程大学校金牛湖园区内，本次招标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0"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2"/>
          <w:b/>
          <w:color w:val="auto"/>
          <w:sz w:val="24"/>
          <w:highlight w:val="none"/>
        </w:rPr>
        <w:t>https://bulletin.nuist.edu.cn/779/lis</w:t>
      </w:r>
      <w:r>
        <w:rPr>
          <w:rStyle w:val="22"/>
          <w:color w:val="auto"/>
          <w:sz w:val="24"/>
          <w:highlight w:val="none"/>
        </w:rPr>
        <w:t>t.htm</w:t>
      </w:r>
      <w:r>
        <w:rPr>
          <w:rStyle w:val="22"/>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u w:val="single"/>
        </w:rPr>
        <w:t>zbc.nuist.edu.cn</w:t>
      </w:r>
      <w:r>
        <w:rPr>
          <w:rFonts w:ascii="宋体" w:hAnsi="宋体"/>
          <w:b/>
          <w:color w:val="auto"/>
          <w:sz w:val="24"/>
          <w:szCs w:val="28"/>
          <w:highlight w:val="none"/>
          <w:u w:val="singl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0"/>
    <w:p>
      <w:pPr>
        <w:spacing w:line="360" w:lineRule="auto"/>
        <w:ind w:firstLine="570"/>
        <w:jc w:val="left"/>
        <w:rPr>
          <w:rFonts w:ascii="宋体" w:hAnsi="宋体" w:cs="宋体"/>
          <w:color w:val="auto"/>
          <w:sz w:val="28"/>
          <w:szCs w:val="28"/>
          <w:highlight w:val="none"/>
        </w:rPr>
      </w:pPr>
      <w:r>
        <w:rPr>
          <w:rFonts w:ascii="宋体" w:hAnsi="宋体"/>
          <w:color w:val="auto"/>
          <w:sz w:val="28"/>
          <w:szCs w:val="28"/>
          <w:highlight w:val="none"/>
        </w:rPr>
        <w:t>4</w:t>
      </w:r>
      <w:bookmarkStart w:id="1"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1"/>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5.正式的答疑回复文件也按上述方式处理留存。</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6.投标有效期：自开标之日起90天内投标有效。</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8.本项目拒绝下述供应商参加本次采购活动的情形：</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highlight w:val="none"/>
        </w:rPr>
      </w:pPr>
      <w:r>
        <w:rPr>
          <w:rFonts w:hint="eastAsia" w:ascii="宋体" w:hAnsi="宋体" w:cs="宋体"/>
          <w:bCs/>
          <w:color w:val="auto"/>
          <w:sz w:val="28"/>
          <w:szCs w:val="28"/>
          <w:highlight w:val="none"/>
        </w:rPr>
        <w:t>（3）供应商被“信用中国”网站（www.creditchina.gov.cn）、“中国政府采</w:t>
      </w:r>
      <w:r>
        <w:rPr>
          <w:rFonts w:hint="eastAsia" w:ascii="宋体" w:hAnsi="宋体" w:cs="宋体"/>
          <w:color w:val="auto"/>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9.本项目不接受联合体投标。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六、本项目预算价为28万元，本项目只接受人民币报价。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2" w:name="_Hlk9866140"/>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三、对投标文件的要求</w:t>
      </w:r>
    </w:p>
    <w:p>
      <w:pPr>
        <w:snapToGrid w:val="0"/>
        <w:spacing w:line="538" w:lineRule="exact"/>
        <w:ind w:firstLine="560" w:firstLineChars="200"/>
        <w:rPr>
          <w:rFonts w:ascii="宋体" w:hAnsi="宋体" w:cs="宋体"/>
          <w:bCs/>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w:t>
      </w:r>
      <w:r>
        <w:rPr>
          <w:rFonts w:hint="eastAsia" w:ascii="宋体" w:hAnsi="宋体" w:cs="宋体"/>
          <w:bCs/>
          <w:color w:val="auto"/>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2"/>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3" w:name="_Hlk9866206"/>
      <w:r>
        <w:rPr>
          <w:rFonts w:hint="eastAsia" w:ascii="黑体" w:hAnsi="黑体" w:eastAsia="黑体" w:cs="宋体"/>
          <w:color w:val="auto"/>
          <w:sz w:val="28"/>
          <w:szCs w:val="28"/>
          <w:highlight w:val="none"/>
        </w:rPr>
        <w:t>四、开标程序</w:t>
      </w:r>
    </w:p>
    <w:bookmarkEnd w:id="3"/>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4</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“JZCG-2022-0014</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4</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个工作日内，中标单位须及时缴纳中标价的10%作为履约保证金并前来我校领取《中标通知书》（一式二份）。</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color w:val="auto"/>
          <w:highlight w:val="none"/>
        </w:rPr>
      </w:pPr>
      <w:r>
        <w:rPr>
          <w:rFonts w:hint="eastAsia" w:ascii="宋体" w:hAnsi="宋体" w:cs="宋体"/>
          <w:color w:val="auto"/>
          <w:sz w:val="28"/>
          <w:szCs w:val="28"/>
          <w:highlight w:val="none"/>
        </w:rPr>
        <w:t>（3）附件</w:t>
      </w:r>
      <w:r>
        <w:rPr>
          <w:rFonts w:ascii="宋体" w:hAnsi="宋体" w:cs="宋体"/>
          <w:color w:val="auto"/>
          <w:sz w:val="28"/>
          <w:szCs w:val="28"/>
          <w:highlight w:val="none"/>
        </w:rPr>
        <w:t>5</w:t>
      </w:r>
      <w:r>
        <w:rPr>
          <w:rFonts w:hint="eastAsia" w:ascii="宋体" w:hAnsi="宋体" w:cs="宋体"/>
          <w:color w:val="auto"/>
          <w:sz w:val="28"/>
          <w:szCs w:val="28"/>
          <w:highlight w:val="none"/>
        </w:rPr>
        <w:t>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中标单位所供的设计、制作、调试服务工作全部结束，经我方验收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。请各投标人务必在转账留言栏备注填写</w:t>
      </w:r>
      <w:r>
        <w:rPr>
          <w:rFonts w:hint="eastAsia" w:ascii="宋体" w:hAnsi="宋体" w:cs="宋体"/>
          <w:b/>
          <w:color w:val="auto"/>
          <w:sz w:val="28"/>
          <w:szCs w:val="28"/>
          <w:highlight w:val="none"/>
        </w:rPr>
        <w:t>“JZCG-2022-00146资料费”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履约保证金：中标价10%。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4"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3</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lang w:val="en-US" w:eastAsia="zh-CN"/>
        </w:rPr>
        <w:t>0</w:t>
      </w:r>
      <w:r>
        <w:rPr>
          <w:rFonts w:hint="eastAsia" w:ascii="宋体" w:hAnsi="宋体"/>
          <w:b/>
          <w:color w:val="auto"/>
          <w:sz w:val="28"/>
          <w:szCs w:val="28"/>
          <w:highlight w:val="none"/>
          <w:u w:val="single"/>
        </w:rPr>
        <w:t>1月</w:t>
      </w:r>
      <w:r>
        <w:rPr>
          <w:rFonts w:hint="eastAsia" w:ascii="宋体" w:hAnsi="宋体"/>
          <w:b/>
          <w:color w:val="auto"/>
          <w:sz w:val="28"/>
          <w:szCs w:val="28"/>
          <w:highlight w:val="none"/>
          <w:u w:val="single"/>
          <w:lang w:val="en-US" w:eastAsia="zh-CN"/>
        </w:rPr>
        <w:t>11</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1月3</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日14：00</w:t>
      </w:r>
      <w:r>
        <w:rPr>
          <w:rFonts w:hint="eastAsia" w:ascii="仿宋" w:hAnsi="仿宋" w:eastAsia="仿宋" w:cs="仿宋"/>
          <w:color w:val="auto"/>
          <w:kern w:val="0"/>
          <w:sz w:val="28"/>
          <w:szCs w:val="28"/>
          <w:highlight w:val="none"/>
          <w:lang w:bidi="ar"/>
        </w:rPr>
        <w:t>（北京时间）</w:t>
      </w:r>
      <w:r>
        <w:rPr>
          <w:rFonts w:hint="eastAsia" w:ascii="宋体" w:hAnsi="宋体"/>
          <w:color w:val="auto"/>
          <w:sz w:val="28"/>
          <w:szCs w:val="28"/>
          <w:highlight w:val="none"/>
        </w:rPr>
        <w:t>。</w:t>
      </w:r>
      <w:bookmarkStart w:id="5" w:name="_Hlk32349437"/>
    </w:p>
    <w:bookmarkEnd w:id="5"/>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招标办。联系人：马老师、罗老师、刘老师；联系电话：025-58731441。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1月3</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日14：00</w:t>
      </w:r>
      <w:r>
        <w:rPr>
          <w:rFonts w:hint="eastAsia" w:ascii="仿宋" w:hAnsi="仿宋" w:eastAsia="仿宋" w:cs="仿宋"/>
          <w:color w:val="auto"/>
          <w:kern w:val="0"/>
          <w:sz w:val="28"/>
          <w:szCs w:val="28"/>
          <w:highlight w:val="none"/>
          <w:lang w:bidi="ar"/>
        </w:rPr>
        <w:t>（北京时间）</w:t>
      </w:r>
      <w:r>
        <w:rPr>
          <w:rFonts w:hint="eastAsia" w:ascii="宋体" w:hAnsi="宋体"/>
          <w:color w:val="auto"/>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，联系人：马老师、罗老师、刘老师；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4"/>
      <w:r>
        <w:rPr>
          <w:rFonts w:hint="eastAsia" w:ascii="宋体" w:hAnsi="宋体"/>
          <w:color w:val="auto"/>
          <w:sz w:val="28"/>
          <w:szCs w:val="28"/>
          <w:highlight w:val="none"/>
        </w:rPr>
        <w:t>用户单位联系电话：</w:t>
      </w:r>
      <w:r>
        <w:rPr>
          <w:rFonts w:hint="eastAsia" w:ascii="仿宋" w:hAnsi="仿宋" w:eastAsia="仿宋" w:cs="仿宋"/>
          <w:color w:val="auto"/>
          <w:kern w:val="0"/>
          <w:sz w:val="28"/>
          <w:szCs w:val="28"/>
          <w:highlight w:val="none"/>
          <w:lang w:bidi="ar"/>
        </w:rPr>
        <w:t>0</w:t>
      </w:r>
      <w:r>
        <w:rPr>
          <w:rFonts w:hint="eastAsia" w:ascii="仿宋" w:hAnsi="仿宋" w:eastAsia="仿宋" w:cs="仿宋"/>
          <w:color w:val="auto"/>
          <w:kern w:val="0"/>
          <w:sz w:val="28"/>
          <w:szCs w:val="28"/>
          <w:highlight w:val="none"/>
          <w:lang w:val="en-US" w:eastAsia="zh-CN" w:bidi="ar"/>
        </w:rPr>
        <w:t>550</w:t>
      </w:r>
      <w:r>
        <w:rPr>
          <w:rFonts w:hint="eastAsia" w:ascii="仿宋" w:hAnsi="仿宋" w:eastAsia="仿宋" w:cs="仿宋"/>
          <w:color w:val="auto"/>
          <w:kern w:val="0"/>
          <w:sz w:val="28"/>
          <w:szCs w:val="28"/>
          <w:highlight w:val="none"/>
          <w:lang w:bidi="ar"/>
        </w:rPr>
        <w:t>-</w:t>
      </w:r>
      <w:r>
        <w:rPr>
          <w:rFonts w:hint="eastAsia" w:ascii="仿宋" w:hAnsi="仿宋" w:eastAsia="仿宋" w:cs="仿宋"/>
          <w:color w:val="auto"/>
          <w:kern w:val="0"/>
          <w:sz w:val="28"/>
          <w:szCs w:val="28"/>
          <w:highlight w:val="none"/>
          <w:lang w:val="en-US" w:eastAsia="zh-CN" w:bidi="ar"/>
        </w:rPr>
        <w:t>7798192</w:t>
      </w:r>
      <w:r>
        <w:rPr>
          <w:rFonts w:hint="eastAsia" w:ascii="宋体" w:hAnsi="宋体"/>
          <w:color w:val="auto"/>
          <w:sz w:val="28"/>
          <w:szCs w:val="28"/>
          <w:highlight w:val="none"/>
        </w:rPr>
        <w:t xml:space="preserve"> ，联系人：</w:t>
      </w:r>
      <w:r>
        <w:rPr>
          <w:rFonts w:hint="eastAsia" w:ascii="宋体" w:hAnsi="宋体"/>
          <w:color w:val="auto"/>
          <w:sz w:val="28"/>
          <w:szCs w:val="28"/>
          <w:highlight w:val="none"/>
          <w:lang w:val="en-US" w:eastAsia="zh-CN"/>
        </w:rPr>
        <w:t>张</w:t>
      </w:r>
      <w:r>
        <w:rPr>
          <w:rFonts w:hint="eastAsia" w:ascii="宋体" w:hAnsi="宋体"/>
          <w:color w:val="auto"/>
          <w:sz w:val="28"/>
          <w:szCs w:val="28"/>
          <w:highlight w:val="none"/>
        </w:rPr>
        <w:t>老师。</w:t>
      </w:r>
    </w:p>
    <w:p>
      <w:pPr>
        <w:pStyle w:val="8"/>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jc w:val="right"/>
        <w:rPr>
          <w:rFonts w:ascii="宋体"/>
          <w:b/>
          <w:color w:val="auto"/>
          <w:sz w:val="28"/>
          <w:szCs w:val="28"/>
          <w:highlight w:val="none"/>
        </w:rPr>
      </w:pPr>
      <w:bookmarkStart w:id="6" w:name="_Hlk9866962"/>
      <w:r>
        <w:rPr>
          <w:rFonts w:hint="eastAsia" w:ascii="宋体" w:hAnsi="宋体"/>
          <w:b/>
          <w:color w:val="auto"/>
          <w:sz w:val="28"/>
          <w:szCs w:val="28"/>
          <w:highlight w:val="none"/>
        </w:rPr>
        <w:t>南京信息工程大学招标办</w:t>
      </w:r>
    </w:p>
    <w:p>
      <w:pPr>
        <w:pStyle w:val="11"/>
        <w:spacing w:line="360" w:lineRule="auto"/>
        <w:ind w:left="99" w:leftChars="47" w:firstLine="4919" w:firstLineChars="1750"/>
        <w:jc w:val="right"/>
        <w:rPr>
          <w:rStyle w:val="41"/>
          <w:rFonts w:ascii="宋体" w:hAnsi="Times New Roman" w:eastAsia="宋体"/>
          <w:color w:val="auto"/>
          <w:sz w:val="28"/>
          <w:szCs w:val="28"/>
          <w:highlight w:val="none"/>
        </w:rPr>
      </w:pPr>
      <w:r>
        <w:rPr>
          <w:rStyle w:val="41"/>
          <w:rFonts w:ascii="宋体" w:hAnsi="宋体" w:eastAsia="宋体"/>
          <w:color w:val="auto"/>
          <w:sz w:val="28"/>
          <w:szCs w:val="28"/>
          <w:highlight w:val="none"/>
        </w:rPr>
        <w:t>20</w:t>
      </w:r>
      <w:r>
        <w:rPr>
          <w:rStyle w:val="41"/>
          <w:rFonts w:hint="eastAsia" w:ascii="宋体" w:hAnsi="宋体" w:eastAsia="宋体"/>
          <w:color w:val="auto"/>
          <w:sz w:val="28"/>
          <w:szCs w:val="28"/>
          <w:highlight w:val="none"/>
        </w:rPr>
        <w:t>2</w:t>
      </w:r>
      <w:r>
        <w:rPr>
          <w:rStyle w:val="41"/>
          <w:rFonts w:hint="eastAsia" w:ascii="宋体" w:hAnsi="宋体"/>
          <w:color w:val="auto"/>
          <w:sz w:val="28"/>
          <w:szCs w:val="28"/>
          <w:highlight w:val="none"/>
          <w:lang w:val="en-US"/>
        </w:rPr>
        <w:t>3</w:t>
      </w:r>
      <w:r>
        <w:rPr>
          <w:rStyle w:val="41"/>
          <w:rFonts w:hint="eastAsia" w:ascii="宋体" w:hAnsi="宋体" w:eastAsia="宋体"/>
          <w:color w:val="auto"/>
          <w:sz w:val="28"/>
          <w:szCs w:val="28"/>
          <w:highlight w:val="none"/>
        </w:rPr>
        <w:t>年</w:t>
      </w:r>
      <w:r>
        <w:rPr>
          <w:rStyle w:val="41"/>
          <w:rFonts w:hint="eastAsia" w:ascii="宋体" w:hAnsi="宋体"/>
          <w:color w:val="auto"/>
          <w:sz w:val="28"/>
          <w:szCs w:val="28"/>
          <w:highlight w:val="none"/>
          <w:lang w:val="en-US"/>
        </w:rPr>
        <w:t>0</w:t>
      </w:r>
      <w:r>
        <w:rPr>
          <w:rStyle w:val="41"/>
          <w:rFonts w:hint="eastAsia" w:ascii="宋体" w:hAnsi="宋体"/>
          <w:color w:val="auto"/>
          <w:sz w:val="28"/>
          <w:szCs w:val="28"/>
          <w:highlight w:val="none"/>
        </w:rPr>
        <w:t>1</w:t>
      </w:r>
      <w:r>
        <w:rPr>
          <w:rStyle w:val="41"/>
          <w:rFonts w:hint="eastAsia" w:ascii="宋体" w:hAnsi="宋体" w:eastAsia="宋体"/>
          <w:color w:val="auto"/>
          <w:sz w:val="28"/>
          <w:szCs w:val="28"/>
          <w:highlight w:val="none"/>
        </w:rPr>
        <w:t>月</w:t>
      </w:r>
      <w:r>
        <w:rPr>
          <w:rStyle w:val="41"/>
          <w:rFonts w:hint="eastAsia" w:ascii="宋体" w:hAnsi="宋体"/>
          <w:color w:val="auto"/>
          <w:sz w:val="28"/>
          <w:szCs w:val="28"/>
          <w:highlight w:val="none"/>
        </w:rPr>
        <w:t>0</w:t>
      </w:r>
      <w:r>
        <w:rPr>
          <w:rStyle w:val="41"/>
          <w:rFonts w:hint="eastAsia" w:ascii="宋体" w:hAnsi="宋体"/>
          <w:color w:val="auto"/>
          <w:sz w:val="28"/>
          <w:szCs w:val="28"/>
          <w:highlight w:val="none"/>
          <w:lang w:val="en-US"/>
        </w:rPr>
        <w:t>4</w:t>
      </w:r>
      <w:r>
        <w:rPr>
          <w:rStyle w:val="41"/>
          <w:rFonts w:hint="eastAsia" w:ascii="宋体" w:hAnsi="宋体" w:eastAsia="宋体"/>
          <w:color w:val="auto"/>
          <w:sz w:val="28"/>
          <w:szCs w:val="28"/>
          <w:highlight w:val="none"/>
        </w:rPr>
        <w:t>日</w:t>
      </w:r>
    </w:p>
    <w:bookmarkEnd w:id="6"/>
    <w:p>
      <w:pPr>
        <w:pStyle w:val="10"/>
        <w:adjustRightInd w:val="0"/>
        <w:snapToGrid w:val="0"/>
        <w:spacing w:before="120" w:after="120" w:line="360" w:lineRule="auto"/>
        <w:rPr>
          <w:rStyle w:val="41"/>
          <w:rFonts w:ascii="宋体" w:hAnsi="宋体" w:eastAsia="宋体"/>
          <w:b w:val="0"/>
          <w:color w:val="auto"/>
          <w:sz w:val="28"/>
          <w:szCs w:val="28"/>
          <w:highlight w:val="none"/>
        </w:rPr>
      </w:pPr>
      <w:r>
        <w:rPr>
          <w:rStyle w:val="41"/>
          <w:rFonts w:ascii="宋体" w:hAnsi="Times New Roman" w:eastAsia="宋体"/>
          <w:b w:val="0"/>
          <w:color w:val="auto"/>
          <w:sz w:val="28"/>
          <w:szCs w:val="28"/>
          <w:highlight w:val="none"/>
        </w:rPr>
        <w:br w:type="page"/>
      </w:r>
      <w:bookmarkStart w:id="7" w:name="_Toc462564147"/>
      <w:r>
        <w:rPr>
          <w:rFonts w:ascii="Times New Roman" w:hAnsi="Times New Roman"/>
          <w:b/>
          <w:bCs/>
          <w:color w:val="auto"/>
          <w:sz w:val="24"/>
          <w:szCs w:val="24"/>
          <w:highlight w:val="none"/>
        </w:rPr>
        <w:t>附件1：</w:t>
      </w:r>
    </w:p>
    <w:p>
      <w:pPr>
        <w:spacing w:line="360" w:lineRule="auto"/>
        <w:ind w:firstLine="862" w:firstLineChars="196"/>
        <w:jc w:val="center"/>
        <w:rPr>
          <w:rFonts w:ascii="黑体" w:hAnsi="黑体" w:eastAsia="黑体" w:cs="宋体"/>
          <w:color w:val="auto"/>
          <w:sz w:val="44"/>
          <w:szCs w:val="44"/>
          <w:highlight w:val="none"/>
        </w:rPr>
      </w:pPr>
      <w:r>
        <w:rPr>
          <w:rFonts w:hint="eastAsia" w:ascii="黑体" w:hAnsi="黑体" w:eastAsia="黑体" w:cs="宋体"/>
          <w:color w:val="auto"/>
          <w:sz w:val="44"/>
          <w:szCs w:val="44"/>
          <w:highlight w:val="none"/>
        </w:rPr>
        <w:t>采购需求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1. 项目概述</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本次招标是南京信息工程大学金牛湖园区沙盘模型设计及制作项目。</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2. 招标内容</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2.1 名称: 南京信息工程大学金牛湖园区沙盘模型设计及制作项目。</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2.2 项目地址：南京信息工程大学金牛湖园区</w:t>
      </w:r>
      <w:r>
        <w:rPr>
          <w:rFonts w:hint="eastAsia" w:ascii="宋体" w:hAnsi="宋体"/>
          <w:color w:val="auto"/>
          <w:sz w:val="28"/>
          <w:szCs w:val="28"/>
          <w:highlight w:val="none"/>
          <w:lang w:val="en-US" w:eastAsia="zh-CN"/>
        </w:rPr>
        <w:t>行政楼一层大厅</w:t>
      </w:r>
      <w:r>
        <w:rPr>
          <w:rFonts w:hint="eastAsia" w:ascii="宋体" w:hAnsi="宋体"/>
          <w:color w:val="auto"/>
          <w:sz w:val="28"/>
          <w:szCs w:val="28"/>
          <w:highlight w:val="none"/>
        </w:rPr>
        <w:t xml:space="preserve"> </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2.3 具体内容：</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（1）设计沙盘模型具体题材，设定模型制作比例；</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（2）沙盘模型方案（南京信息工程大学本部1套、金牛湖园区1套）详见报价清单表；</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（3）完成模型的制作、运输、装卸、安装等工作；</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rPr>
        <w:t>（4）模型装卸、安装现场的卫生整理工作；</w:t>
      </w:r>
    </w:p>
    <w:p>
      <w:pPr>
        <w:widowControl/>
        <w:snapToGrid w:val="0"/>
        <w:spacing w:line="360" w:lineRule="auto"/>
        <w:ind w:firstLine="548" w:firstLineChars="196"/>
        <w:rPr>
          <w:rFonts w:hint="eastAsia" w:ascii="宋体" w:hAnsi="宋体"/>
          <w:color w:val="auto"/>
          <w:sz w:val="28"/>
          <w:szCs w:val="28"/>
          <w:highlight w:val="none"/>
        </w:rPr>
      </w:pPr>
      <w:r>
        <w:rPr>
          <w:rFonts w:hint="eastAsia" w:ascii="宋体" w:hAnsi="宋体"/>
          <w:color w:val="auto"/>
          <w:sz w:val="28"/>
          <w:szCs w:val="28"/>
          <w:highlight w:val="none"/>
        </w:rPr>
        <w:t>（5）项目整体通过招标人组织的专家组验收。</w:t>
      </w:r>
    </w:p>
    <w:p>
      <w:pPr>
        <w:widowControl/>
        <w:snapToGrid w:val="0"/>
        <w:spacing w:line="360" w:lineRule="auto"/>
        <w:ind w:firstLine="548" w:firstLineChars="196"/>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3.项目依据资料</w:t>
      </w:r>
    </w:p>
    <w:p>
      <w:pPr>
        <w:widowControl/>
        <w:snapToGrid w:val="0"/>
        <w:spacing w:line="360" w:lineRule="auto"/>
        <w:ind w:firstLine="548" w:firstLineChars="196"/>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3.1金牛湖园区行政楼一层大厅图纸。</w:t>
      </w:r>
    </w:p>
    <w:p>
      <w:pPr>
        <w:widowControl/>
        <w:snapToGrid w:val="0"/>
        <w:spacing w:line="360" w:lineRule="auto"/>
        <w:ind w:firstLine="548" w:firstLineChars="196"/>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3.2南京信息工程大学本部和金牛湖园区总平图和效果图。</w:t>
      </w:r>
    </w:p>
    <w:p>
      <w:pPr>
        <w:widowControl/>
        <w:snapToGrid w:val="0"/>
        <w:spacing w:line="360" w:lineRule="auto"/>
        <w:ind w:firstLine="548" w:firstLineChars="196"/>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3.3南京信息工程大学本部和金牛湖园区各单体图纸。（中标后提供）</w:t>
      </w:r>
    </w:p>
    <w:p>
      <w:pPr>
        <w:widowControl/>
        <w:snapToGrid w:val="0"/>
        <w:spacing w:line="360" w:lineRule="auto"/>
        <w:ind w:firstLine="548" w:firstLineChars="196"/>
        <w:rPr>
          <w:rFonts w:hint="eastAsia"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 技术规格、要求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 设计要求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w:t>
      </w:r>
      <w:r>
        <w:rPr>
          <w:rFonts w:ascii="宋体" w:hAnsi="宋体"/>
          <w:color w:val="auto"/>
          <w:sz w:val="28"/>
          <w:szCs w:val="28"/>
          <w:highlight w:val="none"/>
        </w:rPr>
        <w:t>1</w:t>
      </w:r>
      <w:r>
        <w:rPr>
          <w:rFonts w:hint="eastAsia" w:ascii="宋体" w:hAnsi="宋体"/>
          <w:color w:val="auto"/>
          <w:sz w:val="28"/>
          <w:szCs w:val="28"/>
          <w:highlight w:val="none"/>
        </w:rPr>
        <w:t xml:space="preserve"> 设计比例适当，展现美观。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w:t>
      </w:r>
      <w:r>
        <w:rPr>
          <w:rFonts w:ascii="宋体" w:hAnsi="宋体"/>
          <w:color w:val="auto"/>
          <w:sz w:val="28"/>
          <w:szCs w:val="28"/>
          <w:highlight w:val="none"/>
        </w:rPr>
        <w:t>2</w:t>
      </w:r>
      <w:r>
        <w:rPr>
          <w:rFonts w:hint="eastAsia" w:ascii="宋体" w:hAnsi="宋体"/>
          <w:color w:val="auto"/>
          <w:sz w:val="28"/>
          <w:szCs w:val="28"/>
          <w:highlight w:val="none"/>
        </w:rPr>
        <w:t xml:space="preserve"> </w:t>
      </w:r>
      <w:bookmarkStart w:id="8" w:name="OLE_LINK3"/>
      <w:r>
        <w:rPr>
          <w:rFonts w:hint="eastAsia" w:ascii="宋体" w:hAnsi="宋体"/>
          <w:color w:val="auto"/>
          <w:sz w:val="28"/>
          <w:szCs w:val="28"/>
          <w:highlight w:val="none"/>
        </w:rPr>
        <w:t>模型制作为全要素整体微缩，比例精确，材质讲究，结构准确。</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w:t>
      </w:r>
      <w:r>
        <w:rPr>
          <w:rFonts w:ascii="宋体" w:hAnsi="宋体"/>
          <w:color w:val="auto"/>
          <w:sz w:val="28"/>
          <w:szCs w:val="28"/>
          <w:highlight w:val="none"/>
        </w:rPr>
        <w:t>3</w:t>
      </w:r>
      <w:r>
        <w:rPr>
          <w:rFonts w:hint="eastAsia" w:ascii="宋体" w:hAnsi="宋体"/>
          <w:color w:val="auto"/>
          <w:sz w:val="28"/>
          <w:szCs w:val="28"/>
          <w:highlight w:val="none"/>
        </w:rPr>
        <w:t xml:space="preserve"> 模型制作应选择适当材质，整体效果应高程度还原建筑、景观铺装、水系等原貌（包括但不限于仿石材、木材、陶瓷等工艺）。</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 制作要求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.2.1 模型作品适合后期移动，并方便移动安装拆卸。</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 安装要求</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 xml:space="preserve">.3.1 </w:t>
      </w:r>
      <w:bookmarkStart w:id="9" w:name="OLE_LINK21"/>
      <w:r>
        <w:rPr>
          <w:rFonts w:hint="eastAsia" w:ascii="宋体" w:hAnsi="宋体"/>
          <w:color w:val="auto"/>
          <w:sz w:val="28"/>
          <w:szCs w:val="28"/>
          <w:highlight w:val="none"/>
        </w:rPr>
        <w:t>模型尺寸与场地协调，展示高度符合观众欣赏习惯</w:t>
      </w:r>
      <w:bookmarkEnd w:id="9"/>
      <w:r>
        <w:rPr>
          <w:rFonts w:hint="eastAsia" w:ascii="宋体" w:hAnsi="宋体"/>
          <w:color w:val="auto"/>
          <w:sz w:val="28"/>
          <w:szCs w:val="28"/>
          <w:highlight w:val="none"/>
        </w:rPr>
        <w:t>。</w:t>
      </w:r>
    </w:p>
    <w:bookmarkEnd w:id="8"/>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 完工验收</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.4.1项目整体需通过招标人组织的专家组验收合格。</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  质保及售后服务</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.5.1 承诺免费质量保证期一年，自验收合格之日起算，并提供终身维护维修服务。</w:t>
      </w:r>
    </w:p>
    <w:p>
      <w:pPr>
        <w:widowControl/>
        <w:snapToGrid w:val="0"/>
        <w:spacing w:line="360" w:lineRule="auto"/>
        <w:ind w:firstLine="548" w:firstLineChars="196"/>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.5.2 模型搬运、搬迁中需提供伴随服务及技术支持。</w:t>
      </w:r>
    </w:p>
    <w:p>
      <w:pPr>
        <w:spacing w:line="360" w:lineRule="auto"/>
        <w:ind w:firstLine="548" w:firstLineChars="196"/>
        <w:rPr>
          <w:rFonts w:ascii="宋体" w:hAnsi="宋体" w:cs="宋体"/>
          <w:b/>
          <w:bCs/>
          <w:color w:val="auto"/>
          <w:sz w:val="28"/>
          <w:szCs w:val="28"/>
          <w:highlight w:val="none"/>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技术参数</w:t>
      </w:r>
    </w:p>
    <w:p>
      <w:pPr>
        <w:spacing w:line="360" w:lineRule="auto"/>
        <w:ind w:firstLine="548" w:firstLineChars="196"/>
        <w:rPr>
          <w:rFonts w:ascii="宋体" w:hAnsi="宋体" w:cs="宋体"/>
          <w:color w:val="auto"/>
          <w:sz w:val="28"/>
          <w:szCs w:val="28"/>
          <w:highlight w:val="none"/>
        </w:rPr>
      </w:pPr>
    </w:p>
    <w:tbl>
      <w:tblPr>
        <w:tblStyle w:val="17"/>
        <w:tblpPr w:leftFromText="180" w:rightFromText="180" w:vertAnchor="text" w:horzAnchor="margin" w:tblpY="108"/>
        <w:tblW w:w="9860" w:type="dxa"/>
        <w:tblInd w:w="0" w:type="dxa"/>
        <w:tblLayout w:type="autofit"/>
        <w:tblCellMar>
          <w:top w:w="0" w:type="dxa"/>
          <w:left w:w="108" w:type="dxa"/>
          <w:bottom w:w="0" w:type="dxa"/>
          <w:right w:w="108" w:type="dxa"/>
        </w:tblCellMar>
      </w:tblPr>
      <w:tblGrid>
        <w:gridCol w:w="400"/>
        <w:gridCol w:w="2060"/>
        <w:gridCol w:w="940"/>
        <w:gridCol w:w="580"/>
        <w:gridCol w:w="580"/>
        <w:gridCol w:w="1240"/>
        <w:gridCol w:w="4060"/>
      </w:tblGrid>
      <w:tr>
        <w:tblPrEx>
          <w:tblCellMar>
            <w:top w:w="0" w:type="dxa"/>
            <w:left w:w="108" w:type="dxa"/>
            <w:bottom w:w="0" w:type="dxa"/>
            <w:right w:w="108" w:type="dxa"/>
          </w:tblCellMar>
        </w:tblPrEx>
        <w:trPr>
          <w:trHeight w:val="300" w:hRule="atLeast"/>
        </w:trPr>
        <w:tc>
          <w:tcPr>
            <w:tcW w:w="400" w:type="dxa"/>
            <w:tcBorders>
              <w:top w:val="single" w:color="595959" w:sz="8" w:space="0"/>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序号</w:t>
            </w:r>
          </w:p>
        </w:tc>
        <w:tc>
          <w:tcPr>
            <w:tcW w:w="206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项目模型</w:t>
            </w:r>
          </w:p>
        </w:tc>
        <w:tc>
          <w:tcPr>
            <w:tcW w:w="94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展现形式</w:t>
            </w: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数量</w:t>
            </w: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材质</w:t>
            </w:r>
          </w:p>
        </w:tc>
        <w:tc>
          <w:tcPr>
            <w:tcW w:w="1240"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模型尺寸</w:t>
            </w:r>
          </w:p>
        </w:tc>
        <w:tc>
          <w:tcPr>
            <w:tcW w:w="406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工艺说明</w:t>
            </w:r>
          </w:p>
        </w:tc>
      </w:tr>
      <w:tr>
        <w:tblPrEx>
          <w:tblCellMar>
            <w:top w:w="0" w:type="dxa"/>
            <w:left w:w="108" w:type="dxa"/>
            <w:bottom w:w="0" w:type="dxa"/>
            <w:right w:w="108" w:type="dxa"/>
          </w:tblCellMar>
        </w:tblPrEx>
        <w:trPr>
          <w:trHeight w:val="1365"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w:t>
            </w:r>
          </w:p>
        </w:tc>
        <w:tc>
          <w:tcPr>
            <w:tcW w:w="2060" w:type="dxa"/>
            <w:tcBorders>
              <w:top w:val="nil"/>
              <w:left w:val="nil"/>
              <w:bottom w:val="nil"/>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南京信息工程大学本部</w:t>
            </w:r>
            <w:r>
              <w:rPr>
                <w:rFonts w:hint="eastAsia" w:ascii="微软雅黑" w:hAnsi="微软雅黑" w:eastAsia="微软雅黑" w:cs="宋体"/>
                <w:color w:val="auto"/>
                <w:kern w:val="0"/>
                <w:sz w:val="18"/>
                <w:szCs w:val="18"/>
                <w:highlight w:val="none"/>
              </w:rPr>
              <w:br w:type="textWrapping"/>
            </w:r>
            <w:r>
              <w:rPr>
                <w:rFonts w:hint="eastAsia" w:ascii="微软雅黑" w:hAnsi="微软雅黑" w:eastAsia="微软雅黑" w:cs="宋体"/>
                <w:color w:val="auto"/>
                <w:kern w:val="0"/>
                <w:sz w:val="18"/>
                <w:szCs w:val="18"/>
                <w:highlight w:val="none"/>
              </w:rPr>
              <w:t>（含底座）</w:t>
            </w:r>
          </w:p>
        </w:tc>
        <w:tc>
          <w:tcPr>
            <w:tcW w:w="940" w:type="dxa"/>
            <w:tcBorders>
              <w:top w:val="nil"/>
              <w:left w:val="nil"/>
              <w:bottom w:val="nil"/>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平放立体</w:t>
            </w:r>
          </w:p>
        </w:tc>
        <w:tc>
          <w:tcPr>
            <w:tcW w:w="580"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1套</w:t>
            </w:r>
          </w:p>
        </w:tc>
        <w:tc>
          <w:tcPr>
            <w:tcW w:w="580"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w:t>
            </w:r>
          </w:p>
        </w:tc>
        <w:tc>
          <w:tcPr>
            <w:tcW w:w="1240"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≥5.2m*2.4m</w:t>
            </w:r>
          </w:p>
        </w:tc>
        <w:tc>
          <w:tcPr>
            <w:tcW w:w="4060"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写实复原表现南京信息工程大学本部风貌，最大程度还原建筑外立面、景观亮、建筑造型等细节。利用先进3D建模打印、CNC镭射切割、UV激光打印等多工艺相结合。</w:t>
            </w:r>
          </w:p>
        </w:tc>
      </w:tr>
      <w:tr>
        <w:tblPrEx>
          <w:tblCellMar>
            <w:top w:w="0" w:type="dxa"/>
            <w:left w:w="108" w:type="dxa"/>
            <w:bottom w:w="0" w:type="dxa"/>
            <w:right w:w="108" w:type="dxa"/>
          </w:tblCellMar>
        </w:tblPrEx>
        <w:trPr>
          <w:trHeight w:val="1320"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2</w:t>
            </w:r>
          </w:p>
        </w:tc>
        <w:tc>
          <w:tcPr>
            <w:tcW w:w="2060"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金牛湖园区</w:t>
            </w:r>
            <w:r>
              <w:rPr>
                <w:rFonts w:hint="eastAsia" w:ascii="微软雅黑" w:hAnsi="微软雅黑" w:eastAsia="微软雅黑" w:cs="宋体"/>
                <w:color w:val="auto"/>
                <w:kern w:val="0"/>
                <w:sz w:val="18"/>
                <w:szCs w:val="18"/>
                <w:highlight w:val="none"/>
              </w:rPr>
              <w:br w:type="textWrapping"/>
            </w:r>
            <w:r>
              <w:rPr>
                <w:rFonts w:hint="eastAsia" w:ascii="微软雅黑" w:hAnsi="微软雅黑" w:eastAsia="微软雅黑" w:cs="宋体"/>
                <w:color w:val="auto"/>
                <w:kern w:val="0"/>
                <w:sz w:val="18"/>
                <w:szCs w:val="18"/>
                <w:highlight w:val="none"/>
              </w:rPr>
              <w:t>（含底座）</w:t>
            </w:r>
          </w:p>
        </w:tc>
        <w:tc>
          <w:tcPr>
            <w:tcW w:w="940"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平放立体</w:t>
            </w: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1套</w:t>
            </w: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w:t>
            </w:r>
          </w:p>
        </w:tc>
        <w:tc>
          <w:tcPr>
            <w:tcW w:w="124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≥4.3m*2.4m</w:t>
            </w:r>
          </w:p>
        </w:tc>
        <w:tc>
          <w:tcPr>
            <w:tcW w:w="4060"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写实复原表现</w:t>
            </w:r>
            <w:r>
              <w:rPr>
                <w:rFonts w:hint="eastAsia" w:ascii="微软雅黑" w:hAnsi="微软雅黑" w:eastAsia="微软雅黑" w:cs="宋体"/>
                <w:color w:val="auto"/>
                <w:kern w:val="0"/>
                <w:sz w:val="18"/>
                <w:szCs w:val="18"/>
                <w:highlight w:val="none"/>
                <w:lang w:val="en-US" w:eastAsia="zh-CN"/>
              </w:rPr>
              <w:t>金牛湖园区</w:t>
            </w:r>
            <w:r>
              <w:rPr>
                <w:rFonts w:hint="eastAsia" w:ascii="微软雅黑" w:hAnsi="微软雅黑" w:eastAsia="微软雅黑" w:cs="宋体"/>
                <w:color w:val="auto"/>
                <w:kern w:val="0"/>
                <w:sz w:val="18"/>
                <w:szCs w:val="18"/>
                <w:highlight w:val="none"/>
              </w:rPr>
              <w:t>风貌，最大程度还原建筑外立面、景观亮、建筑造型等细节。利用先进3D建模打印、CNC镭射切割、UV激光打印等多工艺相结合。</w:t>
            </w:r>
          </w:p>
        </w:tc>
      </w:tr>
      <w:tr>
        <w:tblPrEx>
          <w:tblCellMar>
            <w:top w:w="0" w:type="dxa"/>
            <w:left w:w="108" w:type="dxa"/>
            <w:bottom w:w="0" w:type="dxa"/>
            <w:right w:w="108" w:type="dxa"/>
          </w:tblCellMar>
        </w:tblPrEx>
        <w:trPr>
          <w:trHeight w:val="1320"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3</w:t>
            </w:r>
          </w:p>
        </w:tc>
        <w:tc>
          <w:tcPr>
            <w:tcW w:w="2060"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玻璃贴膜</w:t>
            </w:r>
          </w:p>
        </w:tc>
        <w:tc>
          <w:tcPr>
            <w:tcW w:w="940"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58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p>
        </w:tc>
        <w:tc>
          <w:tcPr>
            <w:tcW w:w="124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高度约4m</w:t>
            </w:r>
          </w:p>
        </w:tc>
        <w:tc>
          <w:tcPr>
            <w:tcW w:w="4060"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半透光膜，阻挡刺眼眩光，隔离太阳热量和紫外线</w:t>
            </w:r>
          </w:p>
        </w:tc>
      </w:tr>
      <w:tr>
        <w:tblPrEx>
          <w:tblCellMar>
            <w:top w:w="0" w:type="dxa"/>
            <w:left w:w="108" w:type="dxa"/>
            <w:bottom w:w="0" w:type="dxa"/>
            <w:right w:w="108" w:type="dxa"/>
          </w:tblCellMar>
        </w:tblPrEx>
        <w:trPr>
          <w:trHeight w:val="735"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4</w:t>
            </w:r>
          </w:p>
        </w:tc>
        <w:tc>
          <w:tcPr>
            <w:tcW w:w="206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控制、演示系统</w:t>
            </w:r>
          </w:p>
        </w:tc>
        <w:tc>
          <w:tcPr>
            <w:tcW w:w="940"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4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4060"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采用分区控制，分为触摸屏控制和手动控制2套系统　</w:t>
            </w:r>
          </w:p>
        </w:tc>
      </w:tr>
      <w:tr>
        <w:tblPrEx>
          <w:tblCellMar>
            <w:top w:w="0" w:type="dxa"/>
            <w:left w:w="108" w:type="dxa"/>
            <w:bottom w:w="0" w:type="dxa"/>
            <w:right w:w="108" w:type="dxa"/>
          </w:tblCellMar>
        </w:tblPrEx>
        <w:trPr>
          <w:trHeight w:val="735"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5</w:t>
            </w:r>
          </w:p>
        </w:tc>
        <w:tc>
          <w:tcPr>
            <w:tcW w:w="206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运输、安装、调试</w:t>
            </w:r>
          </w:p>
        </w:tc>
        <w:tc>
          <w:tcPr>
            <w:tcW w:w="940"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4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4060"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运送到甲方指定地点安装调试完成　</w:t>
            </w:r>
          </w:p>
        </w:tc>
      </w:tr>
      <w:tr>
        <w:tblPrEx>
          <w:tblCellMar>
            <w:top w:w="0" w:type="dxa"/>
            <w:left w:w="108" w:type="dxa"/>
            <w:bottom w:w="0" w:type="dxa"/>
            <w:right w:w="108" w:type="dxa"/>
          </w:tblCellMar>
        </w:tblPrEx>
        <w:trPr>
          <w:trHeight w:val="735" w:hRule="atLeast"/>
        </w:trPr>
        <w:tc>
          <w:tcPr>
            <w:tcW w:w="40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6</w:t>
            </w:r>
          </w:p>
        </w:tc>
        <w:tc>
          <w:tcPr>
            <w:tcW w:w="206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辅料</w:t>
            </w:r>
          </w:p>
        </w:tc>
        <w:tc>
          <w:tcPr>
            <w:tcW w:w="940"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58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4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4060"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p>
        </w:tc>
      </w:tr>
    </w:tbl>
    <w:p>
      <w:pPr>
        <w:ind w:firstLine="354" w:firstLineChars="147"/>
        <w:rPr>
          <w:rFonts w:ascii="宋体"/>
          <w:b/>
          <w:color w:val="auto"/>
          <w:sz w:val="24"/>
          <w:highlight w:val="none"/>
        </w:rPr>
      </w:pPr>
    </w:p>
    <w:p>
      <w:pPr>
        <w:ind w:firstLine="354" w:firstLineChars="147"/>
        <w:rPr>
          <w:b/>
          <w:color w:val="auto"/>
          <w:highlight w:val="none"/>
          <w:lang w:val="zh-CN"/>
        </w:rPr>
      </w:pPr>
      <w:r>
        <w:rPr>
          <w:rFonts w:hint="eastAsia" w:ascii="宋体"/>
          <w:b/>
          <w:color w:val="auto"/>
          <w:sz w:val="24"/>
          <w:highlight w:val="none"/>
        </w:rPr>
        <w:t>（本部分内容由南京信息工程大学</w:t>
      </w:r>
      <w:r>
        <w:rPr>
          <w:rFonts w:hint="eastAsia" w:ascii="宋体"/>
          <w:b/>
          <w:color w:val="auto"/>
          <w:sz w:val="24"/>
          <w:highlight w:val="none"/>
          <w:lang w:val="en-US" w:eastAsia="zh-CN"/>
        </w:rPr>
        <w:t>金牛湖</w:t>
      </w:r>
      <w:r>
        <w:rPr>
          <w:rFonts w:hint="default" w:ascii="宋体"/>
          <w:b/>
          <w:color w:val="auto"/>
          <w:sz w:val="24"/>
          <w:highlight w:val="none"/>
          <w:lang w:val="en-US" w:eastAsia="zh-CN"/>
        </w:rPr>
        <w:t>产教融合</w:t>
      </w:r>
      <w:r>
        <w:rPr>
          <w:rFonts w:hint="eastAsia" w:ascii="宋体"/>
          <w:b/>
          <w:color w:val="auto"/>
          <w:sz w:val="24"/>
          <w:highlight w:val="none"/>
          <w:lang w:val="en-US" w:eastAsia="zh-CN"/>
        </w:rPr>
        <w:t>园区管委会</w:t>
      </w:r>
      <w:r>
        <w:rPr>
          <w:rFonts w:hint="eastAsia" w:ascii="宋体"/>
          <w:b/>
          <w:color w:val="auto"/>
          <w:sz w:val="24"/>
          <w:highlight w:val="none"/>
        </w:rPr>
        <w:t>提供并负责）</w:t>
      </w:r>
    </w:p>
    <w:p>
      <w:pPr>
        <w:widowControl/>
        <w:jc w:val="left"/>
        <w:rPr>
          <w:rFonts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7"/>
        <w:tblW w:w="9771" w:type="dxa"/>
        <w:jc w:val="center"/>
        <w:tblLayout w:type="autofit"/>
        <w:tblCellMar>
          <w:top w:w="0" w:type="dxa"/>
          <w:left w:w="108" w:type="dxa"/>
          <w:bottom w:w="0" w:type="dxa"/>
          <w:right w:w="108" w:type="dxa"/>
        </w:tblCellMar>
      </w:tblPr>
      <w:tblGrid>
        <w:gridCol w:w="660"/>
        <w:gridCol w:w="1315"/>
        <w:gridCol w:w="992"/>
        <w:gridCol w:w="567"/>
        <w:gridCol w:w="709"/>
        <w:gridCol w:w="1276"/>
        <w:gridCol w:w="3402"/>
        <w:gridCol w:w="850"/>
      </w:tblGrid>
      <w:tr>
        <w:tblPrEx>
          <w:tblCellMar>
            <w:top w:w="0" w:type="dxa"/>
            <w:left w:w="108" w:type="dxa"/>
            <w:bottom w:w="0" w:type="dxa"/>
            <w:right w:w="108" w:type="dxa"/>
          </w:tblCellMar>
        </w:tblPrEx>
        <w:trPr>
          <w:trHeight w:val="300" w:hRule="atLeast"/>
          <w:jc w:val="center"/>
        </w:trPr>
        <w:tc>
          <w:tcPr>
            <w:tcW w:w="9771" w:type="dxa"/>
            <w:gridSpan w:val="8"/>
            <w:tcBorders>
              <w:top w:val="single" w:color="595959" w:sz="8" w:space="0"/>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报价单</w:t>
            </w:r>
          </w:p>
        </w:tc>
      </w:tr>
      <w:tr>
        <w:tblPrEx>
          <w:tblCellMar>
            <w:top w:w="0" w:type="dxa"/>
            <w:left w:w="108" w:type="dxa"/>
            <w:bottom w:w="0" w:type="dxa"/>
            <w:right w:w="108" w:type="dxa"/>
          </w:tblCellMar>
        </w:tblPrEx>
        <w:trPr>
          <w:trHeight w:val="30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序号</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项目模型</w:t>
            </w:r>
          </w:p>
        </w:tc>
        <w:tc>
          <w:tcPr>
            <w:tcW w:w="992"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展现形式</w:t>
            </w:r>
          </w:p>
        </w:tc>
        <w:tc>
          <w:tcPr>
            <w:tcW w:w="567"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数量</w:t>
            </w:r>
          </w:p>
        </w:tc>
        <w:tc>
          <w:tcPr>
            <w:tcW w:w="709"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材质</w:t>
            </w:r>
          </w:p>
        </w:tc>
        <w:tc>
          <w:tcPr>
            <w:tcW w:w="1276"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模型尺寸</w:t>
            </w:r>
          </w:p>
        </w:tc>
        <w:tc>
          <w:tcPr>
            <w:tcW w:w="3402"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工艺说明</w:t>
            </w:r>
          </w:p>
        </w:tc>
        <w:tc>
          <w:tcPr>
            <w:tcW w:w="85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价格</w:t>
            </w:r>
          </w:p>
        </w:tc>
      </w:tr>
      <w:tr>
        <w:tblPrEx>
          <w:tblCellMar>
            <w:top w:w="0" w:type="dxa"/>
            <w:left w:w="108" w:type="dxa"/>
            <w:bottom w:w="0" w:type="dxa"/>
            <w:right w:w="108" w:type="dxa"/>
          </w:tblCellMar>
        </w:tblPrEx>
        <w:trPr>
          <w:trHeight w:val="1365"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w:t>
            </w:r>
          </w:p>
        </w:tc>
        <w:tc>
          <w:tcPr>
            <w:tcW w:w="1315" w:type="dxa"/>
            <w:tcBorders>
              <w:top w:val="nil"/>
              <w:left w:val="nil"/>
              <w:bottom w:val="nil"/>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南京信息工程大学本部</w:t>
            </w:r>
            <w:r>
              <w:rPr>
                <w:rFonts w:hint="eastAsia" w:ascii="微软雅黑" w:hAnsi="微软雅黑" w:eastAsia="微软雅黑" w:cs="宋体"/>
                <w:color w:val="auto"/>
                <w:kern w:val="0"/>
                <w:sz w:val="18"/>
                <w:szCs w:val="18"/>
                <w:highlight w:val="none"/>
              </w:rPr>
              <w:br w:type="textWrapping"/>
            </w:r>
            <w:r>
              <w:rPr>
                <w:rFonts w:hint="eastAsia" w:ascii="微软雅黑" w:hAnsi="微软雅黑" w:eastAsia="微软雅黑" w:cs="宋体"/>
                <w:color w:val="auto"/>
                <w:kern w:val="0"/>
                <w:sz w:val="18"/>
                <w:szCs w:val="18"/>
                <w:highlight w:val="none"/>
              </w:rPr>
              <w:t>（含底座）</w:t>
            </w:r>
          </w:p>
        </w:tc>
        <w:tc>
          <w:tcPr>
            <w:tcW w:w="992" w:type="dxa"/>
            <w:tcBorders>
              <w:top w:val="nil"/>
              <w:left w:val="nil"/>
              <w:bottom w:val="nil"/>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平放立体</w:t>
            </w:r>
          </w:p>
        </w:tc>
        <w:tc>
          <w:tcPr>
            <w:tcW w:w="567"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1套</w:t>
            </w:r>
          </w:p>
        </w:tc>
        <w:tc>
          <w:tcPr>
            <w:tcW w:w="709"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w:t>
            </w:r>
          </w:p>
        </w:tc>
        <w:tc>
          <w:tcPr>
            <w:tcW w:w="1276"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≥5.2m*2.4m</w:t>
            </w:r>
          </w:p>
        </w:tc>
        <w:tc>
          <w:tcPr>
            <w:tcW w:w="3402"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写实复原表现南京信息工程大学本部风貌，最大程度还原建筑外立面、景观亮、建筑造型等细节。利用先进3D建模打印、CNC镭射切割、UV激光打印等多工艺相结合。</w:t>
            </w:r>
          </w:p>
        </w:tc>
        <w:tc>
          <w:tcPr>
            <w:tcW w:w="850" w:type="dxa"/>
            <w:tcBorders>
              <w:top w:val="nil"/>
              <w:left w:val="nil"/>
              <w:bottom w:val="nil"/>
              <w:right w:val="single" w:color="595959" w:sz="8" w:space="0"/>
            </w:tcBorders>
            <w:shd w:val="clear" w:color="auto" w:fill="auto"/>
            <w:noWrap/>
            <w:vAlign w:val="center"/>
          </w:tcPr>
          <w:p>
            <w:pPr>
              <w:widowControl/>
              <w:jc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w:t>
            </w:r>
          </w:p>
        </w:tc>
      </w:tr>
      <w:tr>
        <w:tblPrEx>
          <w:tblCellMar>
            <w:top w:w="0" w:type="dxa"/>
            <w:left w:w="108" w:type="dxa"/>
            <w:bottom w:w="0" w:type="dxa"/>
            <w:right w:w="108" w:type="dxa"/>
          </w:tblCellMar>
        </w:tblPrEx>
        <w:trPr>
          <w:trHeight w:val="132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2</w:t>
            </w:r>
          </w:p>
        </w:tc>
        <w:tc>
          <w:tcPr>
            <w:tcW w:w="1315"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金牛湖园区</w:t>
            </w:r>
            <w:r>
              <w:rPr>
                <w:rFonts w:hint="eastAsia" w:ascii="微软雅黑" w:hAnsi="微软雅黑" w:eastAsia="微软雅黑" w:cs="宋体"/>
                <w:color w:val="auto"/>
                <w:kern w:val="0"/>
                <w:sz w:val="18"/>
                <w:szCs w:val="18"/>
                <w:highlight w:val="none"/>
              </w:rPr>
              <w:br w:type="textWrapping"/>
            </w:r>
            <w:r>
              <w:rPr>
                <w:rFonts w:hint="eastAsia" w:ascii="微软雅黑" w:hAnsi="微软雅黑" w:eastAsia="微软雅黑" w:cs="宋体"/>
                <w:color w:val="auto"/>
                <w:kern w:val="0"/>
                <w:sz w:val="18"/>
                <w:szCs w:val="18"/>
                <w:highlight w:val="none"/>
              </w:rPr>
              <w:t>（含底座）</w:t>
            </w:r>
          </w:p>
        </w:tc>
        <w:tc>
          <w:tcPr>
            <w:tcW w:w="992"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平放立体</w:t>
            </w:r>
          </w:p>
        </w:tc>
        <w:tc>
          <w:tcPr>
            <w:tcW w:w="567"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1套</w:t>
            </w:r>
          </w:p>
        </w:tc>
        <w:tc>
          <w:tcPr>
            <w:tcW w:w="709"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w:t>
            </w:r>
          </w:p>
        </w:tc>
        <w:tc>
          <w:tcPr>
            <w:tcW w:w="1276"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≥4.3m*2.4m</w:t>
            </w:r>
          </w:p>
        </w:tc>
        <w:tc>
          <w:tcPr>
            <w:tcW w:w="3402"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写实复原表现</w:t>
            </w:r>
            <w:r>
              <w:rPr>
                <w:rFonts w:hint="eastAsia" w:ascii="微软雅黑" w:hAnsi="微软雅黑" w:eastAsia="微软雅黑" w:cs="宋体"/>
                <w:color w:val="auto"/>
                <w:kern w:val="0"/>
                <w:sz w:val="18"/>
                <w:szCs w:val="18"/>
                <w:highlight w:val="none"/>
                <w:lang w:val="en-US" w:eastAsia="zh-CN"/>
              </w:rPr>
              <w:t>金牛湖园区</w:t>
            </w:r>
            <w:r>
              <w:rPr>
                <w:rFonts w:hint="eastAsia" w:ascii="微软雅黑" w:hAnsi="微软雅黑" w:eastAsia="微软雅黑" w:cs="宋体"/>
                <w:color w:val="auto"/>
                <w:kern w:val="0"/>
                <w:sz w:val="18"/>
                <w:szCs w:val="18"/>
                <w:highlight w:val="none"/>
              </w:rPr>
              <w:t>风貌，最大程度还原建筑外立面、景观亮、建筑造型等细节。利用先进3D建模打印、CNC镭射切割、UV激光打印等多工艺相结合。</w:t>
            </w:r>
          </w:p>
        </w:tc>
        <w:tc>
          <w:tcPr>
            <w:tcW w:w="85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w:t>
            </w:r>
          </w:p>
        </w:tc>
      </w:tr>
      <w:tr>
        <w:tblPrEx>
          <w:tblCellMar>
            <w:top w:w="0" w:type="dxa"/>
            <w:left w:w="108" w:type="dxa"/>
            <w:bottom w:w="0" w:type="dxa"/>
            <w:right w:w="108" w:type="dxa"/>
          </w:tblCellMar>
        </w:tblPrEx>
        <w:trPr>
          <w:trHeight w:val="132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3</w:t>
            </w:r>
          </w:p>
        </w:tc>
        <w:tc>
          <w:tcPr>
            <w:tcW w:w="1315"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玻璃贴膜</w:t>
            </w:r>
          </w:p>
        </w:tc>
        <w:tc>
          <w:tcPr>
            <w:tcW w:w="992" w:type="dxa"/>
            <w:tcBorders>
              <w:top w:val="single" w:color="595959" w:sz="8" w:space="0"/>
              <w:left w:val="nil"/>
              <w:bottom w:val="single" w:color="595959" w:sz="8" w:space="0"/>
              <w:right w:val="single" w:color="595959" w:sz="8" w:space="0"/>
            </w:tcBorders>
            <w:shd w:val="clear" w:color="auto" w:fill="auto"/>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p>
        </w:tc>
        <w:tc>
          <w:tcPr>
            <w:tcW w:w="567"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1项</w:t>
            </w:r>
          </w:p>
        </w:tc>
        <w:tc>
          <w:tcPr>
            <w:tcW w:w="709"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p>
        </w:tc>
        <w:tc>
          <w:tcPr>
            <w:tcW w:w="1276"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高度约4m</w:t>
            </w:r>
          </w:p>
        </w:tc>
        <w:tc>
          <w:tcPr>
            <w:tcW w:w="3402" w:type="dxa"/>
            <w:tcBorders>
              <w:top w:val="nil"/>
              <w:left w:val="nil"/>
              <w:bottom w:val="single" w:color="595959" w:sz="8" w:space="0"/>
              <w:right w:val="single" w:color="595959" w:sz="8" w:space="0"/>
            </w:tcBorders>
            <w:shd w:val="clear" w:color="auto" w:fill="auto"/>
            <w:vAlign w:val="center"/>
          </w:tcPr>
          <w:p>
            <w:pPr>
              <w:widowControl/>
              <w:jc w:val="left"/>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半透光膜，阻挡刺眼眩光，隔离太阳热量和紫外线</w:t>
            </w:r>
          </w:p>
        </w:tc>
        <w:tc>
          <w:tcPr>
            <w:tcW w:w="850" w:type="dxa"/>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Cs w:val="21"/>
                <w:highlight w:val="none"/>
              </w:rPr>
            </w:pPr>
          </w:p>
        </w:tc>
      </w:tr>
      <w:tr>
        <w:tblPrEx>
          <w:tblCellMar>
            <w:top w:w="0" w:type="dxa"/>
            <w:left w:w="108" w:type="dxa"/>
            <w:bottom w:w="0" w:type="dxa"/>
            <w:right w:w="108" w:type="dxa"/>
          </w:tblCellMar>
        </w:tblPrEx>
        <w:trPr>
          <w:trHeight w:val="735"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eastAsia="zh-CN"/>
              </w:rPr>
            </w:pPr>
            <w:r>
              <w:rPr>
                <w:rFonts w:hint="eastAsia" w:ascii="微软雅黑" w:hAnsi="微软雅黑" w:eastAsia="微软雅黑" w:cs="宋体"/>
                <w:color w:val="auto"/>
                <w:kern w:val="0"/>
                <w:sz w:val="18"/>
                <w:szCs w:val="18"/>
                <w:highlight w:val="none"/>
                <w:lang w:val="en-US" w:eastAsia="zh-CN"/>
              </w:rPr>
              <w:t>4</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控制、演示系统</w:t>
            </w:r>
          </w:p>
        </w:tc>
        <w:tc>
          <w:tcPr>
            <w:tcW w:w="992"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67"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709"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76"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3402"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采用分区控制，分为触摸屏控制和手动控制2套系统　</w:t>
            </w:r>
          </w:p>
        </w:tc>
        <w:tc>
          <w:tcPr>
            <w:tcW w:w="85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w:t>
            </w:r>
          </w:p>
        </w:tc>
      </w:tr>
      <w:tr>
        <w:tblPrEx>
          <w:tblCellMar>
            <w:top w:w="0" w:type="dxa"/>
            <w:left w:w="108" w:type="dxa"/>
            <w:bottom w:w="0" w:type="dxa"/>
            <w:right w:w="108" w:type="dxa"/>
          </w:tblCellMar>
        </w:tblPrEx>
        <w:trPr>
          <w:trHeight w:val="735"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5</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运输、安装、调试</w:t>
            </w:r>
          </w:p>
        </w:tc>
        <w:tc>
          <w:tcPr>
            <w:tcW w:w="992"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67"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709"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76"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3402"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运送到甲方指定地点安装调试完成　</w:t>
            </w:r>
          </w:p>
        </w:tc>
        <w:tc>
          <w:tcPr>
            <w:tcW w:w="85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w:t>
            </w:r>
          </w:p>
        </w:tc>
      </w:tr>
      <w:tr>
        <w:tblPrEx>
          <w:tblCellMar>
            <w:top w:w="0" w:type="dxa"/>
            <w:left w:w="108" w:type="dxa"/>
            <w:bottom w:w="0" w:type="dxa"/>
            <w:right w:w="108" w:type="dxa"/>
          </w:tblCellMar>
        </w:tblPrEx>
        <w:trPr>
          <w:trHeight w:val="735"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hint="eastAsia" w:ascii="微软雅黑" w:hAnsi="微软雅黑" w:eastAsia="微软雅黑" w:cs="宋体"/>
                <w:color w:val="auto"/>
                <w:kern w:val="0"/>
                <w:sz w:val="18"/>
                <w:szCs w:val="18"/>
                <w:highlight w:val="none"/>
                <w:lang w:eastAsia="zh-CN"/>
              </w:rPr>
            </w:pPr>
            <w:r>
              <w:rPr>
                <w:rFonts w:hint="eastAsia" w:ascii="微软雅黑" w:hAnsi="微软雅黑" w:eastAsia="微软雅黑" w:cs="宋体"/>
                <w:color w:val="auto"/>
                <w:kern w:val="0"/>
                <w:sz w:val="18"/>
                <w:szCs w:val="18"/>
                <w:highlight w:val="none"/>
                <w:lang w:val="en-US" w:eastAsia="zh-CN"/>
              </w:rPr>
              <w:t>6</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辅料</w:t>
            </w:r>
          </w:p>
        </w:tc>
        <w:tc>
          <w:tcPr>
            <w:tcW w:w="992" w:type="dxa"/>
            <w:tcBorders>
              <w:top w:val="nil"/>
              <w:left w:val="nil"/>
              <w:bottom w:val="single" w:color="595959" w:sz="8" w:space="0"/>
              <w:right w:val="single" w:color="595959" w:sz="8" w:space="0"/>
            </w:tcBorders>
            <w:shd w:val="clear" w:color="auto" w:fill="auto"/>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567"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1项</w:t>
            </w:r>
          </w:p>
        </w:tc>
        <w:tc>
          <w:tcPr>
            <w:tcW w:w="709"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276"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3402" w:type="dxa"/>
            <w:tcBorders>
              <w:top w:val="nil"/>
              <w:left w:val="nil"/>
              <w:bottom w:val="single" w:color="595959" w:sz="8" w:space="0"/>
              <w:right w:val="single" w:color="595959" w:sz="8" w:space="0"/>
            </w:tcBorders>
            <w:shd w:val="clear" w:color="auto" w:fill="auto"/>
            <w:vAlign w:val="center"/>
          </w:tcPr>
          <w:p>
            <w:pPr>
              <w:widowControl/>
              <w:jc w:val="left"/>
              <w:rPr>
                <w:rFonts w:ascii="微软雅黑" w:hAnsi="微软雅黑" w:eastAsia="微软雅黑" w:cs="宋体"/>
                <w:color w:val="auto"/>
                <w:kern w:val="0"/>
                <w:sz w:val="18"/>
                <w:szCs w:val="18"/>
                <w:highlight w:val="none"/>
              </w:rPr>
            </w:pPr>
          </w:p>
        </w:tc>
        <w:tc>
          <w:tcPr>
            <w:tcW w:w="850"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w:t>
            </w:r>
          </w:p>
        </w:tc>
      </w:tr>
      <w:tr>
        <w:tblPrEx>
          <w:tblCellMar>
            <w:top w:w="0" w:type="dxa"/>
            <w:left w:w="108" w:type="dxa"/>
            <w:bottom w:w="0" w:type="dxa"/>
            <w:right w:w="108" w:type="dxa"/>
          </w:tblCellMar>
        </w:tblPrEx>
        <w:trPr>
          <w:trHeight w:val="30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合计</w:t>
            </w:r>
          </w:p>
        </w:tc>
        <w:tc>
          <w:tcPr>
            <w:tcW w:w="7796" w:type="dxa"/>
            <w:gridSpan w:val="6"/>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r>
      <w:tr>
        <w:tblPrEx>
          <w:tblCellMar>
            <w:top w:w="0" w:type="dxa"/>
            <w:left w:w="108" w:type="dxa"/>
            <w:bottom w:w="0" w:type="dxa"/>
            <w:right w:w="108" w:type="dxa"/>
          </w:tblCellMar>
        </w:tblPrEx>
        <w:trPr>
          <w:trHeight w:val="30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税金</w:t>
            </w:r>
          </w:p>
        </w:tc>
        <w:tc>
          <w:tcPr>
            <w:tcW w:w="7796" w:type="dxa"/>
            <w:gridSpan w:val="6"/>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r>
      <w:tr>
        <w:tblPrEx>
          <w:tblCellMar>
            <w:top w:w="0" w:type="dxa"/>
            <w:left w:w="108" w:type="dxa"/>
            <w:bottom w:w="0" w:type="dxa"/>
            <w:right w:w="108" w:type="dxa"/>
          </w:tblCellMar>
        </w:tblPrEx>
        <w:trPr>
          <w:trHeight w:val="300" w:hRule="atLeast"/>
          <w:jc w:val="center"/>
        </w:trPr>
        <w:tc>
          <w:tcPr>
            <w:tcW w:w="660" w:type="dxa"/>
            <w:tcBorders>
              <w:top w:val="nil"/>
              <w:left w:val="single" w:color="595959" w:sz="8" w:space="0"/>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c>
          <w:tcPr>
            <w:tcW w:w="1315" w:type="dxa"/>
            <w:tcBorders>
              <w:top w:val="nil"/>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总计</w:t>
            </w:r>
          </w:p>
        </w:tc>
        <w:tc>
          <w:tcPr>
            <w:tcW w:w="7796" w:type="dxa"/>
            <w:gridSpan w:val="6"/>
            <w:tcBorders>
              <w:top w:val="single" w:color="595959" w:sz="8" w:space="0"/>
              <w:left w:val="nil"/>
              <w:bottom w:val="single" w:color="595959" w:sz="8" w:space="0"/>
              <w:right w:val="single" w:color="595959" w:sz="8" w:space="0"/>
            </w:tcBorders>
            <w:shd w:val="clear" w:color="auto" w:fill="auto"/>
            <w:noWrap/>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　</w:t>
            </w:r>
          </w:p>
        </w:tc>
      </w:tr>
    </w:tbl>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rPr>
      </w:pPr>
      <w:r>
        <w:rPr>
          <w:rFonts w:hint="eastAsia" w:ascii="宋体" w:hAnsi="宋体"/>
          <w:color w:val="auto"/>
          <w:sz w:val="28"/>
          <w:szCs w:val="28"/>
          <w:highlight w:val="none"/>
        </w:rPr>
        <w:t>授权代表签字：</w:t>
      </w:r>
    </w:p>
    <w:p>
      <w:pPr>
        <w:spacing w:line="360" w:lineRule="auto"/>
        <w:ind w:firstLine="560" w:firstLineChars="200"/>
        <w:rPr>
          <w:rFonts w:ascii="宋体"/>
          <w:color w:val="auto"/>
          <w:sz w:val="28"/>
          <w:szCs w:val="28"/>
          <w:highlight w:val="none"/>
        </w:rPr>
      </w:pP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 xml:space="preserve">月 </w:t>
      </w:r>
      <w:r>
        <w:rPr>
          <w:rFonts w:ascii="宋体" w:hAnsi="宋体"/>
          <w:color w:val="auto"/>
          <w:sz w:val="28"/>
          <w:szCs w:val="28"/>
          <w:highlight w:val="none"/>
        </w:rPr>
        <w:t xml:space="preserve">   </w:t>
      </w:r>
      <w:r>
        <w:rPr>
          <w:rFonts w:hint="eastAsia" w:ascii="宋体" w:hAnsi="宋体"/>
          <w:color w:val="auto"/>
          <w:sz w:val="28"/>
          <w:szCs w:val="28"/>
          <w:highlight w:val="none"/>
        </w:rPr>
        <w:t>日</w:t>
      </w:r>
    </w:p>
    <w:bookmarkEnd w:id="7"/>
    <w:bookmarkEnd w:id="10"/>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4</w:t>
      </w:r>
      <w:r>
        <w:rPr>
          <w:rFonts w:hint="eastAsia" w:ascii="宋体" w:hAnsi="宋体" w:cs="仿宋"/>
          <w:b/>
          <w:bCs/>
          <w:color w:val="auto"/>
          <w:sz w:val="28"/>
          <w:szCs w:val="28"/>
          <w:highlight w:val="none"/>
        </w:rPr>
        <w:t>：评标办法</w:t>
      </w:r>
    </w:p>
    <w:p>
      <w:pPr>
        <w:spacing w:line="440" w:lineRule="exact"/>
        <w:rPr>
          <w:color w:val="auto"/>
          <w:szCs w:val="21"/>
          <w:highlight w:val="none"/>
        </w:rPr>
      </w:pPr>
      <w:r>
        <w:rPr>
          <w:color w:val="auto"/>
          <w:kern w:val="0"/>
          <w:szCs w:val="21"/>
          <w:highlight w:val="none"/>
        </w:rPr>
        <w:t>本项目采用综合评分法确定中标候选人。评标委员会将按以下评标办法和标准进行评分。总分值为100分，</w:t>
      </w:r>
      <w:r>
        <w:rPr>
          <w:color w:val="auto"/>
          <w:szCs w:val="21"/>
          <w:highlight w:val="none"/>
        </w:rPr>
        <w:t>小数点后保留两位。</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Pr>
          <w:p>
            <w:pPr>
              <w:kinsoku w:val="0"/>
              <w:overflowPunct w:val="0"/>
              <w:spacing w:before="88" w:after="120"/>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Pr>
          <w:p>
            <w:pPr>
              <w:kinsoku w:val="0"/>
              <w:overflowPunct w:val="0"/>
              <w:spacing w:before="88" w:after="120"/>
              <w:ind w:right="34" w:rightChars="16"/>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048" w:type="dxa"/>
          </w:tcPr>
          <w:p>
            <w:pPr>
              <w:kinsoku w:val="0"/>
              <w:overflowPunct w:val="0"/>
              <w:spacing w:before="88" w:after="120"/>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color w:val="auto"/>
                <w:szCs w:val="21"/>
                <w:highlight w:val="none"/>
              </w:rPr>
            </w:pPr>
            <w:r>
              <w:rPr>
                <w:rFonts w:hint="eastAsia" w:ascii="宋体" w:hAnsi="宋体" w:cs="宋体"/>
                <w:color w:val="auto"/>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276" w:type="dxa"/>
            <w:vAlign w:val="center"/>
          </w:tcPr>
          <w:p>
            <w:pPr>
              <w:kinsoku w:val="0"/>
              <w:overflowPunct w:val="0"/>
              <w:spacing w:after="120" w:line="360" w:lineRule="exact"/>
              <w:ind w:right="155"/>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103" w:type="dxa"/>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rPr>
              <w:t>分。其他投标人的价格分按照下列公式计算：</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投标报价得分=（评标基准价／投标报价）×</w:t>
            </w: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rPr>
              <w:t>（精确到小数点后两位）</w:t>
            </w:r>
          </w:p>
        </w:tc>
        <w:tc>
          <w:tcPr>
            <w:tcW w:w="1048" w:type="dxa"/>
            <w:vAlign w:val="center"/>
          </w:tcPr>
          <w:p>
            <w:pPr>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color w:val="auto"/>
                <w:kern w:val="0"/>
                <w:szCs w:val="21"/>
                <w:highlight w:val="none"/>
              </w:rPr>
            </w:pPr>
          </w:p>
          <w:p>
            <w:pPr>
              <w:spacing w:line="360" w:lineRule="exact"/>
              <w:jc w:val="center"/>
              <w:rPr>
                <w:rFonts w:hint="eastAsia" w:ascii="宋体" w:hAnsi="宋体" w:cs="宋体"/>
                <w:color w:val="auto"/>
                <w:kern w:val="0"/>
                <w:szCs w:val="21"/>
                <w:highlight w:val="none"/>
              </w:rPr>
            </w:pPr>
          </w:p>
          <w:p>
            <w:pPr>
              <w:spacing w:line="360" w:lineRule="exact"/>
              <w:jc w:val="center"/>
              <w:rPr>
                <w:rFonts w:hint="eastAsia" w:ascii="宋体" w:hAnsi="宋体" w:cs="宋体"/>
                <w:color w:val="auto"/>
                <w:kern w:val="0"/>
                <w:szCs w:val="21"/>
                <w:highlight w:val="none"/>
              </w:rPr>
            </w:pPr>
          </w:p>
          <w:p>
            <w:pPr>
              <w:spacing w:line="360" w:lineRule="exact"/>
              <w:jc w:val="center"/>
              <w:rPr>
                <w:rFonts w:hint="eastAsia" w:ascii="宋体" w:hAnsi="宋体" w:cs="宋体"/>
                <w:color w:val="auto"/>
                <w:kern w:val="0"/>
                <w:szCs w:val="21"/>
                <w:highlight w:val="none"/>
              </w:rPr>
            </w:pPr>
          </w:p>
          <w:p>
            <w:pPr>
              <w:spacing w:line="360" w:lineRule="exact"/>
              <w:jc w:val="center"/>
              <w:rPr>
                <w:rFonts w:hint="eastAsia"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Pr>
          <w:p>
            <w:pPr>
              <w:spacing w:line="360" w:lineRule="exact"/>
              <w:rPr>
                <w:rFonts w:ascii="宋体" w:hAnsi="宋体" w:cs="宋体"/>
                <w:color w:val="auto"/>
                <w:kern w:val="0"/>
                <w:szCs w:val="21"/>
                <w:highlight w:val="none"/>
              </w:rPr>
            </w:pPr>
          </w:p>
          <w:p>
            <w:pPr>
              <w:spacing w:line="360" w:lineRule="exact"/>
              <w:jc w:val="center"/>
              <w:rPr>
                <w:rFonts w:hint="eastAsia" w:ascii="宋体" w:hAnsi="宋体" w:cs="宋体"/>
                <w:color w:val="auto"/>
                <w:kern w:val="0"/>
                <w:szCs w:val="21"/>
                <w:highlight w:val="none"/>
                <w:lang w:val="en-US" w:eastAsia="zh-CN"/>
              </w:rPr>
            </w:pPr>
          </w:p>
          <w:p>
            <w:pPr>
              <w:spacing w:line="360" w:lineRule="exact"/>
              <w:jc w:val="center"/>
              <w:rPr>
                <w:rFonts w:hint="eastAsia" w:ascii="宋体" w:hAnsi="宋体" w:cs="宋体"/>
                <w:color w:val="auto"/>
                <w:kern w:val="0"/>
                <w:szCs w:val="21"/>
                <w:highlight w:val="none"/>
                <w:lang w:val="en-US" w:eastAsia="zh-CN"/>
              </w:rPr>
            </w:pPr>
          </w:p>
          <w:p>
            <w:pPr>
              <w:spacing w:line="360" w:lineRule="exact"/>
              <w:jc w:val="center"/>
              <w:rPr>
                <w:rFonts w:hint="eastAsia" w:ascii="宋体" w:hAnsi="宋体" w:cs="宋体"/>
                <w:color w:val="auto"/>
                <w:kern w:val="0"/>
                <w:szCs w:val="21"/>
                <w:highlight w:val="none"/>
                <w:lang w:val="en-US" w:eastAsia="zh-CN"/>
              </w:rPr>
            </w:pPr>
          </w:p>
          <w:p>
            <w:pPr>
              <w:spacing w:line="360" w:lineRule="exact"/>
              <w:jc w:val="center"/>
              <w:rPr>
                <w:rFonts w:hint="eastAsia" w:ascii="宋体" w:hAnsi="宋体" w:cs="宋体"/>
                <w:color w:val="auto"/>
                <w:kern w:val="0"/>
                <w:szCs w:val="21"/>
                <w:highlight w:val="none"/>
                <w:lang w:val="en-US" w:eastAsia="zh-CN"/>
              </w:rPr>
            </w:pPr>
          </w:p>
          <w:p>
            <w:pPr>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方案</w:t>
            </w:r>
          </w:p>
        </w:tc>
        <w:tc>
          <w:tcPr>
            <w:tcW w:w="5103" w:type="dxa"/>
          </w:tcPr>
          <w:p>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根据招标文件模型尺寸情况，结合制作内容，最大限度的满足模型展示需求，做到模型的空间布局合理，比例设计合适。（最优得分：20分；良得分：10分；一般得分：5分；）</w:t>
            </w:r>
          </w:p>
          <w:p>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设计方案模型使用材质类别、品质效果、制作工艺、展现形式符合招标文件要求，具有相当的创新性，利用现代高科技设备工艺运用，制作出高水准艺术展示模型。（最优得分：20分；良得分：10分；一般得分：5分；）</w:t>
            </w:r>
          </w:p>
          <w:p>
            <w:pPr>
              <w:spacing w:line="360" w:lineRule="exact"/>
              <w:rPr>
                <w:rFonts w:ascii="宋体" w:hAnsi="宋体" w:cs="宋体"/>
                <w:color w:val="auto"/>
                <w:kern w:val="0"/>
                <w:szCs w:val="21"/>
                <w:highlight w:val="none"/>
              </w:rPr>
            </w:pP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color w:val="auto"/>
                <w:szCs w:val="21"/>
                <w:highlight w:val="none"/>
              </w:rPr>
            </w:pPr>
            <w:r>
              <w:rPr>
                <w:rFonts w:hint="eastAsia" w:ascii="宋体" w:hAnsi="宋体" w:cs="宋体"/>
                <w:color w:val="auto"/>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ind w:firstLine="630" w:firstLineChars="300"/>
              <w:jc w:val="both"/>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1</w:t>
            </w:r>
          </w:p>
        </w:tc>
        <w:tc>
          <w:tcPr>
            <w:tcW w:w="1276" w:type="dxa"/>
            <w:vAlign w:val="center"/>
          </w:tcPr>
          <w:p>
            <w:pPr>
              <w:kinsoku w:val="0"/>
              <w:overflowPunct w:val="0"/>
              <w:spacing w:after="120" w:line="360" w:lineRule="exact"/>
              <w:ind w:left="337"/>
              <w:jc w:val="center"/>
              <w:rPr>
                <w:rFonts w:ascii="宋体" w:hAnsi="宋体" w:cs="宋体"/>
                <w:color w:val="auto"/>
                <w:szCs w:val="21"/>
                <w:highlight w:val="none"/>
              </w:rPr>
            </w:pPr>
          </w:p>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p>
            <w:pPr>
              <w:spacing w:line="360" w:lineRule="exact"/>
              <w:jc w:val="center"/>
              <w:rPr>
                <w:rFonts w:ascii="宋体" w:hAnsi="宋体" w:cs="宋体"/>
                <w:color w:val="auto"/>
                <w:kern w:val="0"/>
                <w:szCs w:val="21"/>
                <w:highlight w:val="none"/>
              </w:rPr>
            </w:pPr>
          </w:p>
        </w:tc>
        <w:tc>
          <w:tcPr>
            <w:tcW w:w="5103" w:type="dxa"/>
            <w:vAlign w:val="center"/>
          </w:tcPr>
          <w:p>
            <w:pPr>
              <w:kinsoku w:val="0"/>
              <w:overflowPunct w:val="0"/>
              <w:spacing w:before="88" w:after="120" w:line="360" w:lineRule="exact"/>
              <w:jc w:val="left"/>
              <w:rPr>
                <w:rFonts w:ascii="宋体" w:hAnsi="宋体" w:cs="宋体"/>
                <w:color w:val="auto"/>
                <w:szCs w:val="21"/>
                <w:highlight w:val="none"/>
              </w:rPr>
            </w:pPr>
            <w:r>
              <w:rPr>
                <w:rFonts w:hint="eastAsia" w:ascii="宋体" w:hAnsi="宋体" w:cs="宋体"/>
                <w:color w:val="auto"/>
                <w:szCs w:val="21"/>
                <w:highlight w:val="none"/>
              </w:rPr>
              <w:t>售后服务方案（服务体系、服务内容、故障解决方案、专业技术人员保障及服务电话）最优的得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分，其他不得分。</w:t>
            </w:r>
          </w:p>
        </w:tc>
        <w:tc>
          <w:tcPr>
            <w:tcW w:w="1048" w:type="dxa"/>
            <w:vAlign w:val="center"/>
          </w:tcPr>
          <w:p>
            <w:pPr>
              <w:spacing w:line="360" w:lineRule="exact"/>
              <w:jc w:val="center"/>
              <w:rPr>
                <w:rFonts w:ascii="宋体" w:hAnsi="宋体" w:cs="宋体"/>
                <w:color w:val="auto"/>
                <w:kern w:val="0"/>
                <w:szCs w:val="21"/>
                <w:highlight w:val="none"/>
              </w:rPr>
            </w:pPr>
          </w:p>
          <w:p>
            <w:pPr>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color w:val="auto"/>
                <w:szCs w:val="21"/>
                <w:highlight w:val="none"/>
              </w:rPr>
            </w:pPr>
          </w:p>
          <w:p>
            <w:pPr>
              <w:kinsoku w:val="0"/>
              <w:overflowPunct w:val="0"/>
              <w:spacing w:after="120" w:line="360" w:lineRule="exact"/>
              <w:ind w:left="213" w:firstLine="420" w:firstLineChars="200"/>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Pr>
          <w:p>
            <w:pPr>
              <w:kinsoku w:val="0"/>
              <w:overflowPunct w:val="0"/>
              <w:spacing w:after="120" w:line="360" w:lineRule="exact"/>
              <w:ind w:left="155" w:right="155"/>
              <w:jc w:val="center"/>
              <w:rPr>
                <w:rFonts w:ascii="宋体" w:hAnsi="宋体" w:cs="宋体"/>
                <w:color w:val="auto"/>
                <w:szCs w:val="21"/>
                <w:highlight w:val="none"/>
              </w:rPr>
            </w:pPr>
          </w:p>
          <w:p>
            <w:pPr>
              <w:kinsoku w:val="0"/>
              <w:overflowPunct w:val="0"/>
              <w:spacing w:after="120" w:line="360" w:lineRule="exact"/>
              <w:ind w:left="155" w:right="155"/>
              <w:jc w:val="center"/>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依据投标人自201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月1日以来完成过同类项目案例，每提供一个得</w:t>
            </w:r>
            <w:r>
              <w:rPr>
                <w:rFonts w:ascii="宋体" w:hAnsi="宋体" w:cs="宋体"/>
                <w:color w:val="auto"/>
                <w:szCs w:val="21"/>
                <w:highlight w:val="none"/>
              </w:rPr>
              <w:t>1</w:t>
            </w:r>
            <w:r>
              <w:rPr>
                <w:rFonts w:hint="eastAsia" w:ascii="宋体" w:hAnsi="宋体" w:cs="宋体"/>
                <w:color w:val="auto"/>
                <w:szCs w:val="21"/>
                <w:highlight w:val="none"/>
              </w:rPr>
              <w:t>分，最多</w:t>
            </w:r>
            <w:r>
              <w:rPr>
                <w:rFonts w:ascii="宋体" w:hAnsi="宋体" w:cs="宋体"/>
                <w:color w:val="auto"/>
                <w:szCs w:val="21"/>
                <w:highlight w:val="none"/>
              </w:rPr>
              <w:t>5</w:t>
            </w:r>
            <w:r>
              <w:rPr>
                <w:rFonts w:hint="eastAsia" w:ascii="宋体" w:hAnsi="宋体" w:cs="宋体"/>
                <w:color w:val="auto"/>
                <w:szCs w:val="21"/>
                <w:highlight w:val="none"/>
              </w:rPr>
              <w:t>分。须提供有效的合同（时间以合同签订日期为准）。（复印件加盖公章，原件备查）。</w:t>
            </w:r>
          </w:p>
        </w:tc>
        <w:tc>
          <w:tcPr>
            <w:tcW w:w="1048" w:type="dxa"/>
          </w:tcPr>
          <w:p>
            <w:pPr>
              <w:spacing w:line="360" w:lineRule="exact"/>
              <w:rPr>
                <w:rFonts w:ascii="宋体" w:hAnsi="宋体" w:cs="宋体"/>
                <w:color w:val="auto"/>
                <w:kern w:val="0"/>
                <w:szCs w:val="21"/>
                <w:highlight w:val="none"/>
              </w:rPr>
            </w:pPr>
          </w:p>
          <w:p>
            <w:pPr>
              <w:spacing w:line="36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color w:val="auto"/>
                <w:szCs w:val="21"/>
                <w:highlight w:val="none"/>
              </w:rPr>
            </w:pPr>
            <w:r>
              <w:rPr>
                <w:rFonts w:hint="eastAsia" w:ascii="宋体" w:hAnsi="宋体" w:cs="宋体"/>
                <w:color w:val="auto"/>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color w:val="auto"/>
                <w:szCs w:val="21"/>
                <w:highlight w:val="none"/>
              </w:rPr>
            </w:pPr>
          </w:p>
          <w:p>
            <w:pPr>
              <w:kinsoku w:val="0"/>
              <w:overflowPunct w:val="0"/>
              <w:spacing w:after="120" w:line="360" w:lineRule="exact"/>
              <w:ind w:left="213"/>
              <w:jc w:val="center"/>
              <w:rPr>
                <w:rFonts w:ascii="宋体" w:hAnsi="宋体" w:cs="宋体"/>
                <w:color w:val="auto"/>
                <w:szCs w:val="21"/>
                <w:highlight w:val="none"/>
              </w:rPr>
            </w:pPr>
            <w:r>
              <w:rPr>
                <w:rFonts w:hint="eastAsia" w:ascii="宋体" w:hAnsi="宋体" w:cs="宋体"/>
                <w:color w:val="auto"/>
                <w:szCs w:val="21"/>
                <w:highlight w:val="none"/>
              </w:rPr>
              <w:t>5.1</w:t>
            </w:r>
          </w:p>
          <w:p>
            <w:pPr>
              <w:spacing w:line="360" w:lineRule="exact"/>
              <w:jc w:val="center"/>
              <w:rPr>
                <w:rFonts w:ascii="宋体" w:hAnsi="宋体" w:cs="宋体"/>
                <w:color w:val="auto"/>
                <w:kern w:val="0"/>
                <w:szCs w:val="21"/>
                <w:highlight w:val="none"/>
              </w:rPr>
            </w:pPr>
          </w:p>
        </w:tc>
        <w:tc>
          <w:tcPr>
            <w:tcW w:w="1276" w:type="dxa"/>
            <w:vAlign w:val="center"/>
          </w:tcPr>
          <w:p>
            <w:pPr>
              <w:kinsoku w:val="0"/>
              <w:overflowPunct w:val="0"/>
              <w:spacing w:after="120" w:line="360" w:lineRule="exact"/>
              <w:jc w:val="center"/>
              <w:rPr>
                <w:rFonts w:ascii="宋体" w:hAnsi="宋体" w:cs="宋体"/>
                <w:color w:val="auto"/>
                <w:szCs w:val="21"/>
                <w:highlight w:val="none"/>
              </w:rPr>
            </w:pPr>
            <w:r>
              <w:rPr>
                <w:rFonts w:hint="eastAsia" w:ascii="宋体" w:hAnsi="宋体" w:cs="宋体"/>
                <w:color w:val="auto"/>
                <w:szCs w:val="21"/>
                <w:highlight w:val="none"/>
              </w:rPr>
              <w:t>质量安全体系认证</w:t>
            </w:r>
          </w:p>
          <w:p>
            <w:pPr>
              <w:spacing w:line="360" w:lineRule="exact"/>
              <w:jc w:val="center"/>
              <w:rPr>
                <w:rFonts w:ascii="宋体" w:hAnsi="宋体" w:cs="宋体"/>
                <w:color w:val="auto"/>
                <w:kern w:val="0"/>
                <w:szCs w:val="21"/>
                <w:highlight w:val="none"/>
              </w:rPr>
            </w:pPr>
          </w:p>
        </w:tc>
        <w:tc>
          <w:tcPr>
            <w:tcW w:w="5103" w:type="dxa"/>
          </w:tcPr>
          <w:p>
            <w:pPr>
              <w:kinsoku w:val="0"/>
              <w:overflowPunct w:val="0"/>
              <w:spacing w:before="88" w:after="120" w:line="360" w:lineRule="exact"/>
              <w:ind w:right="155"/>
              <w:rPr>
                <w:rFonts w:ascii="宋体" w:hAnsi="宋体" w:cs="宋体"/>
                <w:color w:val="auto"/>
                <w:szCs w:val="21"/>
                <w:highlight w:val="none"/>
              </w:rPr>
            </w:pPr>
            <w:r>
              <w:rPr>
                <w:rFonts w:hint="eastAsia" w:ascii="宋体" w:hAnsi="宋体" w:cs="宋体"/>
                <w:color w:val="auto"/>
                <w:szCs w:val="21"/>
                <w:highlight w:val="none"/>
              </w:rPr>
              <w:t>投标人具有有效期内的ISO9001质量体系认证，每提供1个得</w:t>
            </w:r>
            <w:r>
              <w:rPr>
                <w:rFonts w:ascii="宋体" w:hAnsi="宋体" w:cs="宋体"/>
                <w:color w:val="auto"/>
                <w:szCs w:val="21"/>
                <w:highlight w:val="none"/>
              </w:rPr>
              <w:t>3</w:t>
            </w:r>
            <w:r>
              <w:rPr>
                <w:rFonts w:hint="eastAsia" w:ascii="宋体" w:hAnsi="宋体" w:cs="宋体"/>
                <w:color w:val="auto"/>
                <w:szCs w:val="21"/>
                <w:highlight w:val="none"/>
              </w:rPr>
              <w:t>分，没有不得分，最多得3分。（复印件加盖单位公章）</w:t>
            </w:r>
          </w:p>
        </w:tc>
        <w:tc>
          <w:tcPr>
            <w:tcW w:w="1048" w:type="dxa"/>
          </w:tcPr>
          <w:p>
            <w:pPr>
              <w:spacing w:line="360" w:lineRule="exact"/>
              <w:rPr>
                <w:rFonts w:ascii="宋体" w:hAnsi="宋体" w:cs="宋体"/>
                <w:color w:val="auto"/>
                <w:kern w:val="0"/>
                <w:szCs w:val="21"/>
                <w:highlight w:val="none"/>
              </w:rPr>
            </w:pPr>
          </w:p>
          <w:p>
            <w:pPr>
              <w:spacing w:line="36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color w:val="auto"/>
                <w:szCs w:val="21"/>
                <w:highlight w:val="none"/>
              </w:rPr>
            </w:pPr>
            <w:r>
              <w:rPr>
                <w:rFonts w:hint="eastAsia" w:ascii="宋体" w:hAnsi="宋体"/>
                <w:color w:val="auto"/>
                <w:szCs w:val="21"/>
                <w:highlight w:val="none"/>
              </w:rPr>
              <w:t>6.1</w:t>
            </w:r>
          </w:p>
        </w:tc>
        <w:tc>
          <w:tcPr>
            <w:tcW w:w="1276" w:type="dxa"/>
            <w:vAlign w:val="center"/>
          </w:tcPr>
          <w:p>
            <w:pPr>
              <w:jc w:val="center"/>
              <w:rPr>
                <w:rFonts w:ascii="宋体" w:hAnsi="宋体"/>
                <w:color w:val="auto"/>
                <w:szCs w:val="21"/>
                <w:highlight w:val="none"/>
              </w:rPr>
            </w:pPr>
            <w:r>
              <w:rPr>
                <w:rFonts w:hint="eastAsia" w:ascii="宋体" w:hAnsi="宋体"/>
                <w:color w:val="auto"/>
                <w:szCs w:val="21"/>
                <w:highlight w:val="none"/>
              </w:rPr>
              <w:t>投标文件便于评审</w:t>
            </w:r>
          </w:p>
        </w:tc>
        <w:tc>
          <w:tcPr>
            <w:tcW w:w="5103" w:type="dxa"/>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r>
    </w:tbl>
    <w:p>
      <w:pPr>
        <w:rPr>
          <w:rFonts w:ascii="宋体"/>
          <w:b/>
          <w:color w:val="auto"/>
          <w:sz w:val="24"/>
          <w:highlight w:val="none"/>
        </w:rPr>
      </w:pPr>
      <w:bookmarkStart w:id="11" w:name="_GoBack"/>
      <w:bookmarkEnd w:id="11"/>
    </w:p>
    <w:p>
      <w:pPr>
        <w:pStyle w:val="2"/>
        <w:ind w:left="0" w:leftChars="0" w:firstLine="0" w:firstLineChars="0"/>
        <w:rPr>
          <w:color w:val="auto"/>
          <w:highlight w:val="none"/>
        </w:rPr>
      </w:pPr>
    </w:p>
    <w:p>
      <w:pPr>
        <w:ind w:firstLine="354" w:firstLineChars="147"/>
        <w:rPr>
          <w:b/>
          <w:color w:val="auto"/>
          <w:highlight w:val="none"/>
          <w:lang w:val="zh-CN"/>
        </w:rPr>
      </w:pPr>
      <w:r>
        <w:rPr>
          <w:rFonts w:hint="eastAsia" w:ascii="宋体"/>
          <w:b/>
          <w:color w:val="auto"/>
          <w:sz w:val="24"/>
          <w:highlight w:val="none"/>
        </w:rPr>
        <w:t>（本部分内容由南京信息工程大学</w:t>
      </w:r>
      <w:r>
        <w:rPr>
          <w:rFonts w:hint="eastAsia" w:ascii="宋体"/>
          <w:b/>
          <w:color w:val="auto"/>
          <w:sz w:val="24"/>
          <w:highlight w:val="none"/>
          <w:lang w:val="en-US" w:eastAsia="zh-CN"/>
        </w:rPr>
        <w:t>金牛湖</w:t>
      </w:r>
      <w:r>
        <w:rPr>
          <w:rFonts w:hint="default" w:ascii="宋体"/>
          <w:b/>
          <w:color w:val="auto"/>
          <w:sz w:val="24"/>
          <w:highlight w:val="none"/>
          <w:lang w:val="en-US" w:eastAsia="zh-CN"/>
        </w:rPr>
        <w:t>产教融合</w:t>
      </w:r>
      <w:r>
        <w:rPr>
          <w:rFonts w:hint="eastAsia" w:ascii="宋体"/>
          <w:b/>
          <w:color w:val="auto"/>
          <w:sz w:val="24"/>
          <w:highlight w:val="none"/>
          <w:lang w:val="en-US" w:eastAsia="zh-CN"/>
        </w:rPr>
        <w:t>园区管委会</w:t>
      </w:r>
      <w:r>
        <w:rPr>
          <w:rFonts w:hint="eastAsia" w:ascii="宋体"/>
          <w:b/>
          <w:color w:val="auto"/>
          <w:sz w:val="24"/>
          <w:highlight w:val="none"/>
        </w:rPr>
        <w:t>提供并负责）</w:t>
      </w:r>
    </w:p>
    <w:p>
      <w:pPr>
        <w:spacing w:line="360" w:lineRule="auto"/>
        <w:rPr>
          <w:b/>
          <w:color w:val="auto"/>
          <w:sz w:val="28"/>
          <w:szCs w:val="28"/>
          <w:highlight w:val="none"/>
        </w:rPr>
      </w:pPr>
    </w:p>
    <w:p>
      <w:pPr>
        <w:spacing w:line="360" w:lineRule="auto"/>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5</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10"/>
        <w:adjustRightInd w:val="0"/>
        <w:snapToGrid w:val="0"/>
        <w:spacing w:before="120" w:after="120" w:line="360" w:lineRule="auto"/>
        <w:ind w:firstLine="658"/>
        <w:jc w:val="center"/>
        <w:rPr>
          <w:rFonts w:hAnsi="宋体"/>
          <w:color w:val="auto"/>
          <w:sz w:val="24"/>
          <w:szCs w:val="24"/>
          <w:highlight w:val="none"/>
        </w:rPr>
      </w:pPr>
      <w:r>
        <w:rPr>
          <w:rFonts w:hint="eastAsia" w:hAnsi="宋体"/>
          <w:color w:val="auto"/>
          <w:sz w:val="24"/>
          <w:szCs w:val="24"/>
          <w:highlight w:val="none"/>
        </w:rPr>
        <w:t>本合同为参考合同文本，最终以甲方审核单位最终审核意见为准。</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10"/>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元人民币。合同金额为完成本项目</w:t>
      </w:r>
    </w:p>
    <w:p>
      <w:pPr>
        <w:pStyle w:val="10"/>
        <w:adjustRightInd w:val="0"/>
        <w:snapToGrid w:val="0"/>
        <w:spacing w:before="120" w:after="120" w:line="360" w:lineRule="auto"/>
        <w:rPr>
          <w:rFonts w:hAnsi="宋体"/>
          <w:color w:val="auto"/>
          <w:sz w:val="24"/>
          <w:szCs w:val="24"/>
          <w:highlight w:val="none"/>
        </w:rPr>
      </w:pPr>
      <w:r>
        <w:rPr>
          <w:rFonts w:hint="eastAsia" w:hAnsi="宋体"/>
          <w:color w:val="auto"/>
          <w:sz w:val="24"/>
          <w:szCs w:val="24"/>
          <w:highlight w:val="none"/>
        </w:rPr>
        <w:t>所需的全部费用，包括但不限于设计费、制作费、人员成本、运输费、装卸费、税金、售后服务等，除此之外，甲方不再向乙方承担其他任何费用支付义务。</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8.1</w:t>
      </w:r>
      <w:r>
        <w:rPr>
          <w:rFonts w:hint="eastAsia" w:hAnsi="宋体"/>
          <w:color w:val="auto"/>
          <w:sz w:val="24"/>
          <w:szCs w:val="24"/>
          <w:highlight w:val="none"/>
        </w:rPr>
        <w:t>质保期1年。（自交货验收合格之日起计）</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10"/>
        <w:adjustRightInd w:val="0"/>
        <w:snapToGrid w:val="0"/>
        <w:spacing w:before="120" w:after="120" w:line="360" w:lineRule="auto"/>
        <w:ind w:left="48" w:firstLine="658"/>
        <w:rPr>
          <w:rFonts w:hAnsi="宋体"/>
          <w:color w:val="auto"/>
          <w:sz w:val="24"/>
          <w:szCs w:val="24"/>
          <w:highlight w:val="none"/>
        </w:rPr>
      </w:pPr>
      <w:r>
        <w:rPr>
          <w:rFonts w:hint="eastAsia" w:hAnsi="宋体"/>
          <w:color w:val="auto"/>
          <w:sz w:val="24"/>
          <w:szCs w:val="24"/>
          <w:highlight w:val="none"/>
        </w:rPr>
        <w:t>9.1 交付时间：乙方应根据甲方的时间要求，制定模型设计方案并经甲方审定后，严格执行。 2022 年   月   日起乙方对模型进行工程施工，乙方必须在 2022 年   月    日前，在甲方指定地点模型总装及调试完毕，甲方对模型进行验收。</w:t>
      </w:r>
    </w:p>
    <w:p>
      <w:pPr>
        <w:pStyle w:val="10"/>
        <w:adjustRightInd w:val="0"/>
        <w:snapToGrid w:val="0"/>
        <w:spacing w:before="120" w:after="120" w:line="360" w:lineRule="auto"/>
        <w:ind w:left="48" w:firstLine="658"/>
        <w:rPr>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int="eastAsia"/>
          <w:color w:val="auto"/>
          <w:sz w:val="24"/>
          <w:szCs w:val="24"/>
          <w:highlight w:val="none"/>
        </w:rPr>
        <w:t>安排专人免费送货上门，并搬运至指定位置。</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交货地点：按照甲方要求配送到指定位置。</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w:t>
      </w:r>
    </w:p>
    <w:p>
      <w:pPr>
        <w:pStyle w:val="10"/>
        <w:adjustRightInd w:val="0"/>
        <w:snapToGrid w:val="0"/>
        <w:spacing w:before="120" w:after="120" w:line="360" w:lineRule="auto"/>
        <w:ind w:left="48" w:firstLine="658"/>
        <w:rPr>
          <w:rFonts w:hAnsi="宋体"/>
          <w:color w:val="auto"/>
          <w:sz w:val="24"/>
          <w:szCs w:val="24"/>
          <w:highlight w:val="none"/>
        </w:rPr>
      </w:pPr>
      <w:r>
        <w:rPr>
          <w:rFonts w:hint="eastAsia" w:hAnsi="宋体"/>
          <w:color w:val="auto"/>
          <w:sz w:val="24"/>
          <w:szCs w:val="24"/>
          <w:highlight w:val="none"/>
        </w:rPr>
        <w:t xml:space="preserve">（1）模型现场制作完成通过甲方验收后，甲方向乙方支付合同总价款的95 %， </w:t>
      </w:r>
    </w:p>
    <w:p>
      <w:pPr>
        <w:pStyle w:val="10"/>
        <w:adjustRightInd w:val="0"/>
        <w:snapToGrid w:val="0"/>
        <w:spacing w:before="120" w:after="120" w:line="360" w:lineRule="auto"/>
        <w:ind w:left="48" w:firstLine="658"/>
        <w:rPr>
          <w:rFonts w:hAnsi="宋体"/>
          <w:color w:val="auto"/>
          <w:sz w:val="24"/>
          <w:szCs w:val="24"/>
          <w:highlight w:val="none"/>
        </w:rPr>
      </w:pPr>
      <w:r>
        <w:rPr>
          <w:rFonts w:hint="eastAsia" w:hAnsi="宋体"/>
          <w:color w:val="auto"/>
          <w:sz w:val="24"/>
          <w:szCs w:val="24"/>
          <w:highlight w:val="none"/>
        </w:rPr>
        <w:t>（2）质保期满无任何质量问题后，剩余合同款一次性付清（不计息）。</w:t>
      </w:r>
    </w:p>
    <w:p>
      <w:pPr>
        <w:ind w:firstLine="723" w:firstLineChars="300"/>
        <w:rPr>
          <w:rFonts w:ascii="宋体"/>
          <w:b/>
          <w:color w:val="auto"/>
          <w:sz w:val="24"/>
          <w:highlight w:val="none"/>
        </w:rPr>
      </w:pPr>
      <w:r>
        <w:rPr>
          <w:rFonts w:hint="eastAsia" w:ascii="宋体" w:hAnsi="宋体"/>
          <w:b/>
          <w:color w:val="auto"/>
          <w:sz w:val="24"/>
          <w:highlight w:val="none"/>
        </w:rPr>
        <w:t>十一、税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1 </w:t>
      </w:r>
      <w:r>
        <w:rPr>
          <w:rFonts w:hint="eastAsia" w:hAnsi="宋体"/>
          <w:color w:val="auto"/>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本合同未尽事宜，遵照《民法典》有关条文执行。</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10"/>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3</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43C5"/>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58F2"/>
    <w:rsid w:val="001D7657"/>
    <w:rsid w:val="001D76D4"/>
    <w:rsid w:val="001E056B"/>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2AF7"/>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108"/>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83B"/>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13C"/>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038"/>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B554C"/>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3751"/>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A4D"/>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16D2"/>
    <w:rsid w:val="00732152"/>
    <w:rsid w:val="00733E6E"/>
    <w:rsid w:val="007344A9"/>
    <w:rsid w:val="00734575"/>
    <w:rsid w:val="00735CFC"/>
    <w:rsid w:val="00735D71"/>
    <w:rsid w:val="00736148"/>
    <w:rsid w:val="00736A76"/>
    <w:rsid w:val="00736B32"/>
    <w:rsid w:val="007401E7"/>
    <w:rsid w:val="00743156"/>
    <w:rsid w:val="00743564"/>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A2F"/>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07"/>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29A9"/>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65E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3D65"/>
    <w:rsid w:val="009243AC"/>
    <w:rsid w:val="0092721C"/>
    <w:rsid w:val="009302BC"/>
    <w:rsid w:val="009302E2"/>
    <w:rsid w:val="009305D2"/>
    <w:rsid w:val="00930F17"/>
    <w:rsid w:val="00932637"/>
    <w:rsid w:val="00934021"/>
    <w:rsid w:val="00934830"/>
    <w:rsid w:val="00935252"/>
    <w:rsid w:val="00935CDC"/>
    <w:rsid w:val="00936E3B"/>
    <w:rsid w:val="0093715C"/>
    <w:rsid w:val="00937BBD"/>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146A"/>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3D13"/>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D7EEC"/>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5D4D"/>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B616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CF6C78"/>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0E5"/>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764AA"/>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62C"/>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1243"/>
    <w:rsid w:val="00EF22DD"/>
    <w:rsid w:val="00EF62FC"/>
    <w:rsid w:val="00EF7252"/>
    <w:rsid w:val="00F00EF4"/>
    <w:rsid w:val="00F021F4"/>
    <w:rsid w:val="00F02FB9"/>
    <w:rsid w:val="00F0301E"/>
    <w:rsid w:val="00F037D9"/>
    <w:rsid w:val="00F06DB3"/>
    <w:rsid w:val="00F07799"/>
    <w:rsid w:val="00F078B8"/>
    <w:rsid w:val="00F1100E"/>
    <w:rsid w:val="00F115D6"/>
    <w:rsid w:val="00F1287A"/>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1607"/>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3E96"/>
    <w:rsid w:val="018204A8"/>
    <w:rsid w:val="0323443A"/>
    <w:rsid w:val="036159EE"/>
    <w:rsid w:val="03DF364B"/>
    <w:rsid w:val="04926F71"/>
    <w:rsid w:val="05B517B2"/>
    <w:rsid w:val="0666393D"/>
    <w:rsid w:val="06CC4290"/>
    <w:rsid w:val="070E7A21"/>
    <w:rsid w:val="076A079F"/>
    <w:rsid w:val="078D73D6"/>
    <w:rsid w:val="07D33D16"/>
    <w:rsid w:val="07D505B7"/>
    <w:rsid w:val="09637941"/>
    <w:rsid w:val="09D122E9"/>
    <w:rsid w:val="09F23E40"/>
    <w:rsid w:val="0AEB2E9F"/>
    <w:rsid w:val="0B675B31"/>
    <w:rsid w:val="0BDF51D7"/>
    <w:rsid w:val="0C3615C8"/>
    <w:rsid w:val="0C4861BD"/>
    <w:rsid w:val="0C7E7AA1"/>
    <w:rsid w:val="0CFE3A2E"/>
    <w:rsid w:val="0D0F05D3"/>
    <w:rsid w:val="0D5C668E"/>
    <w:rsid w:val="0D873213"/>
    <w:rsid w:val="0D8D59F2"/>
    <w:rsid w:val="0D9425DE"/>
    <w:rsid w:val="0D99361C"/>
    <w:rsid w:val="107D340A"/>
    <w:rsid w:val="10EB4170"/>
    <w:rsid w:val="10F05838"/>
    <w:rsid w:val="113C24CA"/>
    <w:rsid w:val="119D0D41"/>
    <w:rsid w:val="11D57EAE"/>
    <w:rsid w:val="12162C3B"/>
    <w:rsid w:val="130F1D58"/>
    <w:rsid w:val="145263CB"/>
    <w:rsid w:val="146723C1"/>
    <w:rsid w:val="14896182"/>
    <w:rsid w:val="14F0793F"/>
    <w:rsid w:val="155010AB"/>
    <w:rsid w:val="15572C10"/>
    <w:rsid w:val="15737A45"/>
    <w:rsid w:val="1584594C"/>
    <w:rsid w:val="15907301"/>
    <w:rsid w:val="15A069B5"/>
    <w:rsid w:val="15A90346"/>
    <w:rsid w:val="15B24E31"/>
    <w:rsid w:val="16AA09BD"/>
    <w:rsid w:val="17652C65"/>
    <w:rsid w:val="17833DE3"/>
    <w:rsid w:val="19775424"/>
    <w:rsid w:val="1A241EC0"/>
    <w:rsid w:val="1A565416"/>
    <w:rsid w:val="1AE96A89"/>
    <w:rsid w:val="1B7E7DF7"/>
    <w:rsid w:val="1C121D57"/>
    <w:rsid w:val="1C1756F5"/>
    <w:rsid w:val="1C4A137C"/>
    <w:rsid w:val="1C57656B"/>
    <w:rsid w:val="1C8F1DE9"/>
    <w:rsid w:val="1DA871CA"/>
    <w:rsid w:val="1EA20A62"/>
    <w:rsid w:val="1F11313D"/>
    <w:rsid w:val="1F956998"/>
    <w:rsid w:val="1FA31BDA"/>
    <w:rsid w:val="20DC5C02"/>
    <w:rsid w:val="20DE7ECC"/>
    <w:rsid w:val="20FE711F"/>
    <w:rsid w:val="2121386E"/>
    <w:rsid w:val="21241474"/>
    <w:rsid w:val="21A70E96"/>
    <w:rsid w:val="225E4DAF"/>
    <w:rsid w:val="22891E2D"/>
    <w:rsid w:val="22A743B8"/>
    <w:rsid w:val="22D33607"/>
    <w:rsid w:val="23FD2509"/>
    <w:rsid w:val="243943F8"/>
    <w:rsid w:val="24E05430"/>
    <w:rsid w:val="25CA29E7"/>
    <w:rsid w:val="267A7579"/>
    <w:rsid w:val="272231F7"/>
    <w:rsid w:val="27961F1E"/>
    <w:rsid w:val="27AD7C03"/>
    <w:rsid w:val="28C46277"/>
    <w:rsid w:val="29062B05"/>
    <w:rsid w:val="29127A38"/>
    <w:rsid w:val="29B9620C"/>
    <w:rsid w:val="2A5433FA"/>
    <w:rsid w:val="2AA66A22"/>
    <w:rsid w:val="2AAA7342"/>
    <w:rsid w:val="2AB43BC5"/>
    <w:rsid w:val="2B243F83"/>
    <w:rsid w:val="2B556F15"/>
    <w:rsid w:val="2B7F4BC3"/>
    <w:rsid w:val="2CE81BAF"/>
    <w:rsid w:val="2D3C187A"/>
    <w:rsid w:val="2DAC05D8"/>
    <w:rsid w:val="2DE728EA"/>
    <w:rsid w:val="2E726843"/>
    <w:rsid w:val="2EC078ED"/>
    <w:rsid w:val="2EDC02FF"/>
    <w:rsid w:val="2EE87C86"/>
    <w:rsid w:val="2EEC5388"/>
    <w:rsid w:val="3073392F"/>
    <w:rsid w:val="307621D0"/>
    <w:rsid w:val="3172033E"/>
    <w:rsid w:val="3227588C"/>
    <w:rsid w:val="325F6558"/>
    <w:rsid w:val="327B2543"/>
    <w:rsid w:val="331653E5"/>
    <w:rsid w:val="341C30A3"/>
    <w:rsid w:val="351529A9"/>
    <w:rsid w:val="35396A06"/>
    <w:rsid w:val="355A74E9"/>
    <w:rsid w:val="35FD1F7A"/>
    <w:rsid w:val="36616918"/>
    <w:rsid w:val="366D672C"/>
    <w:rsid w:val="3676129B"/>
    <w:rsid w:val="36E3150F"/>
    <w:rsid w:val="38310C0D"/>
    <w:rsid w:val="3836614A"/>
    <w:rsid w:val="384A4707"/>
    <w:rsid w:val="385D644E"/>
    <w:rsid w:val="38F33167"/>
    <w:rsid w:val="39861ED8"/>
    <w:rsid w:val="39C83C69"/>
    <w:rsid w:val="39CE5E1D"/>
    <w:rsid w:val="3A9701E9"/>
    <w:rsid w:val="3B4244C5"/>
    <w:rsid w:val="3BD53EDD"/>
    <w:rsid w:val="3BFD5007"/>
    <w:rsid w:val="3C003247"/>
    <w:rsid w:val="3C8E6F2D"/>
    <w:rsid w:val="3D29758D"/>
    <w:rsid w:val="3D6145DC"/>
    <w:rsid w:val="3E495BEB"/>
    <w:rsid w:val="3E5E0082"/>
    <w:rsid w:val="3EDB4EA4"/>
    <w:rsid w:val="3F163732"/>
    <w:rsid w:val="3F9F3463"/>
    <w:rsid w:val="3FC31914"/>
    <w:rsid w:val="405D6728"/>
    <w:rsid w:val="40FD6FDA"/>
    <w:rsid w:val="41110191"/>
    <w:rsid w:val="414A37BB"/>
    <w:rsid w:val="416C1B7B"/>
    <w:rsid w:val="41B45A04"/>
    <w:rsid w:val="42643A73"/>
    <w:rsid w:val="42AA1012"/>
    <w:rsid w:val="439F6D58"/>
    <w:rsid w:val="43FB66E3"/>
    <w:rsid w:val="44842A36"/>
    <w:rsid w:val="44A458E2"/>
    <w:rsid w:val="44DC7F4B"/>
    <w:rsid w:val="45651876"/>
    <w:rsid w:val="45CC523B"/>
    <w:rsid w:val="466F6CEB"/>
    <w:rsid w:val="46AA377D"/>
    <w:rsid w:val="46BB7930"/>
    <w:rsid w:val="49363676"/>
    <w:rsid w:val="49713AA7"/>
    <w:rsid w:val="499A2688"/>
    <w:rsid w:val="49D47D5A"/>
    <w:rsid w:val="49F62026"/>
    <w:rsid w:val="4A4B48E3"/>
    <w:rsid w:val="4B1A7369"/>
    <w:rsid w:val="4B5137BF"/>
    <w:rsid w:val="4C2C6922"/>
    <w:rsid w:val="4D4D6AF7"/>
    <w:rsid w:val="4D774E55"/>
    <w:rsid w:val="4D7B6445"/>
    <w:rsid w:val="4DA86B45"/>
    <w:rsid w:val="4DD06B99"/>
    <w:rsid w:val="4E3720DD"/>
    <w:rsid w:val="4F2320A5"/>
    <w:rsid w:val="4F510F39"/>
    <w:rsid w:val="4F5A0990"/>
    <w:rsid w:val="4FAF38AA"/>
    <w:rsid w:val="503D78E7"/>
    <w:rsid w:val="50630D8E"/>
    <w:rsid w:val="51286055"/>
    <w:rsid w:val="51497070"/>
    <w:rsid w:val="51536D04"/>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804270C"/>
    <w:rsid w:val="581F495D"/>
    <w:rsid w:val="58484116"/>
    <w:rsid w:val="58DA78C0"/>
    <w:rsid w:val="58E017CC"/>
    <w:rsid w:val="59F73FC6"/>
    <w:rsid w:val="5A770570"/>
    <w:rsid w:val="5AC859BF"/>
    <w:rsid w:val="5B4C17F1"/>
    <w:rsid w:val="5B9F7FBE"/>
    <w:rsid w:val="5C0F2072"/>
    <w:rsid w:val="5CFC1D50"/>
    <w:rsid w:val="5D4F0A1F"/>
    <w:rsid w:val="5E6C25B6"/>
    <w:rsid w:val="5E84123F"/>
    <w:rsid w:val="5F0028BB"/>
    <w:rsid w:val="5F2528F6"/>
    <w:rsid w:val="5F9764C2"/>
    <w:rsid w:val="603300A7"/>
    <w:rsid w:val="607E0927"/>
    <w:rsid w:val="60D968DA"/>
    <w:rsid w:val="60F41422"/>
    <w:rsid w:val="619D5BCC"/>
    <w:rsid w:val="62107539"/>
    <w:rsid w:val="6233128F"/>
    <w:rsid w:val="62635DDC"/>
    <w:rsid w:val="62F71652"/>
    <w:rsid w:val="62FE3555"/>
    <w:rsid w:val="63D7368B"/>
    <w:rsid w:val="63EA24F1"/>
    <w:rsid w:val="657A0549"/>
    <w:rsid w:val="665A104A"/>
    <w:rsid w:val="66ED444E"/>
    <w:rsid w:val="67484273"/>
    <w:rsid w:val="67883798"/>
    <w:rsid w:val="68A603CF"/>
    <w:rsid w:val="69362162"/>
    <w:rsid w:val="69D32689"/>
    <w:rsid w:val="69E27B06"/>
    <w:rsid w:val="69EA623B"/>
    <w:rsid w:val="6A0F3694"/>
    <w:rsid w:val="6A5445FC"/>
    <w:rsid w:val="6A5C1E75"/>
    <w:rsid w:val="6AB76CFB"/>
    <w:rsid w:val="6ABA08C1"/>
    <w:rsid w:val="6B5B46E4"/>
    <w:rsid w:val="6BBD714D"/>
    <w:rsid w:val="6BC1702A"/>
    <w:rsid w:val="6C282248"/>
    <w:rsid w:val="6CA07FE2"/>
    <w:rsid w:val="6CBD55AC"/>
    <w:rsid w:val="6CC149BE"/>
    <w:rsid w:val="6DE636A7"/>
    <w:rsid w:val="6DE86594"/>
    <w:rsid w:val="6E5C2511"/>
    <w:rsid w:val="708C6892"/>
    <w:rsid w:val="70CF5460"/>
    <w:rsid w:val="718764FD"/>
    <w:rsid w:val="725831A5"/>
    <w:rsid w:val="732C6966"/>
    <w:rsid w:val="73607DE9"/>
    <w:rsid w:val="73711235"/>
    <w:rsid w:val="73F74CCC"/>
    <w:rsid w:val="74A47C6A"/>
    <w:rsid w:val="753E278B"/>
    <w:rsid w:val="75BE6EB5"/>
    <w:rsid w:val="75DE03EB"/>
    <w:rsid w:val="7815375E"/>
    <w:rsid w:val="78423357"/>
    <w:rsid w:val="7861192B"/>
    <w:rsid w:val="790D6252"/>
    <w:rsid w:val="7948492D"/>
    <w:rsid w:val="79B750A1"/>
    <w:rsid w:val="79F640F2"/>
    <w:rsid w:val="7A60675D"/>
    <w:rsid w:val="7AD8769F"/>
    <w:rsid w:val="7AE40810"/>
    <w:rsid w:val="7AF83CFD"/>
    <w:rsid w:val="7B0749C7"/>
    <w:rsid w:val="7B1C59E8"/>
    <w:rsid w:val="7BBB6C68"/>
    <w:rsid w:val="7C574749"/>
    <w:rsid w:val="7C8E2CF6"/>
    <w:rsid w:val="7C967B8B"/>
    <w:rsid w:val="7CD015B7"/>
    <w:rsid w:val="7E3F60E7"/>
    <w:rsid w:val="7E4931C0"/>
    <w:rsid w:val="7E4F190E"/>
    <w:rsid w:val="7E7248EE"/>
    <w:rsid w:val="7EEF6C2A"/>
    <w:rsid w:val="7F074C20"/>
    <w:rsid w:val="7F363A3A"/>
    <w:rsid w:val="7FDF1E58"/>
    <w:rsid w:val="7FF15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rPr>
      <w:rFonts w:ascii="宋体" w:hAnsi="Courier New"/>
      <w:szCs w:val="20"/>
    </w:rPr>
  </w:style>
  <w:style w:type="paragraph" w:styleId="11">
    <w:name w:val="Date"/>
    <w:basedOn w:val="1"/>
    <w:next w:val="1"/>
    <w:link w:val="28"/>
    <w:qFormat/>
    <w:uiPriority w:val="99"/>
    <w:pPr>
      <w:ind w:left="100" w:leftChars="2500"/>
    </w:pPr>
    <w:rPr>
      <w:sz w:val="24"/>
      <w:szCs w:val="20"/>
    </w:rPr>
  </w:style>
  <w:style w:type="paragraph" w:styleId="12">
    <w:name w:val="footer"/>
    <w:basedOn w:val="1"/>
    <w:link w:val="29"/>
    <w:qFormat/>
    <w:uiPriority w:val="99"/>
    <w:pPr>
      <w:tabs>
        <w:tab w:val="center" w:pos="4153"/>
        <w:tab w:val="right" w:pos="8306"/>
      </w:tabs>
      <w:snapToGrid w:val="0"/>
      <w:jc w:val="left"/>
    </w:pPr>
    <w:rPr>
      <w:kern w:val="0"/>
      <w:sz w:val="18"/>
      <w:szCs w:val="18"/>
    </w:r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link w:val="54"/>
    <w:qFormat/>
    <w:uiPriority w:val="0"/>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rFonts w:ascii="Times New Roman" w:hAnsi="Times New Roman" w:eastAsia="宋体" w:cs="Times New Roman"/>
      <w:b/>
    </w:rPr>
  </w:style>
  <w:style w:type="character" w:styleId="21">
    <w:name w:val="page number"/>
    <w:basedOn w:val="19"/>
    <w:qFormat/>
    <w:locked/>
    <w:uiPriority w:val="0"/>
  </w:style>
  <w:style w:type="character" w:styleId="22">
    <w:name w:val="Hyperlink"/>
    <w:qFormat/>
    <w:uiPriority w:val="99"/>
    <w:rPr>
      <w:rFonts w:cs="Times New Roman"/>
      <w:color w:val="0563C1"/>
      <w:u w:val="single"/>
    </w:rPr>
  </w:style>
  <w:style w:type="character" w:styleId="23">
    <w:name w:val="annotation reference"/>
    <w:basedOn w:val="19"/>
    <w:qFormat/>
    <w:uiPriority w:val="99"/>
    <w:rPr>
      <w:rFonts w:cs="Times New Roman"/>
      <w:sz w:val="21"/>
    </w:rPr>
  </w:style>
  <w:style w:type="character" w:customStyle="1" w:styleId="24">
    <w:name w:val="标题 1 字符"/>
    <w:link w:val="3"/>
    <w:qFormat/>
    <w:locked/>
    <w:uiPriority w:val="99"/>
    <w:rPr>
      <w:rFonts w:cs="Times New Roman"/>
      <w:b/>
      <w:kern w:val="44"/>
      <w:sz w:val="44"/>
    </w:rPr>
  </w:style>
  <w:style w:type="character" w:customStyle="1" w:styleId="25">
    <w:name w:val="批注文字 字符"/>
    <w:link w:val="5"/>
    <w:qFormat/>
    <w:locked/>
    <w:uiPriority w:val="99"/>
    <w:rPr>
      <w:rFonts w:cs="Times New Roman"/>
      <w:kern w:val="2"/>
      <w:sz w:val="24"/>
    </w:rPr>
  </w:style>
  <w:style w:type="character" w:customStyle="1" w:styleId="26">
    <w:name w:val="正文文本缩进 字符"/>
    <w:link w:val="7"/>
    <w:qFormat/>
    <w:locked/>
    <w:uiPriority w:val="99"/>
    <w:rPr>
      <w:rFonts w:ascii="等线" w:eastAsia="等线" w:cs="Times New Roman"/>
      <w:kern w:val="2"/>
      <w:sz w:val="22"/>
    </w:rPr>
  </w:style>
  <w:style w:type="character" w:customStyle="1" w:styleId="27">
    <w:name w:val="纯文本 字符"/>
    <w:link w:val="10"/>
    <w:qFormat/>
    <w:locked/>
    <w:uiPriority w:val="0"/>
    <w:rPr>
      <w:rFonts w:ascii="宋体" w:hAnsi="Courier New" w:cs="Times New Roman"/>
      <w:kern w:val="2"/>
      <w:sz w:val="21"/>
    </w:rPr>
  </w:style>
  <w:style w:type="character" w:customStyle="1" w:styleId="28">
    <w:name w:val="日期 字符"/>
    <w:link w:val="11"/>
    <w:qFormat/>
    <w:locked/>
    <w:uiPriority w:val="99"/>
    <w:rPr>
      <w:rFonts w:cs="Times New Roman"/>
      <w:kern w:val="2"/>
      <w:sz w:val="24"/>
    </w:rPr>
  </w:style>
  <w:style w:type="character" w:customStyle="1" w:styleId="29">
    <w:name w:val="页脚 字符"/>
    <w:link w:val="12"/>
    <w:semiHidden/>
    <w:qFormat/>
    <w:locked/>
    <w:uiPriority w:val="99"/>
    <w:rPr>
      <w:rFonts w:cs="Times New Roman"/>
      <w:sz w:val="18"/>
      <w:szCs w:val="18"/>
    </w:rPr>
  </w:style>
  <w:style w:type="character" w:customStyle="1" w:styleId="30">
    <w:name w:val="页眉 字符"/>
    <w:link w:val="13"/>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表段落 字符"/>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标题 1 Char"/>
    <w:qFormat/>
    <w:locked/>
    <w:uiPriority w:val="99"/>
    <w:rPr>
      <w:rFonts w:cs="Times New Roman"/>
      <w:b/>
      <w:kern w:val="44"/>
      <w:sz w:val="44"/>
    </w:rPr>
  </w:style>
  <w:style w:type="character" w:customStyle="1" w:styleId="53">
    <w:name w:val="标题 字符"/>
    <w:basedOn w:val="19"/>
    <w:qFormat/>
    <w:uiPriority w:val="0"/>
    <w:rPr>
      <w:rFonts w:asciiTheme="majorHAnsi" w:hAnsiTheme="majorHAnsi" w:eastAsiaTheme="majorEastAsia" w:cstheme="majorBidi"/>
      <w:b/>
      <w:bCs/>
      <w:kern w:val="2"/>
      <w:sz w:val="32"/>
      <w:szCs w:val="32"/>
    </w:rPr>
  </w:style>
  <w:style w:type="character" w:customStyle="1" w:styleId="54">
    <w:name w:val="标题 字符1"/>
    <w:link w:val="15"/>
    <w:qFormat/>
    <w:uiPriority w:val="0"/>
    <w:rPr>
      <w:rFonts w:eastAsia="黑体"/>
      <w:b/>
      <w:sz w:val="28"/>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11910</Words>
  <Characters>12596</Characters>
  <Lines>95</Lines>
  <Paragraphs>26</Paragraphs>
  <TotalTime>4</TotalTime>
  <ScaleCrop>false</ScaleCrop>
  <LinksUpToDate>false</LinksUpToDate>
  <CharactersWithSpaces>12829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2022-12-14T07:34:00Z</dcterms:created>
  <dc:creator>微软用户</dc:creator>
  <cp:lastModifiedBy>Administrator</cp:lastModifiedBy>
  <cp:lastPrinted>2019-11-22T01:53:00Z</cp:lastPrinted>
  <dcterms:modified xsi:type="dcterms:W3CDTF">2023-01-04T06:29:26Z</dcterms:modified>
  <dc:title>淮海工学院A8-10号楼学生宿舍家具招标书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76439566ED7C4EF5A470239DB096807A</vt:lpwstr>
  </property>
</Properties>
</file>