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rPr>
      </w:pPr>
      <w:bookmarkStart w:id="0" w:name="OLE_LINK1"/>
      <w:bookmarkStart w:id="1" w:name="OLE_LINK2"/>
      <w:r>
        <w:rPr>
          <w:b/>
          <w:color w:val="auto"/>
          <w:sz w:val="44"/>
          <w:szCs w:val="44"/>
        </w:rPr>
        <w:t>南京信息工程大学</w:t>
      </w:r>
      <w:bookmarkEnd w:id="0"/>
      <w:bookmarkEnd w:id="1"/>
      <w:r>
        <w:rPr>
          <w:b/>
          <w:color w:val="auto"/>
          <w:sz w:val="44"/>
          <w:szCs w:val="44"/>
        </w:rPr>
        <w:t>大学生创新创业实践教育中心信息化平台</w:t>
      </w:r>
      <w:r>
        <w:rPr>
          <w:rFonts w:hint="eastAsia" w:ascii="宋体" w:hAnsi="宋体"/>
          <w:b/>
          <w:color w:val="auto"/>
          <w:sz w:val="44"/>
          <w:szCs w:val="44"/>
        </w:rPr>
        <w:t>采购</w:t>
      </w:r>
      <w:r>
        <w:rPr>
          <w:rFonts w:hint="eastAsia"/>
          <w:b/>
          <w:color w:val="auto"/>
          <w:sz w:val="44"/>
          <w:szCs w:val="44"/>
        </w:rPr>
        <w:t>项目</w:t>
      </w:r>
      <w:r>
        <w:rPr>
          <w:b/>
          <w:color w:val="auto"/>
          <w:sz w:val="44"/>
          <w:szCs w:val="44"/>
        </w:rPr>
        <w:t>招标文件</w:t>
      </w:r>
    </w:p>
    <w:p>
      <w:pPr>
        <w:pStyle w:val="8"/>
        <w:ind w:left="1470" w:right="1470"/>
        <w:rPr>
          <w:color w:val="auto"/>
        </w:rPr>
      </w:pPr>
    </w:p>
    <w:p>
      <w:pPr>
        <w:adjustRightInd w:val="0"/>
        <w:snapToGrid w:val="0"/>
        <w:spacing w:line="360" w:lineRule="auto"/>
        <w:jc w:val="center"/>
        <w:rPr>
          <w:rFonts w:ascii="宋体" w:hAnsi="宋体" w:cs="仿宋"/>
          <w:color w:val="auto"/>
          <w:sz w:val="28"/>
          <w:szCs w:val="28"/>
        </w:rPr>
      </w:pPr>
      <w:r>
        <w:rPr>
          <w:rFonts w:hint="eastAsia" w:ascii="宋体" w:hAnsi="宋体" w:cs="仿宋"/>
          <w:color w:val="auto"/>
          <w:sz w:val="28"/>
          <w:szCs w:val="28"/>
        </w:rPr>
        <w:t>（招标编号：</w:t>
      </w:r>
      <w:r>
        <w:rPr>
          <w:rFonts w:hint="eastAsia" w:ascii="宋体" w:hAnsi="宋体" w:cs="仿宋"/>
          <w:color w:val="auto"/>
          <w:sz w:val="28"/>
          <w:szCs w:val="28"/>
          <w:u w:val="single"/>
        </w:rPr>
        <w:t xml:space="preserve">  JZCG-2022-00027 </w:t>
      </w:r>
      <w:r>
        <w:rPr>
          <w:rFonts w:hint="eastAsia" w:ascii="宋体" w:hAnsi="宋体" w:cs="仿宋"/>
          <w:color w:val="auto"/>
          <w:sz w:val="28"/>
          <w:szCs w:val="28"/>
        </w:rPr>
        <w:t xml:space="preserve"> ）</w:t>
      </w:r>
    </w:p>
    <w:p>
      <w:pPr>
        <w:adjustRightInd w:val="0"/>
        <w:snapToGrid w:val="0"/>
        <w:spacing w:line="360" w:lineRule="auto"/>
        <w:jc w:val="center"/>
        <w:rPr>
          <w:rFonts w:ascii="宋体" w:cs="仿宋"/>
          <w:color w:val="auto"/>
          <w:sz w:val="28"/>
          <w:szCs w:val="28"/>
        </w:rPr>
      </w:pPr>
    </w:p>
    <w:p>
      <w:pPr>
        <w:adjustRightInd w:val="0"/>
        <w:snapToGrid w:val="0"/>
        <w:spacing w:line="360" w:lineRule="auto"/>
        <w:jc w:val="center"/>
        <w:rPr>
          <w:rFonts w:ascii="宋体" w:cs="仿宋"/>
          <w:color w:val="auto"/>
          <w:sz w:val="28"/>
          <w:szCs w:val="28"/>
        </w:rPr>
      </w:pPr>
      <w:r>
        <w:rPr>
          <w:rFonts w:ascii="宋体" w:hAnsi="宋体" w:cs="仿宋"/>
          <w:color w:val="auto"/>
          <w:sz w:val="28"/>
          <w:szCs w:val="28"/>
        </w:rPr>
        <w:t>(</w:t>
      </w:r>
      <w:r>
        <w:rPr>
          <w:rFonts w:ascii="宋体" w:hAnsi="宋体" w:cs="仿宋"/>
          <w:color w:val="auto"/>
          <w:sz w:val="28"/>
          <w:szCs w:val="28"/>
          <w:u w:val="single"/>
        </w:rPr>
        <w:t>20</w:t>
      </w:r>
      <w:r>
        <w:rPr>
          <w:rFonts w:hint="eastAsia" w:ascii="宋体" w:hAnsi="宋体" w:cs="仿宋"/>
          <w:color w:val="auto"/>
          <w:sz w:val="28"/>
          <w:szCs w:val="28"/>
          <w:u w:val="single"/>
        </w:rPr>
        <w:t>22年</w:t>
      </w:r>
      <w:r>
        <w:rPr>
          <w:rFonts w:hint="eastAsia" w:ascii="宋体" w:hAnsi="宋体" w:cs="仿宋"/>
          <w:color w:val="auto"/>
          <w:sz w:val="28"/>
          <w:szCs w:val="28"/>
          <w:u w:val="single"/>
          <w:lang w:val="en-US" w:eastAsia="zh-CN"/>
        </w:rPr>
        <w:t>0</w:t>
      </w:r>
      <w:r>
        <w:rPr>
          <w:rFonts w:hint="eastAsia" w:ascii="宋体" w:hAnsi="宋体" w:cs="仿宋"/>
          <w:color w:val="auto"/>
          <w:sz w:val="28"/>
          <w:szCs w:val="28"/>
          <w:u w:val="single"/>
        </w:rPr>
        <w:t>3月</w:t>
      </w:r>
      <w:r>
        <w:rPr>
          <w:rFonts w:hint="eastAsia" w:ascii="宋体" w:hAnsi="宋体" w:cs="仿宋"/>
          <w:color w:val="auto"/>
          <w:sz w:val="28"/>
          <w:szCs w:val="28"/>
          <w:u w:val="single"/>
          <w:lang w:val="en-US" w:eastAsia="zh-CN"/>
        </w:rPr>
        <w:t>31</w:t>
      </w:r>
      <w:r>
        <w:rPr>
          <w:rFonts w:hint="eastAsia" w:ascii="宋体" w:hAnsi="宋体" w:cs="仿宋"/>
          <w:color w:val="auto"/>
          <w:sz w:val="28"/>
          <w:szCs w:val="28"/>
          <w:u w:val="single"/>
        </w:rPr>
        <w:t>日16：</w:t>
      </w:r>
      <w:r>
        <w:rPr>
          <w:rFonts w:ascii="宋体" w:cs="仿宋"/>
          <w:color w:val="auto"/>
          <w:sz w:val="28"/>
          <w:szCs w:val="28"/>
          <w:u w:val="single"/>
        </w:rPr>
        <w:t>00</w:t>
      </w:r>
      <w:r>
        <w:rPr>
          <w:rFonts w:hint="eastAsia" w:ascii="宋体" w:hAnsi="宋体" w:cs="仿宋"/>
          <w:color w:val="auto"/>
          <w:sz w:val="28"/>
          <w:szCs w:val="28"/>
          <w:u w:val="single"/>
        </w:rPr>
        <w:t>定标发标版</w:t>
      </w:r>
      <w:r>
        <w:rPr>
          <w:rFonts w:ascii="宋体" w:hAnsi="宋体" w:cs="仿宋"/>
          <w:color w:val="auto"/>
          <w:sz w:val="28"/>
          <w:szCs w:val="28"/>
        </w:rPr>
        <w:t>)</w:t>
      </w:r>
    </w:p>
    <w:p>
      <w:pPr>
        <w:jc w:val="center"/>
        <w:rPr>
          <w:b/>
          <w:color w:val="auto"/>
          <w:sz w:val="28"/>
          <w:szCs w:val="28"/>
        </w:rPr>
      </w:pPr>
    </w:p>
    <w:p>
      <w:pPr>
        <w:spacing w:line="360" w:lineRule="auto"/>
        <w:ind w:firstLine="560" w:firstLineChars="200"/>
        <w:rPr>
          <w:rFonts w:ascii="宋体" w:hAnsi="宋体"/>
          <w:color w:val="auto"/>
          <w:sz w:val="28"/>
          <w:szCs w:val="28"/>
        </w:rPr>
      </w:pPr>
      <w:r>
        <w:rPr>
          <w:rFonts w:ascii="宋体" w:hAnsi="宋体"/>
          <w:color w:val="auto"/>
          <w:sz w:val="28"/>
          <w:szCs w:val="28"/>
        </w:rPr>
        <w:t>为满足学校相关</w:t>
      </w:r>
      <w:r>
        <w:rPr>
          <w:rFonts w:hint="eastAsia" w:ascii="宋体" w:hAnsi="宋体"/>
          <w:color w:val="auto"/>
          <w:sz w:val="28"/>
          <w:szCs w:val="28"/>
        </w:rPr>
        <w:t>教学</w:t>
      </w:r>
      <w:r>
        <w:rPr>
          <w:rFonts w:ascii="宋体" w:hAnsi="宋体"/>
          <w:color w:val="auto"/>
          <w:sz w:val="28"/>
          <w:szCs w:val="28"/>
        </w:rPr>
        <w:t>科研工作需要，</w:t>
      </w:r>
      <w:r>
        <w:rPr>
          <w:rFonts w:ascii="宋体" w:hAnsi="宋体"/>
          <w:color w:val="auto"/>
          <w:sz w:val="28"/>
          <w:szCs w:val="28"/>
          <w:highlight w:val="none"/>
        </w:rPr>
        <w:t>受校</w:t>
      </w:r>
      <w:r>
        <w:rPr>
          <w:rFonts w:hint="eastAsia" w:ascii="宋体" w:hAnsi="宋体"/>
          <w:color w:val="auto"/>
          <w:sz w:val="28"/>
          <w:szCs w:val="28"/>
          <w:highlight w:val="none"/>
          <w:lang w:val="en-US" w:eastAsia="zh-CN"/>
        </w:rPr>
        <w:t>教务处</w:t>
      </w:r>
      <w:r>
        <w:rPr>
          <w:rFonts w:ascii="宋体" w:hAnsi="宋体"/>
          <w:color w:val="auto"/>
          <w:sz w:val="28"/>
          <w:szCs w:val="28"/>
          <w:highlight w:val="none"/>
        </w:rPr>
        <w:t>委托，</w:t>
      </w:r>
      <w:r>
        <w:rPr>
          <w:rFonts w:ascii="宋体" w:hAnsi="宋体"/>
          <w:color w:val="auto"/>
          <w:sz w:val="28"/>
          <w:szCs w:val="28"/>
        </w:rPr>
        <w:t>就大学生创新创业实践教育中心信息化平台</w:t>
      </w:r>
      <w:r>
        <w:rPr>
          <w:rFonts w:hint="eastAsia" w:ascii="宋体" w:hAnsi="宋体"/>
          <w:color w:val="auto"/>
          <w:sz w:val="28"/>
          <w:szCs w:val="28"/>
        </w:rPr>
        <w:t>采购项目</w:t>
      </w:r>
      <w:r>
        <w:rPr>
          <w:rFonts w:ascii="宋体" w:hAnsi="宋体"/>
          <w:color w:val="auto"/>
          <w:sz w:val="28"/>
          <w:szCs w:val="28"/>
        </w:rPr>
        <w:t>进行公开招标，欢迎符合条件的供应商报名投标，现将有关情况说明如下：</w:t>
      </w:r>
    </w:p>
    <w:p>
      <w:pPr>
        <w:spacing w:line="360" w:lineRule="auto"/>
        <w:ind w:firstLine="480" w:firstLineChars="200"/>
        <w:rPr>
          <w:color w:val="auto"/>
          <w:sz w:val="24"/>
        </w:rPr>
      </w:pPr>
    </w:p>
    <w:p>
      <w:pPr>
        <w:pStyle w:val="40"/>
        <w:spacing w:line="360" w:lineRule="auto"/>
        <w:ind w:firstLine="0" w:firstLineChars="0"/>
        <w:jc w:val="center"/>
        <w:rPr>
          <w:rFonts w:ascii="宋体" w:hAnsi="宋体" w:cs="仿宋"/>
          <w:b/>
          <w:bCs/>
          <w:color w:val="auto"/>
          <w:kern w:val="2"/>
          <w:sz w:val="28"/>
          <w:szCs w:val="28"/>
        </w:rPr>
      </w:pPr>
      <w:r>
        <w:rPr>
          <w:rFonts w:hint="eastAsia" w:ascii="宋体" w:hAnsi="宋体" w:cs="仿宋"/>
          <w:b/>
          <w:bCs/>
          <w:color w:val="auto"/>
          <w:kern w:val="2"/>
          <w:sz w:val="28"/>
          <w:szCs w:val="28"/>
        </w:rPr>
        <w:t>一、招标项目名称及简要说明</w:t>
      </w:r>
    </w:p>
    <w:p>
      <w:pPr>
        <w:pStyle w:val="40"/>
        <w:spacing w:line="360" w:lineRule="auto"/>
        <w:ind w:firstLine="560"/>
        <w:rPr>
          <w:rFonts w:ascii="宋体" w:hAnsi="宋体"/>
          <w:color w:val="auto"/>
          <w:kern w:val="2"/>
          <w:sz w:val="28"/>
          <w:szCs w:val="28"/>
        </w:rPr>
      </w:pPr>
      <w:r>
        <w:rPr>
          <w:rFonts w:ascii="宋体" w:hAnsi="宋体"/>
          <w:color w:val="auto"/>
          <w:kern w:val="2"/>
          <w:sz w:val="28"/>
          <w:szCs w:val="28"/>
        </w:rPr>
        <w:t>1. 项目名称：南京信息工程大学大学生创新创业实践教育中心信息化平台</w:t>
      </w:r>
      <w:r>
        <w:rPr>
          <w:rFonts w:hint="eastAsia" w:ascii="宋体" w:hAnsi="宋体"/>
          <w:color w:val="auto"/>
          <w:sz w:val="28"/>
          <w:szCs w:val="28"/>
        </w:rPr>
        <w:t>采购项目</w:t>
      </w:r>
      <w:r>
        <w:rPr>
          <w:rFonts w:ascii="宋体" w:hAnsi="宋体"/>
          <w:color w:val="auto"/>
          <w:kern w:val="2"/>
          <w:sz w:val="28"/>
          <w:szCs w:val="28"/>
        </w:rPr>
        <w:t>。</w:t>
      </w:r>
    </w:p>
    <w:p>
      <w:pPr>
        <w:spacing w:line="300" w:lineRule="auto"/>
        <w:ind w:firstLine="560" w:firstLineChars="200"/>
        <w:rPr>
          <w:rFonts w:ascii="宋体" w:hAnsi="宋体"/>
          <w:color w:val="auto"/>
          <w:sz w:val="28"/>
          <w:szCs w:val="28"/>
        </w:rPr>
      </w:pPr>
      <w:r>
        <w:rPr>
          <w:rFonts w:ascii="宋体" w:hAnsi="宋体"/>
          <w:color w:val="auto"/>
          <w:sz w:val="28"/>
          <w:szCs w:val="28"/>
        </w:rPr>
        <w:t xml:space="preserve">2. </w:t>
      </w:r>
      <w:r>
        <w:rPr>
          <w:rFonts w:hint="eastAsia" w:ascii="宋体" w:hAnsi="宋体" w:cs="仿宋"/>
          <w:color w:val="auto"/>
          <w:sz w:val="28"/>
          <w:szCs w:val="28"/>
        </w:rPr>
        <w:t>项目说明：</w:t>
      </w:r>
      <w:r>
        <w:rPr>
          <w:rFonts w:hint="eastAsia" w:ascii="宋体" w:hAnsi="宋体"/>
          <w:color w:val="auto"/>
          <w:sz w:val="28"/>
          <w:szCs w:val="28"/>
        </w:rPr>
        <w:t>南京信息工程大学校内，本次招标</w:t>
      </w:r>
      <w:r>
        <w:rPr>
          <w:rFonts w:hint="eastAsia" w:ascii="宋体" w:hAnsi="宋体" w:cs="仿宋"/>
          <w:color w:val="auto"/>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rPr>
      </w:pPr>
      <w:r>
        <w:rPr>
          <w:rFonts w:ascii="宋体" w:hAnsi="宋体"/>
          <w:color w:val="auto"/>
          <w:sz w:val="28"/>
          <w:szCs w:val="28"/>
        </w:rPr>
        <w:t>3</w:t>
      </w:r>
      <w:bookmarkStart w:id="2" w:name="_Hlk9865971"/>
      <w:r>
        <w:rPr>
          <w:rFonts w:hint="eastAsia" w:ascii="宋体" w:hAnsi="宋体"/>
          <w:color w:val="auto"/>
          <w:sz w:val="28"/>
          <w:szCs w:val="28"/>
        </w:rPr>
        <w:t>.本次招标采取公开招标方式，不承诺最低价（最高价）中标。招标公告和中标公示信息均在</w:t>
      </w:r>
      <w:r>
        <w:rPr>
          <w:color w:val="auto"/>
        </w:rPr>
        <w:fldChar w:fldCharType="begin"/>
      </w:r>
      <w:r>
        <w:rPr>
          <w:color w:val="auto"/>
        </w:rPr>
        <w:instrText xml:space="preserve"> HYPERLINK "https://bulletin.nuist.edu.cn/779/list.htm" </w:instrText>
      </w:r>
      <w:r>
        <w:rPr>
          <w:color w:val="auto"/>
        </w:rPr>
        <w:fldChar w:fldCharType="separate"/>
      </w:r>
      <w:r>
        <w:rPr>
          <w:rStyle w:val="24"/>
          <w:b/>
          <w:color w:val="auto"/>
          <w:sz w:val="24"/>
        </w:rPr>
        <w:t>https://bulletin.nuist.edu.cn/779/lis</w:t>
      </w:r>
      <w:r>
        <w:rPr>
          <w:rStyle w:val="24"/>
          <w:color w:val="auto"/>
          <w:sz w:val="24"/>
        </w:rPr>
        <w:t>t.htm</w:t>
      </w:r>
      <w:r>
        <w:rPr>
          <w:rStyle w:val="24"/>
          <w:color w:val="auto"/>
          <w:sz w:val="24"/>
        </w:rPr>
        <w:fldChar w:fldCharType="end"/>
      </w:r>
      <w:r>
        <w:rPr>
          <w:rFonts w:hint="eastAsia" w:ascii="宋体" w:hAnsi="宋体"/>
          <w:color w:val="auto"/>
          <w:sz w:val="28"/>
          <w:szCs w:val="28"/>
        </w:rPr>
        <w:t>和</w:t>
      </w:r>
      <w:r>
        <w:rPr>
          <w:color w:val="auto"/>
        </w:rPr>
        <w:fldChar w:fldCharType="begin"/>
      </w:r>
      <w:r>
        <w:rPr>
          <w:color w:val="auto"/>
        </w:rPr>
        <w:instrText xml:space="preserve"> HYPERLINK "http://zbc.nuist.edu.cn" </w:instrText>
      </w:r>
      <w:r>
        <w:rPr>
          <w:color w:val="auto"/>
        </w:rPr>
        <w:fldChar w:fldCharType="separate"/>
      </w:r>
      <w:r>
        <w:rPr>
          <w:rFonts w:ascii="宋体" w:hAnsi="宋体"/>
          <w:b/>
          <w:color w:val="auto"/>
          <w:sz w:val="24"/>
          <w:szCs w:val="28"/>
          <w:u w:val="single"/>
        </w:rPr>
        <w:t>zbc.nuist.edu.cn</w:t>
      </w:r>
      <w:r>
        <w:rPr>
          <w:rFonts w:ascii="宋体" w:hAnsi="宋体"/>
          <w:b/>
          <w:color w:val="auto"/>
          <w:sz w:val="24"/>
          <w:szCs w:val="28"/>
          <w:u w:val="single"/>
        </w:rPr>
        <w:fldChar w:fldCharType="end"/>
      </w:r>
      <w:r>
        <w:rPr>
          <w:rFonts w:hint="eastAsia" w:ascii="宋体" w:hAnsi="宋体"/>
          <w:color w:val="auto"/>
          <w:sz w:val="28"/>
          <w:szCs w:val="28"/>
        </w:rPr>
        <w:t>网页上公开发布</w:t>
      </w:r>
      <w:r>
        <w:rPr>
          <w:rFonts w:ascii="宋体"/>
          <w:color w:val="auto"/>
          <w:sz w:val="28"/>
          <w:szCs w:val="28"/>
        </w:rPr>
        <w:t>,</w:t>
      </w:r>
      <w:r>
        <w:rPr>
          <w:rFonts w:hint="eastAsia" w:ascii="宋体" w:hAnsi="宋体"/>
          <w:color w:val="auto"/>
          <w:sz w:val="28"/>
          <w:szCs w:val="28"/>
        </w:rPr>
        <w:t>接受监督。欢迎社会招标机构和网站转载，转载信息与我校网站信息不一致时，以我校网站为准。</w:t>
      </w:r>
    </w:p>
    <w:bookmarkEnd w:id="2"/>
    <w:p>
      <w:pPr>
        <w:spacing w:line="360" w:lineRule="auto"/>
        <w:ind w:firstLine="570"/>
        <w:jc w:val="left"/>
        <w:rPr>
          <w:rFonts w:ascii="宋体" w:hAnsi="宋体" w:cs="宋体"/>
          <w:color w:val="auto"/>
          <w:sz w:val="28"/>
          <w:szCs w:val="28"/>
        </w:rPr>
      </w:pPr>
      <w:r>
        <w:rPr>
          <w:rFonts w:ascii="宋体" w:hAnsi="宋体"/>
          <w:color w:val="auto"/>
          <w:sz w:val="28"/>
          <w:szCs w:val="28"/>
        </w:rPr>
        <w:t>4</w:t>
      </w:r>
      <w:bookmarkStart w:id="3" w:name="_Hlk9866054"/>
      <w:r>
        <w:rPr>
          <w:rFonts w:hint="eastAsia" w:ascii="宋体" w:hAnsi="宋体"/>
          <w:color w:val="auto"/>
          <w:sz w:val="28"/>
          <w:szCs w:val="28"/>
        </w:rPr>
        <w:t>.招标文件由我校采购人、项目归口管理部门和招标办联合起草；经学校相关职能部门会审通过形成正式招标文件。同时</w:t>
      </w:r>
      <w:r>
        <w:rPr>
          <w:rFonts w:hint="eastAsia" w:ascii="宋体" w:hAnsi="宋体" w:cs="宋体"/>
          <w:color w:val="auto"/>
          <w:sz w:val="28"/>
          <w:szCs w:val="28"/>
        </w:rPr>
        <w:t>打印</w:t>
      </w:r>
      <w:r>
        <w:rPr>
          <w:rFonts w:ascii="宋体" w:hAnsi="宋体" w:cs="宋体"/>
          <w:color w:val="auto"/>
          <w:sz w:val="28"/>
          <w:szCs w:val="28"/>
        </w:rPr>
        <w:t>3</w:t>
      </w:r>
      <w:r>
        <w:rPr>
          <w:rFonts w:hint="eastAsia" w:ascii="宋体" w:hAnsi="宋体" w:cs="宋体"/>
          <w:color w:val="auto"/>
          <w:sz w:val="28"/>
          <w:szCs w:val="28"/>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rPr>
        <w:t>1</w:t>
      </w:r>
      <w:r>
        <w:rPr>
          <w:rFonts w:hint="eastAsia" w:ascii="宋体" w:hAnsi="宋体" w:cs="宋体"/>
          <w:color w:val="auto"/>
          <w:sz w:val="28"/>
          <w:szCs w:val="28"/>
        </w:rPr>
        <w:t>份，作为相关部门存档、合同签订、项目竣工验收和决（结）算审计，以及处理纠纷等的依据。</w:t>
      </w:r>
    </w:p>
    <w:bookmarkEnd w:id="3"/>
    <w:p>
      <w:pPr>
        <w:spacing w:line="360" w:lineRule="auto"/>
        <w:ind w:firstLine="570"/>
        <w:jc w:val="left"/>
        <w:rPr>
          <w:rFonts w:ascii="宋体" w:hAnsi="宋体" w:cs="宋体"/>
          <w:color w:val="auto"/>
          <w:sz w:val="28"/>
          <w:szCs w:val="28"/>
        </w:rPr>
      </w:pPr>
      <w:r>
        <w:rPr>
          <w:rFonts w:hint="eastAsia" w:ascii="宋体" w:hAnsi="宋体" w:cs="宋体"/>
          <w:color w:val="auto"/>
          <w:sz w:val="28"/>
          <w:szCs w:val="28"/>
        </w:rPr>
        <w:t>5.正式的答疑回复文件也按上述方式处理留存。</w:t>
      </w:r>
    </w:p>
    <w:p>
      <w:pPr>
        <w:spacing w:line="360" w:lineRule="auto"/>
        <w:ind w:firstLine="570"/>
        <w:jc w:val="left"/>
        <w:rPr>
          <w:rFonts w:ascii="宋体" w:hAnsi="宋体" w:cs="宋体"/>
          <w:color w:val="auto"/>
          <w:sz w:val="28"/>
          <w:szCs w:val="28"/>
        </w:rPr>
      </w:pPr>
      <w:r>
        <w:rPr>
          <w:rFonts w:hint="eastAsia" w:ascii="宋体" w:hAnsi="宋体" w:cs="宋体"/>
          <w:color w:val="auto"/>
          <w:sz w:val="28"/>
          <w:szCs w:val="28"/>
        </w:rPr>
        <w:t>6.投标有效期：自开标之日起90天内投标有效。</w:t>
      </w:r>
    </w:p>
    <w:p>
      <w:pPr>
        <w:spacing w:line="360" w:lineRule="auto"/>
        <w:ind w:firstLine="570"/>
        <w:jc w:val="left"/>
        <w:rPr>
          <w:rFonts w:ascii="宋体" w:hAnsi="宋体" w:cs="宋体"/>
          <w:color w:val="auto"/>
          <w:sz w:val="28"/>
          <w:szCs w:val="28"/>
        </w:rPr>
      </w:pPr>
      <w:r>
        <w:rPr>
          <w:rFonts w:hint="eastAsia" w:ascii="宋体" w:hAnsi="宋体" w:cs="宋体"/>
          <w:color w:val="auto"/>
          <w:sz w:val="28"/>
          <w:szCs w:val="28"/>
        </w:rPr>
        <w:t>7.招标过程接受学校纪检监察部门监督检查。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rPr>
      </w:pPr>
      <w:r>
        <w:rPr>
          <w:rFonts w:hint="eastAsia" w:ascii="宋体" w:hAnsi="宋体" w:cs="仿宋"/>
          <w:b/>
          <w:bCs/>
          <w:color w:val="auto"/>
          <w:sz w:val="28"/>
          <w:szCs w:val="28"/>
        </w:rPr>
        <w:t>二、对投标人及投标报价的要求</w:t>
      </w:r>
    </w:p>
    <w:p>
      <w:pPr>
        <w:snapToGrid w:val="0"/>
        <w:spacing w:line="360" w:lineRule="auto"/>
        <w:ind w:firstLine="540" w:firstLineChars="192"/>
        <w:rPr>
          <w:rFonts w:ascii="宋体" w:hAnsi="宋体"/>
          <w:b/>
          <w:color w:val="auto"/>
          <w:kern w:val="0"/>
          <w:sz w:val="28"/>
          <w:szCs w:val="28"/>
        </w:rPr>
      </w:pPr>
      <w:r>
        <w:rPr>
          <w:rFonts w:hint="eastAsia" w:ascii="宋体" w:hAnsi="宋体"/>
          <w:b/>
          <w:color w:val="auto"/>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u w:val="single"/>
        </w:rPr>
      </w:pPr>
      <w:r>
        <w:rPr>
          <w:rFonts w:hint="eastAsia" w:ascii="宋体" w:hAnsi="宋体" w:cs="Arial"/>
          <w:i/>
          <w:iCs/>
          <w:color w:val="auto"/>
          <w:sz w:val="28"/>
          <w:szCs w:val="28"/>
          <w:u w:val="single"/>
        </w:rPr>
        <w:t>（一）参加政府采购的供应商应当具备政府采购法</w:t>
      </w:r>
      <w:r>
        <w:rPr>
          <w:rFonts w:ascii="宋体" w:hAnsi="宋体" w:cs="Arial"/>
          <w:i/>
          <w:iCs/>
          <w:color w:val="auto"/>
          <w:sz w:val="28"/>
          <w:szCs w:val="28"/>
          <w:u w:val="single"/>
        </w:rPr>
        <w:t>第二十二条</w:t>
      </w:r>
      <w:r>
        <w:rPr>
          <w:rFonts w:hint="eastAsia" w:ascii="宋体" w:hAnsi="宋体" w:cs="Arial"/>
          <w:i/>
          <w:iCs/>
          <w:color w:val="auto"/>
          <w:sz w:val="28"/>
          <w:szCs w:val="28"/>
          <w:u w:val="single"/>
        </w:rPr>
        <w:t>第一款</w:t>
      </w:r>
      <w:r>
        <w:rPr>
          <w:rFonts w:ascii="宋体" w:hAnsi="宋体" w:cs="Arial"/>
          <w:i/>
          <w:iCs/>
          <w:color w:val="auto"/>
          <w:sz w:val="28"/>
          <w:szCs w:val="28"/>
          <w:u w:val="single"/>
        </w:rPr>
        <w:t>规定</w:t>
      </w:r>
      <w:r>
        <w:rPr>
          <w:rFonts w:hint="eastAsia" w:ascii="宋体" w:hAnsi="宋体" w:cs="Arial"/>
          <w:i/>
          <w:iCs/>
          <w:color w:val="auto"/>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8.本项目拒绝下述供应商参加本次采购活动的情形：</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color w:val="auto"/>
          <w:sz w:val="28"/>
          <w:szCs w:val="28"/>
        </w:rPr>
      </w:pPr>
      <w:r>
        <w:rPr>
          <w:rFonts w:hint="eastAsia" w:ascii="宋体" w:hAnsi="宋体" w:cs="宋体"/>
          <w:bCs/>
          <w:color w:val="auto"/>
          <w:sz w:val="28"/>
          <w:szCs w:val="28"/>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color w:val="auto"/>
          <w:sz w:val="28"/>
          <w:szCs w:val="28"/>
        </w:rPr>
      </w:pPr>
      <w:r>
        <w:rPr>
          <w:rFonts w:hint="eastAsia" w:ascii="宋体" w:hAnsi="宋体" w:cs="宋体"/>
          <w:bCs/>
          <w:color w:val="auto"/>
          <w:sz w:val="28"/>
          <w:szCs w:val="28"/>
        </w:rPr>
        <w:t>（3）供应商被“信用中国”网站（www.creditchina.gov.cn）、“中国政府采</w:t>
      </w:r>
      <w:r>
        <w:rPr>
          <w:rFonts w:hint="eastAsia" w:ascii="宋体" w:hAnsi="宋体" w:cs="宋体"/>
          <w:color w:val="auto"/>
          <w:sz w:val="28"/>
          <w:szCs w:val="28"/>
        </w:rPr>
        <w:t>购网”(www.ccgp.gov.cn)列入失信被执行人、重大税收违法案件当事人名单、政府采购严重违法失信行为记录名单。</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9.本项目不接受联合体投标。</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二、本项目采用资格后审法，唱标后，进行资格审定。</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三、投标人应按附件</w:t>
      </w:r>
      <w:r>
        <w:rPr>
          <w:rFonts w:ascii="宋体" w:hAnsi="宋体" w:cs="宋体"/>
          <w:color w:val="auto"/>
          <w:sz w:val="28"/>
          <w:szCs w:val="28"/>
        </w:rPr>
        <w:t>2</w:t>
      </w:r>
      <w:r>
        <w:rPr>
          <w:rFonts w:hint="eastAsia" w:ascii="宋体" w:hAnsi="宋体" w:cs="宋体"/>
          <w:color w:val="auto"/>
          <w:sz w:val="28"/>
          <w:szCs w:val="28"/>
        </w:rPr>
        <w:t>、附件</w:t>
      </w:r>
      <w:r>
        <w:rPr>
          <w:rFonts w:ascii="宋体" w:hAnsi="宋体" w:cs="宋体"/>
          <w:color w:val="auto"/>
          <w:sz w:val="28"/>
          <w:szCs w:val="28"/>
        </w:rPr>
        <w:t>3</w:t>
      </w:r>
      <w:r>
        <w:rPr>
          <w:rFonts w:hint="eastAsia" w:ascii="宋体" w:hAnsi="宋体" w:cs="宋体"/>
          <w:color w:val="auto"/>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六、本项目预算价为48</w:t>
      </w:r>
      <w:r>
        <w:rPr>
          <w:rFonts w:ascii="宋体" w:hAnsi="宋体" w:cs="宋体"/>
          <w:color w:val="auto"/>
          <w:sz w:val="28"/>
          <w:szCs w:val="28"/>
        </w:rPr>
        <w:t>.00</w:t>
      </w:r>
      <w:r>
        <w:rPr>
          <w:rFonts w:hint="eastAsia" w:ascii="宋体" w:hAnsi="宋体" w:cs="宋体"/>
          <w:color w:val="auto"/>
          <w:sz w:val="28"/>
          <w:szCs w:val="28"/>
        </w:rPr>
        <w:t>万元，本项目只接受人民币报价。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rPr>
      </w:pPr>
      <w:bookmarkStart w:id="4" w:name="_Hlk9866140"/>
      <w:r>
        <w:rPr>
          <w:rFonts w:hint="eastAsia" w:ascii="黑体" w:hAnsi="黑体" w:eastAsia="黑体" w:cs="宋体"/>
          <w:color w:val="auto"/>
          <w:sz w:val="28"/>
          <w:szCs w:val="28"/>
        </w:rPr>
        <w:t>三、对投标文件的要求</w:t>
      </w:r>
    </w:p>
    <w:p>
      <w:pPr>
        <w:snapToGrid w:val="0"/>
        <w:spacing w:line="538" w:lineRule="exact"/>
        <w:ind w:firstLine="560" w:firstLineChars="200"/>
        <w:rPr>
          <w:rFonts w:ascii="宋体" w:hAnsi="宋体" w:cs="宋体"/>
          <w:bCs/>
          <w:color w:val="auto"/>
          <w:sz w:val="28"/>
          <w:szCs w:val="28"/>
        </w:rPr>
      </w:pPr>
      <w:r>
        <w:rPr>
          <w:rFonts w:ascii="宋体" w:hAnsi="宋体" w:cs="宋体"/>
          <w:color w:val="auto"/>
          <w:sz w:val="28"/>
          <w:szCs w:val="28"/>
        </w:rPr>
        <w:t>1.</w:t>
      </w:r>
      <w:r>
        <w:rPr>
          <w:rFonts w:hint="eastAsia" w:ascii="宋体" w:hAnsi="宋体" w:cs="宋体"/>
          <w:color w:val="auto"/>
          <w:sz w:val="28"/>
          <w:szCs w:val="28"/>
        </w:rPr>
        <w:t>投标人根据招标公告向我校提出报名后，</w:t>
      </w:r>
      <w:r>
        <w:rPr>
          <w:rFonts w:hint="eastAsia" w:ascii="宋体" w:hAnsi="宋体" w:cs="宋体"/>
          <w:bCs/>
          <w:color w:val="auto"/>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color w:val="auto"/>
          <w:sz w:val="28"/>
          <w:szCs w:val="28"/>
        </w:rPr>
      </w:pPr>
      <w:r>
        <w:rPr>
          <w:rFonts w:hint="eastAsia" w:ascii="宋体" w:hAnsi="宋体" w:cs="宋体"/>
          <w:color w:val="auto"/>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color w:val="auto"/>
          <w:sz w:val="28"/>
          <w:szCs w:val="28"/>
        </w:rPr>
      </w:pPr>
      <w:r>
        <w:rPr>
          <w:rFonts w:hint="eastAsia" w:ascii="宋体" w:hAnsi="宋体" w:cs="宋体"/>
          <w:color w:val="auto"/>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为便于唱标和减少浪费，请将</w:t>
      </w:r>
      <w:r>
        <w:rPr>
          <w:rFonts w:ascii="宋体" w:hAnsi="宋体" w:cs="宋体"/>
          <w:color w:val="auto"/>
          <w:sz w:val="28"/>
          <w:szCs w:val="28"/>
        </w:rPr>
        <w:t>1</w:t>
      </w:r>
      <w:r>
        <w:rPr>
          <w:rFonts w:hint="eastAsia" w:ascii="宋体" w:hAnsi="宋体" w:cs="宋体"/>
          <w:color w:val="auto"/>
          <w:sz w:val="28"/>
          <w:szCs w:val="28"/>
        </w:rPr>
        <w:t>份正本单独封装，另外</w:t>
      </w:r>
      <w:r>
        <w:rPr>
          <w:rFonts w:ascii="宋体" w:hAnsi="宋体" w:cs="宋体"/>
          <w:color w:val="auto"/>
          <w:sz w:val="28"/>
          <w:szCs w:val="28"/>
        </w:rPr>
        <w:t>4</w:t>
      </w:r>
      <w:r>
        <w:rPr>
          <w:rFonts w:hint="eastAsia" w:ascii="宋体" w:hAnsi="宋体" w:cs="宋体"/>
          <w:color w:val="auto"/>
          <w:sz w:val="28"/>
          <w:szCs w:val="28"/>
        </w:rPr>
        <w:t>份副本可叠加封装在一个大的档案袋中（</w:t>
      </w:r>
      <w:r>
        <w:rPr>
          <w:rFonts w:ascii="宋体" w:hAnsi="宋体" w:cs="宋体"/>
          <w:color w:val="auto"/>
          <w:sz w:val="28"/>
          <w:szCs w:val="28"/>
        </w:rPr>
        <w:t>4</w:t>
      </w:r>
      <w:r>
        <w:rPr>
          <w:rFonts w:hint="eastAsia" w:ascii="宋体" w:hAnsi="宋体" w:cs="宋体"/>
          <w:color w:val="auto"/>
          <w:sz w:val="28"/>
          <w:szCs w:val="28"/>
        </w:rPr>
        <w:t>份副本无需分别封装在</w:t>
      </w:r>
      <w:r>
        <w:rPr>
          <w:rFonts w:ascii="宋体" w:hAnsi="宋体" w:cs="宋体"/>
          <w:color w:val="auto"/>
          <w:sz w:val="28"/>
          <w:szCs w:val="28"/>
        </w:rPr>
        <w:t>4</w:t>
      </w:r>
      <w:r>
        <w:rPr>
          <w:rFonts w:hint="eastAsia" w:ascii="宋体" w:hAnsi="宋体" w:cs="宋体"/>
          <w:color w:val="auto"/>
          <w:sz w:val="28"/>
          <w:szCs w:val="28"/>
        </w:rPr>
        <w:t>个档案袋中，一个大档案袋封装不下的除外）。每家投标人在送交投标文件时，只需交</w:t>
      </w:r>
      <w:r>
        <w:rPr>
          <w:rFonts w:ascii="宋体" w:hAnsi="宋体" w:cs="宋体"/>
          <w:color w:val="auto"/>
          <w:sz w:val="28"/>
          <w:szCs w:val="28"/>
        </w:rPr>
        <w:t>2</w:t>
      </w:r>
      <w:r>
        <w:rPr>
          <w:rFonts w:hint="eastAsia" w:ascii="宋体" w:hAnsi="宋体" w:cs="宋体"/>
          <w:color w:val="auto"/>
          <w:sz w:val="28"/>
          <w:szCs w:val="28"/>
        </w:rPr>
        <w:t>个档案袋即可，即</w:t>
      </w:r>
      <w:r>
        <w:rPr>
          <w:rFonts w:ascii="宋体" w:hAnsi="宋体" w:cs="宋体"/>
          <w:color w:val="auto"/>
          <w:sz w:val="28"/>
          <w:szCs w:val="28"/>
        </w:rPr>
        <w:t>1</w:t>
      </w:r>
      <w:r>
        <w:rPr>
          <w:rFonts w:hint="eastAsia" w:ascii="宋体" w:hAnsi="宋体" w:cs="宋体"/>
          <w:color w:val="auto"/>
          <w:sz w:val="28"/>
          <w:szCs w:val="28"/>
        </w:rPr>
        <w:t>个正本档案袋，</w:t>
      </w:r>
      <w:r>
        <w:rPr>
          <w:rFonts w:ascii="宋体" w:hAnsi="宋体" w:cs="宋体"/>
          <w:color w:val="auto"/>
          <w:sz w:val="28"/>
          <w:szCs w:val="28"/>
        </w:rPr>
        <w:t>1</w:t>
      </w:r>
      <w:r>
        <w:rPr>
          <w:rFonts w:hint="eastAsia" w:ascii="宋体" w:hAnsi="宋体" w:cs="宋体"/>
          <w:color w:val="auto"/>
          <w:sz w:val="28"/>
          <w:szCs w:val="28"/>
        </w:rPr>
        <w:t>个大的副本档案袋。</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投标文件应包含以下内容（所有材料必须加盖投标单位公章）：</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）经投标单位法人或委托代理人代表签字并加盖单位公章的投标函（附件</w:t>
      </w:r>
      <w:r>
        <w:rPr>
          <w:rFonts w:ascii="宋体" w:hAnsi="宋体" w:cs="宋体"/>
          <w:color w:val="auto"/>
          <w:sz w:val="28"/>
          <w:szCs w:val="28"/>
        </w:rPr>
        <w:t>2</w:t>
      </w:r>
      <w:r>
        <w:rPr>
          <w:rFonts w:hint="eastAsia" w:ascii="宋体" w:hAnsi="宋体" w:cs="宋体"/>
          <w:color w:val="auto"/>
          <w:sz w:val="28"/>
          <w:szCs w:val="28"/>
        </w:rPr>
        <w:t>格式，为便于唱标，此函件请务必放置在投标文件内页的第一页）；</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）投标价格明细表（附件</w:t>
      </w:r>
      <w:r>
        <w:rPr>
          <w:rFonts w:ascii="宋体" w:hAnsi="宋体" w:cs="宋体"/>
          <w:color w:val="auto"/>
          <w:sz w:val="28"/>
          <w:szCs w:val="28"/>
        </w:rPr>
        <w:t>3</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w:t>
      </w:r>
      <w:r>
        <w:rPr>
          <w:rFonts w:ascii="宋体" w:hAnsi="宋体" w:cs="宋体"/>
          <w:color w:val="auto"/>
          <w:sz w:val="28"/>
          <w:szCs w:val="28"/>
        </w:rPr>
        <w:t>300</w:t>
      </w:r>
      <w:r>
        <w:rPr>
          <w:rFonts w:hint="eastAsia" w:ascii="宋体" w:hAnsi="宋体" w:cs="宋体"/>
          <w:color w:val="auto"/>
          <w:sz w:val="28"/>
          <w:szCs w:val="28"/>
        </w:rPr>
        <w:t>元报名资料费银行转账回单（复印件）；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）授权委托书、被委托人身份证复印件；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）产品（或服务，下同）技术性能参数的详细描述一览表（投标文件在对投标标的物进行技术和商务描述时，必须完全按照招标文件附件</w:t>
      </w:r>
      <w:r>
        <w:rPr>
          <w:rFonts w:ascii="宋体" w:hAnsi="宋体" w:cs="宋体"/>
          <w:color w:val="auto"/>
          <w:sz w:val="28"/>
          <w:szCs w:val="28"/>
        </w:rPr>
        <w:t>1</w:t>
      </w:r>
      <w:r>
        <w:rPr>
          <w:rFonts w:hint="eastAsia" w:ascii="宋体" w:hAnsi="宋体" w:cs="宋体"/>
          <w:color w:val="auto"/>
          <w:sz w:val="28"/>
          <w:szCs w:val="28"/>
        </w:rPr>
        <w:t>中的章节顺序依次逐条响应，不得颠倒顺序，不得有漏项，不得原封不动地引用招标文件附件</w:t>
      </w:r>
      <w:r>
        <w:rPr>
          <w:rFonts w:ascii="宋体" w:hAnsi="宋体" w:cs="宋体"/>
          <w:color w:val="auto"/>
          <w:sz w:val="28"/>
          <w:szCs w:val="28"/>
        </w:rPr>
        <w:t>1</w:t>
      </w:r>
      <w:r>
        <w:rPr>
          <w:rFonts w:hint="eastAsia" w:ascii="宋体" w:hAnsi="宋体" w:cs="宋体"/>
          <w:color w:val="auto"/>
          <w:sz w:val="28"/>
          <w:szCs w:val="28"/>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）产品技术和商务指标偏差表；</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）产品服务方案；</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9</w:t>
      </w:r>
      <w:r>
        <w:rPr>
          <w:rFonts w:hint="eastAsia" w:ascii="宋体" w:hAnsi="宋体" w:cs="宋体"/>
          <w:color w:val="auto"/>
          <w:sz w:val="28"/>
          <w:szCs w:val="28"/>
        </w:rPr>
        <w:t>）产品销售授权书或代理证书（如系代理公司的）；</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10)</w:t>
      </w:r>
      <w:r>
        <w:rPr>
          <w:rFonts w:hint="eastAsia" w:ascii="宋体" w:hAnsi="宋体" w:cs="宋体"/>
          <w:color w:val="auto"/>
          <w:sz w:val="28"/>
          <w:szCs w:val="28"/>
        </w:rPr>
        <w:t xml:space="preserve"> 产品质量、工期、安全、管理及售后服务承诺书；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11</w:t>
      </w:r>
      <w:r>
        <w:rPr>
          <w:rFonts w:hint="eastAsia" w:ascii="宋体" w:hAnsi="宋体" w:cs="宋体"/>
          <w:color w:val="auto"/>
          <w:sz w:val="28"/>
          <w:szCs w:val="28"/>
        </w:rPr>
        <w:t>）产品质量检测报告、质保、认证等证书；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12</w:t>
      </w:r>
      <w:r>
        <w:rPr>
          <w:rFonts w:hint="eastAsia" w:ascii="宋体" w:hAnsi="宋体" w:cs="宋体"/>
          <w:color w:val="auto"/>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13</w:t>
      </w:r>
      <w:r>
        <w:rPr>
          <w:rFonts w:hint="eastAsia" w:ascii="宋体" w:hAnsi="宋体" w:cs="宋体"/>
          <w:color w:val="auto"/>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14</w:t>
      </w:r>
      <w:r>
        <w:rPr>
          <w:rFonts w:hint="eastAsia" w:ascii="宋体" w:hAnsi="宋体" w:cs="宋体"/>
          <w:color w:val="auto"/>
          <w:sz w:val="28"/>
          <w:szCs w:val="28"/>
        </w:rPr>
        <w:t>）招标文件规定或投标人对照评标办法的得分因素以及附件</w:t>
      </w:r>
      <w:r>
        <w:rPr>
          <w:rFonts w:ascii="宋体" w:hAnsi="宋体" w:cs="宋体"/>
          <w:color w:val="auto"/>
          <w:sz w:val="28"/>
          <w:szCs w:val="28"/>
        </w:rPr>
        <w:t>1</w:t>
      </w:r>
      <w:r>
        <w:rPr>
          <w:rFonts w:hint="eastAsia" w:ascii="宋体" w:hAnsi="宋体" w:cs="宋体"/>
          <w:color w:val="auto"/>
          <w:sz w:val="28"/>
          <w:szCs w:val="28"/>
        </w:rPr>
        <w:t>相关要求认为应提交的其他资料和文件。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15</w:t>
      </w:r>
      <w:r>
        <w:rPr>
          <w:rFonts w:hint="eastAsia" w:ascii="宋体" w:hAnsi="宋体" w:cs="宋体"/>
          <w:color w:val="auto"/>
          <w:sz w:val="28"/>
          <w:szCs w:val="28"/>
        </w:rPr>
        <w:t>）</w:t>
      </w:r>
      <w:r>
        <w:rPr>
          <w:rFonts w:hint="eastAsia"/>
          <w:color w:val="auto"/>
          <w:sz w:val="28"/>
          <w:szCs w:val="28"/>
        </w:rPr>
        <w:t>投标人必须投本标书所有标段的设备，不允许分标段投标；标书中服务器标段必须满足所有参数要求，其余标段标</w:t>
      </w:r>
      <w:r>
        <w:rPr>
          <w:rFonts w:hint="eastAsia" w:ascii="宋体" w:hAnsi="宋体" w:cs="Arial"/>
          <w:color w:val="auto"/>
          <w:kern w:val="0"/>
          <w:sz w:val="18"/>
          <w:szCs w:val="18"/>
        </w:rPr>
        <w:t>★</w:t>
      </w:r>
      <w:r>
        <w:rPr>
          <w:rFonts w:hint="eastAsia"/>
          <w:color w:val="auto"/>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投标人在投标文件中应承诺对如下内容已完全理解，如不承诺，视为认可：</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）在参与我校相关项目的招投标活动中，遵纪守法，诚信经营，公平竞争；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）不采取不正当手段诋毁、排挤其他投标人；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）本项目的中标单位由本校评标专家组按规定程序确定（采用“评定分离”制的项目除外）；</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）未能中标单位，本校对其原因不作解释；</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rPr>
      </w:pPr>
      <w:bookmarkStart w:id="5" w:name="_Hlk9866206"/>
      <w:r>
        <w:rPr>
          <w:rFonts w:hint="eastAsia" w:ascii="黑体" w:hAnsi="黑体" w:eastAsia="黑体" w:cs="宋体"/>
          <w:color w:val="auto"/>
          <w:sz w:val="28"/>
          <w:szCs w:val="28"/>
        </w:rPr>
        <w:t>四、开标程序</w:t>
      </w:r>
    </w:p>
    <w:bookmarkEnd w:id="5"/>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招标文件给出评标办法（见附件</w:t>
      </w:r>
      <w:r>
        <w:rPr>
          <w:rFonts w:ascii="宋体" w:hAnsi="宋体" w:cs="宋体"/>
          <w:color w:val="auto"/>
          <w:sz w:val="28"/>
          <w:szCs w:val="28"/>
        </w:rPr>
        <w:t>5</w:t>
      </w:r>
      <w:r>
        <w:rPr>
          <w:rFonts w:hint="eastAsia" w:ascii="宋体" w:hAnsi="宋体" w:cs="宋体"/>
          <w:color w:val="auto"/>
          <w:sz w:val="28"/>
          <w:szCs w:val="28"/>
        </w:rPr>
        <w:t>）</w:t>
      </w:r>
      <w:r>
        <w:rPr>
          <w:rFonts w:ascii="宋体" w:cs="宋体"/>
          <w:color w:val="auto"/>
          <w:sz w:val="28"/>
          <w:szCs w:val="28"/>
        </w:rPr>
        <w:t>,</w:t>
      </w:r>
      <w:r>
        <w:rPr>
          <w:rFonts w:hint="eastAsia" w:ascii="宋体" w:hAnsi="宋体" w:cs="宋体"/>
          <w:color w:val="auto"/>
          <w:sz w:val="28"/>
          <w:szCs w:val="28"/>
        </w:rPr>
        <w:t>供投标人和评标专家组参考。</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rPr>
      </w:pPr>
      <w:r>
        <w:rPr>
          <w:rFonts w:hint="eastAsia" w:ascii="宋体" w:hAnsi="宋体" w:cs="宋体"/>
          <w:color w:val="auto"/>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五、无效投标</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投标文件出现下列情形的，将作为无效投标文件，不得进入评标：</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投标文件未按照招标文件的要求予以密封的；</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投标文件少项漏项，或关键内容字迹模糊、无法辨认的；</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有</w:t>
      </w:r>
      <w:r>
        <w:rPr>
          <w:rFonts w:ascii="宋体" w:hAnsi="宋体" w:cs="宋体"/>
          <w:color w:val="auto"/>
          <w:sz w:val="28"/>
          <w:szCs w:val="28"/>
        </w:rPr>
        <w:t>1</w:t>
      </w:r>
      <w:r>
        <w:rPr>
          <w:rFonts w:hint="eastAsia" w:ascii="宋体" w:hAnsi="宋体" w:cs="宋体"/>
          <w:color w:val="auto"/>
          <w:sz w:val="28"/>
          <w:szCs w:val="28"/>
        </w:rPr>
        <w:t>个核心指标或有</w:t>
      </w:r>
      <w:r>
        <w:rPr>
          <w:rFonts w:ascii="宋体" w:hAnsi="宋体" w:cs="宋体"/>
          <w:color w:val="auto"/>
          <w:sz w:val="28"/>
          <w:szCs w:val="28"/>
        </w:rPr>
        <w:t>5</w:t>
      </w:r>
      <w:r>
        <w:rPr>
          <w:rFonts w:hint="eastAsia" w:ascii="宋体" w:hAnsi="宋体" w:cs="宋体"/>
          <w:color w:val="auto"/>
          <w:sz w:val="28"/>
          <w:szCs w:val="28"/>
        </w:rPr>
        <w:t>个及以上非核心指标未能满足的；</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技术指标响应内容未按照招标文件附件</w:t>
      </w:r>
      <w:r>
        <w:rPr>
          <w:rFonts w:ascii="宋体" w:hAnsi="宋体" w:cs="宋体"/>
          <w:color w:val="auto"/>
          <w:sz w:val="28"/>
          <w:szCs w:val="28"/>
        </w:rPr>
        <w:t>1</w:t>
      </w:r>
      <w:r>
        <w:rPr>
          <w:rFonts w:hint="eastAsia" w:ascii="宋体" w:hAnsi="宋体" w:cs="宋体"/>
          <w:color w:val="auto"/>
          <w:sz w:val="28"/>
          <w:szCs w:val="28"/>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rPr>
        <w:t>1</w:t>
      </w:r>
      <w:r>
        <w:rPr>
          <w:rFonts w:hint="eastAsia" w:ascii="宋体" w:hAnsi="宋体" w:cs="宋体"/>
          <w:color w:val="auto"/>
          <w:sz w:val="28"/>
          <w:szCs w:val="28"/>
        </w:rPr>
        <w:t>中的章节、句段的；</w:t>
      </w:r>
    </w:p>
    <w:p>
      <w:pPr>
        <w:spacing w:line="360" w:lineRule="auto"/>
        <w:ind w:firstLine="548" w:firstLineChars="196"/>
        <w:rPr>
          <w:rFonts w:asci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rPr>
      </w:pPr>
      <w:r>
        <w:rPr>
          <w:rFonts w:ascii="宋体" w:hAnsi="宋体" w:cs="宋体"/>
          <w:color w:val="auto"/>
          <w:sz w:val="28"/>
          <w:szCs w:val="28"/>
        </w:rPr>
        <w:t>8.</w:t>
      </w:r>
      <w:r>
        <w:rPr>
          <w:rFonts w:hint="eastAsia" w:ascii="宋体" w:hAnsi="宋体" w:cs="宋体"/>
          <w:color w:val="auto"/>
          <w:sz w:val="28"/>
          <w:szCs w:val="28"/>
        </w:rPr>
        <w:t>报价超过预算金额，或以人民币之外的币种报价的；</w:t>
      </w:r>
    </w:p>
    <w:p>
      <w:pPr>
        <w:spacing w:line="360" w:lineRule="auto"/>
        <w:ind w:firstLine="548" w:firstLineChars="196"/>
        <w:rPr>
          <w:rFonts w:ascii="宋体" w:hAnsi="宋体" w:cs="宋体"/>
          <w:b/>
          <w:color w:val="auto"/>
          <w:sz w:val="28"/>
          <w:szCs w:val="28"/>
        </w:rPr>
      </w:pPr>
      <w:r>
        <w:rPr>
          <w:rFonts w:ascii="宋体" w:hAnsi="宋体" w:cs="宋体"/>
          <w:color w:val="auto"/>
          <w:sz w:val="28"/>
          <w:szCs w:val="28"/>
        </w:rPr>
        <w:t>9.</w:t>
      </w:r>
      <w:r>
        <w:rPr>
          <w:rFonts w:hint="eastAsia" w:ascii="宋体" w:hAnsi="宋体" w:cs="宋体"/>
          <w:color w:val="auto"/>
          <w:sz w:val="28"/>
          <w:szCs w:val="28"/>
        </w:rPr>
        <w:t>无</w:t>
      </w:r>
      <w:r>
        <w:rPr>
          <w:rFonts w:ascii="宋体" w:hAnsi="宋体" w:cs="宋体"/>
          <w:color w:val="auto"/>
          <w:sz w:val="28"/>
          <w:szCs w:val="28"/>
        </w:rPr>
        <w:t>300</w:t>
      </w:r>
      <w:r>
        <w:rPr>
          <w:rFonts w:hint="eastAsia" w:ascii="宋体" w:hAnsi="宋体" w:cs="宋体"/>
          <w:color w:val="auto"/>
          <w:sz w:val="28"/>
          <w:szCs w:val="28"/>
        </w:rPr>
        <w:t>元报名资料费银行转账回单复印件的，或报名资料费银行转账回单中无</w:t>
      </w:r>
      <w:r>
        <w:rPr>
          <w:rFonts w:hint="eastAsia" w:ascii="宋体" w:hAnsi="宋体" w:cs="宋体"/>
          <w:b/>
          <w:color w:val="auto"/>
          <w:sz w:val="28"/>
          <w:szCs w:val="28"/>
        </w:rPr>
        <w:t>“资料费”</w:t>
      </w:r>
      <w:r>
        <w:rPr>
          <w:rFonts w:hint="eastAsia" w:ascii="宋体" w:hAnsi="宋体" w:cs="宋体"/>
          <w:color w:val="auto"/>
          <w:sz w:val="28"/>
          <w:szCs w:val="28"/>
        </w:rPr>
        <w:t>字样的；</w:t>
      </w:r>
    </w:p>
    <w:p>
      <w:pPr>
        <w:spacing w:line="360" w:lineRule="auto"/>
        <w:ind w:firstLine="548" w:firstLineChars="196"/>
        <w:rPr>
          <w:rFonts w:ascii="宋体" w:cs="宋体"/>
          <w:color w:val="auto"/>
          <w:sz w:val="28"/>
          <w:szCs w:val="28"/>
        </w:rPr>
      </w:pPr>
      <w:r>
        <w:rPr>
          <w:rFonts w:ascii="宋体" w:hAnsi="宋体" w:cs="宋体"/>
          <w:color w:val="auto"/>
          <w:sz w:val="28"/>
          <w:szCs w:val="28"/>
        </w:rPr>
        <w:t>10.</w:t>
      </w:r>
      <w:r>
        <w:rPr>
          <w:rFonts w:hint="eastAsia" w:ascii="宋体" w:hAnsi="宋体" w:cs="宋体"/>
          <w:color w:val="auto"/>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六、评标办法</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color w:val="auto"/>
          <w:sz w:val="28"/>
          <w:szCs w:val="28"/>
        </w:rPr>
        <w:t>5</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为保证招标质量，在评标办法中设核心指标。每个分包的核心指标不超过</w:t>
      </w:r>
      <w:r>
        <w:rPr>
          <w:rFonts w:ascii="宋体" w:hAnsi="宋体" w:cs="宋体"/>
          <w:color w:val="auto"/>
          <w:sz w:val="28"/>
          <w:szCs w:val="28"/>
        </w:rPr>
        <w:t>5</w:t>
      </w:r>
      <w:r>
        <w:rPr>
          <w:rFonts w:hint="eastAsia" w:ascii="宋体" w:hAnsi="宋体" w:cs="宋体"/>
          <w:color w:val="auto"/>
          <w:sz w:val="28"/>
          <w:szCs w:val="28"/>
        </w:rPr>
        <w:t>个。</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七、合同、履约、验收及结算等事项</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合同：</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）中标公示结束无异议后</w:t>
      </w:r>
      <w:r>
        <w:rPr>
          <w:rFonts w:ascii="宋体" w:hAnsi="宋体" w:cs="宋体"/>
          <w:color w:val="auto"/>
          <w:sz w:val="28"/>
          <w:szCs w:val="28"/>
        </w:rPr>
        <w:t>5</w:t>
      </w:r>
      <w:r>
        <w:rPr>
          <w:rFonts w:hint="eastAsia" w:ascii="宋体" w:hAnsi="宋体" w:cs="宋体"/>
          <w:color w:val="auto"/>
          <w:sz w:val="28"/>
          <w:szCs w:val="28"/>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）中标单位须在接《中标通知书》起</w:t>
      </w:r>
      <w:r>
        <w:rPr>
          <w:rFonts w:ascii="宋体" w:hAnsi="宋体" w:cs="宋体"/>
          <w:color w:val="auto"/>
          <w:sz w:val="28"/>
          <w:szCs w:val="28"/>
        </w:rPr>
        <w:t>7</w:t>
      </w:r>
      <w:r>
        <w:rPr>
          <w:rFonts w:hint="eastAsia" w:ascii="宋体" w:hAnsi="宋体" w:cs="宋体"/>
          <w:color w:val="auto"/>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color w:val="auto"/>
        </w:rPr>
      </w:pPr>
      <w:r>
        <w:rPr>
          <w:rFonts w:hint="eastAsia" w:ascii="宋体" w:hAnsi="宋体" w:cs="宋体"/>
          <w:color w:val="auto"/>
          <w:sz w:val="28"/>
          <w:szCs w:val="28"/>
        </w:rPr>
        <w:t>（3）附件6合同仅为参考样本，最终以通过我校审核后签署的合同为准。</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服务地点：南京信息工程大学校内。</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付款方式：</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针对国内供应货物，签订合同后，</w:t>
      </w:r>
      <w:r>
        <w:rPr>
          <w:rFonts w:ascii="宋体" w:hAnsi="宋体" w:cs="宋体"/>
          <w:color w:val="auto"/>
          <w:sz w:val="28"/>
          <w:szCs w:val="28"/>
        </w:rPr>
        <w:t>20日内预付合同金额的30%，全部货物交货并</w:t>
      </w:r>
      <w:r>
        <w:rPr>
          <w:rFonts w:hint="eastAsia" w:ascii="宋体" w:hAnsi="宋体" w:cs="宋体"/>
          <w:color w:val="auto"/>
          <w:sz w:val="28"/>
          <w:szCs w:val="28"/>
        </w:rPr>
        <w:t>验收合格后，凭验收凭证和货物验收合格等文件</w:t>
      </w:r>
      <w:r>
        <w:rPr>
          <w:rFonts w:ascii="宋体" w:hAnsi="宋体" w:cs="宋体"/>
          <w:color w:val="auto"/>
          <w:sz w:val="28"/>
          <w:szCs w:val="28"/>
        </w:rPr>
        <w:t>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针对国外供应货物（进口货物），由外贸公司开具全额发票，外贸合同中采用</w:t>
      </w:r>
      <w:r>
        <w:rPr>
          <w:rFonts w:ascii="宋体" w:hAnsi="宋体" w:cs="宋体"/>
          <w:color w:val="auto"/>
          <w:sz w:val="28"/>
          <w:szCs w:val="28"/>
        </w:rPr>
        <w:t>100%信用证，90%见单即付，10%凭最终用户方签字和盖章的验收报告支付。</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资料费：</w:t>
      </w:r>
      <w:r>
        <w:rPr>
          <w:rFonts w:ascii="宋体" w:hAnsi="宋体" w:cs="宋体"/>
          <w:color w:val="auto"/>
          <w:sz w:val="28"/>
          <w:szCs w:val="28"/>
        </w:rPr>
        <w:t>300</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）我校不接收现金或支付宝等方式交费。各投标人务必通过单位银行基本账户提前将资料费汇至我校以下账号：</w:t>
      </w:r>
      <w:r>
        <w:rPr>
          <w:rFonts w:hint="eastAsia" w:ascii="宋体" w:hAnsi="宋体" w:cs="宋体"/>
          <w:b/>
          <w:bCs/>
          <w:color w:val="auto"/>
          <w:sz w:val="28"/>
          <w:szCs w:val="28"/>
        </w:rPr>
        <w:t>户名：南京信息工程大学；账号：</w:t>
      </w:r>
      <w:r>
        <w:rPr>
          <w:rFonts w:ascii="宋体" w:hAnsi="宋体" w:cs="宋体"/>
          <w:b/>
          <w:bCs/>
          <w:color w:val="auto"/>
          <w:sz w:val="28"/>
          <w:szCs w:val="28"/>
        </w:rPr>
        <w:t>10115401040000228</w:t>
      </w:r>
      <w:r>
        <w:rPr>
          <w:rFonts w:hint="eastAsia" w:ascii="宋体" w:hAnsi="宋体" w:cs="宋体"/>
          <w:b/>
          <w:bCs/>
          <w:color w:val="auto"/>
          <w:sz w:val="28"/>
          <w:szCs w:val="28"/>
        </w:rPr>
        <w:t>；开户银行：中国农业银行南京盘城支行</w:t>
      </w:r>
      <w:r>
        <w:rPr>
          <w:rFonts w:hint="eastAsia" w:ascii="宋体" w:hAnsi="宋体" w:cs="宋体"/>
          <w:color w:val="auto"/>
          <w:sz w:val="28"/>
          <w:szCs w:val="28"/>
        </w:rPr>
        <w:t>。请各投标人务必在转账留言栏备注填写</w:t>
      </w:r>
      <w:r>
        <w:rPr>
          <w:rFonts w:hint="eastAsia" w:ascii="宋体" w:hAnsi="宋体" w:cs="宋体"/>
          <w:b/>
          <w:color w:val="auto"/>
          <w:sz w:val="28"/>
          <w:szCs w:val="28"/>
        </w:rPr>
        <w:t>“资料费”</w:t>
      </w:r>
      <w:r>
        <w:rPr>
          <w:rFonts w:hint="eastAsia" w:ascii="宋体" w:hAnsi="宋体" w:cs="宋体"/>
          <w:color w:val="auto"/>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w:t>
      </w:r>
      <w:r>
        <w:rPr>
          <w:rFonts w:hint="eastAsia" w:ascii="宋体" w:hAnsi="宋体" w:cs="宋体"/>
          <w:b/>
          <w:bCs/>
          <w:color w:val="auto"/>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履约保证金：中标价</w:t>
      </w:r>
      <w:r>
        <w:rPr>
          <w:rFonts w:ascii="宋体" w:hAnsi="宋体" w:cs="宋体"/>
          <w:color w:val="auto"/>
          <w:sz w:val="28"/>
          <w:szCs w:val="28"/>
        </w:rPr>
        <w:t>10%。</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rPr>
        <w:t>300</w:t>
      </w:r>
      <w:r>
        <w:rPr>
          <w:rFonts w:hint="eastAsia" w:ascii="宋体" w:hAnsi="宋体" w:cs="宋体"/>
          <w:color w:val="auto"/>
          <w:sz w:val="28"/>
          <w:szCs w:val="28"/>
        </w:rPr>
        <w:t>元资料费（</w:t>
      </w:r>
      <w:r>
        <w:rPr>
          <w:rFonts w:hint="eastAsia" w:ascii="宋体" w:hAnsi="宋体" w:cs="宋体"/>
          <w:b/>
          <w:bCs/>
          <w:color w:val="auto"/>
          <w:sz w:val="28"/>
          <w:szCs w:val="28"/>
        </w:rPr>
        <w:t>户名：南京信息工程大学；账号：</w:t>
      </w:r>
      <w:r>
        <w:rPr>
          <w:rFonts w:ascii="宋体" w:hAnsi="宋体" w:cs="宋体"/>
          <w:b/>
          <w:bCs/>
          <w:color w:val="auto"/>
          <w:sz w:val="28"/>
          <w:szCs w:val="28"/>
        </w:rPr>
        <w:t>10115401040000228</w:t>
      </w:r>
      <w:r>
        <w:rPr>
          <w:rFonts w:hint="eastAsia" w:ascii="宋体" w:hAnsi="宋体" w:cs="宋体"/>
          <w:b/>
          <w:bCs/>
          <w:color w:val="auto"/>
          <w:sz w:val="28"/>
          <w:szCs w:val="28"/>
        </w:rPr>
        <w:t>；开户银行：中国农业银行南京盘城支行</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）履约保证金交退咨询：财务处结算中心（体育馆北面，南气宾馆东侧的大学生创业中心</w:t>
      </w:r>
      <w:r>
        <w:rPr>
          <w:rFonts w:ascii="宋体" w:hAnsi="宋体" w:cs="宋体"/>
          <w:color w:val="auto"/>
          <w:sz w:val="28"/>
          <w:szCs w:val="28"/>
        </w:rPr>
        <w:t>3</w:t>
      </w:r>
      <w:r>
        <w:rPr>
          <w:rFonts w:hint="eastAsia" w:ascii="宋体" w:hAnsi="宋体" w:cs="宋体"/>
          <w:color w:val="auto"/>
          <w:sz w:val="28"/>
          <w:szCs w:val="28"/>
        </w:rPr>
        <w:t>号楼二楼201）。</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）如中标单位有下列情况之一，不予退还履约保证金，我校将其列入招投标诚信“黑名单”，</w:t>
      </w:r>
      <w:r>
        <w:rPr>
          <w:rFonts w:ascii="宋体" w:hAnsi="宋体" w:cs="宋体"/>
          <w:color w:val="auto"/>
          <w:sz w:val="28"/>
          <w:szCs w:val="28"/>
        </w:rPr>
        <w:t>3</w:t>
      </w:r>
      <w:r>
        <w:rPr>
          <w:rFonts w:hint="eastAsia" w:ascii="宋体" w:hAnsi="宋体" w:cs="宋体"/>
          <w:color w:val="auto"/>
          <w:sz w:val="28"/>
          <w:szCs w:val="28"/>
        </w:rPr>
        <w:t>年内不得到我校从事任何投标活动。</w:t>
      </w:r>
    </w:p>
    <w:p>
      <w:pPr>
        <w:spacing w:line="360" w:lineRule="auto"/>
        <w:ind w:firstLine="548" w:firstLineChars="196"/>
        <w:rPr>
          <w:rFonts w:ascii="宋体" w:cs="宋体"/>
          <w:color w:val="auto"/>
          <w:sz w:val="28"/>
          <w:szCs w:val="28"/>
        </w:rPr>
      </w:pPr>
      <w:r>
        <w:rPr>
          <w:rFonts w:ascii="宋体" w:hAnsi="宋体" w:cs="宋体"/>
          <w:color w:val="auto"/>
          <w:sz w:val="28"/>
          <w:szCs w:val="28"/>
        </w:rPr>
        <w:t>a.</w:t>
      </w:r>
      <w:r>
        <w:rPr>
          <w:rFonts w:hint="eastAsia" w:ascii="宋体" w:hAnsi="宋体" w:cs="宋体"/>
          <w:color w:val="auto"/>
          <w:sz w:val="28"/>
          <w:szCs w:val="28"/>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rPr>
      </w:pPr>
      <w:r>
        <w:rPr>
          <w:rFonts w:ascii="宋体" w:hAnsi="宋体" w:cs="宋体"/>
          <w:color w:val="auto"/>
          <w:sz w:val="28"/>
          <w:szCs w:val="28"/>
        </w:rPr>
        <w:t>b.</w:t>
      </w:r>
      <w:r>
        <w:rPr>
          <w:rFonts w:hint="eastAsia" w:ascii="宋体" w:hAnsi="宋体" w:cs="宋体"/>
          <w:color w:val="auto"/>
          <w:sz w:val="28"/>
          <w:szCs w:val="28"/>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rPr>
      </w:pPr>
      <w:r>
        <w:rPr>
          <w:rFonts w:ascii="宋体" w:hAnsi="宋体" w:cs="宋体"/>
          <w:color w:val="auto"/>
          <w:sz w:val="28"/>
          <w:szCs w:val="28"/>
        </w:rPr>
        <w:t>c.</w:t>
      </w:r>
      <w:r>
        <w:rPr>
          <w:rFonts w:hint="eastAsia" w:ascii="宋体" w:hAnsi="宋体" w:cs="宋体"/>
          <w:color w:val="auto"/>
          <w:sz w:val="28"/>
          <w:szCs w:val="28"/>
        </w:rPr>
        <w:t>出现其他不予退还履约保证金情形的。</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质保：参照附件4服务要求</w:t>
      </w:r>
    </w:p>
    <w:p>
      <w:pPr>
        <w:spacing w:before="312" w:beforeLines="100" w:after="312" w:afterLines="100" w:line="360" w:lineRule="auto"/>
        <w:jc w:val="center"/>
        <w:rPr>
          <w:rFonts w:ascii="黑体" w:hAnsi="黑体" w:eastAsia="黑体"/>
          <w:color w:val="auto"/>
          <w:sz w:val="28"/>
          <w:szCs w:val="28"/>
        </w:rPr>
      </w:pPr>
      <w:bookmarkStart w:id="6" w:name="_Hlk9866833"/>
      <w:r>
        <w:rPr>
          <w:rFonts w:hint="eastAsia" w:ascii="黑体" w:hAnsi="黑体" w:eastAsia="黑体"/>
          <w:color w:val="auto"/>
          <w:sz w:val="28"/>
          <w:szCs w:val="28"/>
        </w:rPr>
        <w:t>八、日程安排和联系方式</w:t>
      </w:r>
    </w:p>
    <w:p>
      <w:pPr>
        <w:spacing w:line="360" w:lineRule="auto"/>
        <w:ind w:firstLine="560" w:firstLineChars="200"/>
        <w:rPr>
          <w:rFonts w:ascii="宋体"/>
          <w:color w:val="auto"/>
          <w:sz w:val="28"/>
          <w:szCs w:val="28"/>
        </w:rPr>
      </w:pPr>
      <w:r>
        <w:rPr>
          <w:rFonts w:ascii="宋体" w:hAnsi="宋体"/>
          <w:color w:val="auto"/>
          <w:sz w:val="28"/>
          <w:szCs w:val="28"/>
        </w:rPr>
        <w:t>1.</w:t>
      </w:r>
      <w:r>
        <w:rPr>
          <w:rFonts w:hint="eastAsia" w:ascii="宋体" w:hAnsi="宋体"/>
          <w:color w:val="auto"/>
          <w:sz w:val="28"/>
          <w:szCs w:val="28"/>
        </w:rPr>
        <w:t>报名时间：招标信息发布后。</w:t>
      </w:r>
    </w:p>
    <w:p>
      <w:pPr>
        <w:spacing w:line="360" w:lineRule="auto"/>
        <w:ind w:firstLine="560" w:firstLineChars="200"/>
        <w:rPr>
          <w:rFonts w:ascii="宋体" w:cs="宋体"/>
          <w:color w:val="auto"/>
          <w:sz w:val="28"/>
          <w:szCs w:val="28"/>
        </w:rPr>
      </w:pPr>
      <w:r>
        <w:rPr>
          <w:rFonts w:ascii="宋体" w:hAnsi="宋体"/>
          <w:color w:val="auto"/>
          <w:sz w:val="28"/>
          <w:szCs w:val="28"/>
        </w:rPr>
        <w:t>2.</w:t>
      </w:r>
      <w:r>
        <w:rPr>
          <w:rFonts w:hint="eastAsia" w:ascii="宋体" w:hAnsi="宋体"/>
          <w:color w:val="auto"/>
          <w:sz w:val="28"/>
          <w:szCs w:val="28"/>
        </w:rPr>
        <w:t>领取招标文件：</w:t>
      </w:r>
      <w:r>
        <w:rPr>
          <w:rFonts w:hint="eastAsia" w:ascii="宋体" w:hAnsi="宋体"/>
          <w:color w:val="auto"/>
          <w:sz w:val="28"/>
          <w:szCs w:val="28"/>
          <w:u w:val="single"/>
        </w:rPr>
        <w:t>自行下载</w:t>
      </w:r>
      <w:r>
        <w:rPr>
          <w:rFonts w:hint="eastAsia" w:ascii="宋体" w:hAnsi="宋体" w:cs="宋体"/>
          <w:color w:val="auto"/>
          <w:kern w:val="0"/>
          <w:sz w:val="28"/>
          <w:szCs w:val="28"/>
        </w:rPr>
        <w:t>。</w:t>
      </w:r>
    </w:p>
    <w:p>
      <w:pPr>
        <w:spacing w:line="360" w:lineRule="auto"/>
        <w:ind w:firstLine="560" w:firstLineChars="200"/>
        <w:rPr>
          <w:rFonts w:ascii="宋体"/>
          <w:color w:val="auto"/>
          <w:sz w:val="28"/>
          <w:szCs w:val="28"/>
        </w:rPr>
      </w:pPr>
      <w:r>
        <w:rPr>
          <w:rFonts w:ascii="宋体" w:hAnsi="宋体"/>
          <w:color w:val="auto"/>
          <w:sz w:val="28"/>
          <w:szCs w:val="28"/>
        </w:rPr>
        <w:t>3.</w:t>
      </w:r>
      <w:r>
        <w:rPr>
          <w:rFonts w:hint="eastAsia" w:ascii="宋体" w:hAnsi="宋体"/>
          <w:color w:val="auto"/>
          <w:sz w:val="28"/>
          <w:szCs w:val="28"/>
        </w:rPr>
        <w:t xml:space="preserve">答疑时间：          </w:t>
      </w:r>
    </w:p>
    <w:p>
      <w:pPr>
        <w:spacing w:line="360" w:lineRule="auto"/>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）投标人如有疑问，请在</w:t>
      </w:r>
      <w:r>
        <w:rPr>
          <w:rFonts w:ascii="宋体" w:hAnsi="宋体"/>
          <w:b/>
          <w:color w:val="auto"/>
          <w:sz w:val="28"/>
          <w:szCs w:val="28"/>
          <w:u w:val="single"/>
        </w:rPr>
        <w:t>2022年</w:t>
      </w:r>
      <w:r>
        <w:rPr>
          <w:rFonts w:hint="eastAsia" w:ascii="宋体" w:hAnsi="宋体"/>
          <w:b/>
          <w:color w:val="auto"/>
          <w:sz w:val="28"/>
          <w:szCs w:val="28"/>
          <w:u w:val="single"/>
          <w:lang w:val="en-US" w:eastAsia="zh-CN"/>
        </w:rPr>
        <w:t>0</w:t>
      </w:r>
      <w:r>
        <w:rPr>
          <w:rFonts w:ascii="宋体" w:hAnsi="宋体"/>
          <w:b/>
          <w:color w:val="auto"/>
          <w:sz w:val="28"/>
          <w:szCs w:val="28"/>
          <w:u w:val="single"/>
        </w:rPr>
        <w:t>4月</w:t>
      </w:r>
      <w:r>
        <w:rPr>
          <w:rFonts w:hint="eastAsia" w:ascii="宋体" w:hAnsi="宋体"/>
          <w:b/>
          <w:color w:val="auto"/>
          <w:sz w:val="28"/>
          <w:szCs w:val="28"/>
          <w:u w:val="single"/>
          <w:lang w:val="en-US" w:eastAsia="zh-CN"/>
        </w:rPr>
        <w:t>07</w:t>
      </w:r>
      <w:r>
        <w:rPr>
          <w:rFonts w:ascii="宋体" w:hAnsi="宋体"/>
          <w:b/>
          <w:color w:val="auto"/>
          <w:sz w:val="28"/>
          <w:szCs w:val="28"/>
          <w:u w:val="single"/>
        </w:rPr>
        <w:t>日11</w:t>
      </w:r>
      <w:r>
        <w:rPr>
          <w:rFonts w:hint="eastAsia" w:ascii="宋体" w:hAnsi="宋体"/>
          <w:b/>
          <w:color w:val="auto"/>
          <w:sz w:val="28"/>
          <w:szCs w:val="28"/>
          <w:u w:val="single"/>
        </w:rPr>
        <w:t>：</w:t>
      </w:r>
      <w:r>
        <w:rPr>
          <w:rFonts w:ascii="宋体" w:hAnsi="宋体"/>
          <w:b/>
          <w:color w:val="auto"/>
          <w:sz w:val="28"/>
          <w:szCs w:val="28"/>
          <w:u w:val="single"/>
        </w:rPr>
        <w:t>3</w:t>
      </w:r>
      <w:r>
        <w:rPr>
          <w:color w:val="auto"/>
        </w:rPr>
        <w:fldChar w:fldCharType="begin"/>
      </w:r>
      <w:r>
        <w:rPr>
          <w:color w:val="auto"/>
        </w:rPr>
        <w:instrText xml:space="preserve"> HYPERLINK "mailto:30前将问题一律以word格式或txt格式发至89523765@qq.com" </w:instrText>
      </w:r>
      <w:r>
        <w:rPr>
          <w:color w:val="auto"/>
        </w:rPr>
        <w:fldChar w:fldCharType="separate"/>
      </w:r>
      <w:r>
        <w:rPr>
          <w:rFonts w:ascii="宋体"/>
          <w:b/>
          <w:color w:val="auto"/>
          <w:sz w:val="28"/>
          <w:szCs w:val="28"/>
          <w:u w:val="single"/>
        </w:rPr>
        <w:t>0</w:t>
      </w:r>
      <w:r>
        <w:rPr>
          <w:rFonts w:hint="eastAsia" w:ascii="宋体" w:hAnsi="宋体"/>
          <w:color w:val="auto"/>
          <w:sz w:val="28"/>
          <w:szCs w:val="28"/>
        </w:rPr>
        <w:t>前将问题以</w:t>
      </w:r>
      <w:r>
        <w:rPr>
          <w:rFonts w:ascii="宋体" w:hAnsi="宋体"/>
          <w:color w:val="auto"/>
          <w:sz w:val="28"/>
          <w:szCs w:val="28"/>
        </w:rPr>
        <w:t>word</w:t>
      </w:r>
      <w:r>
        <w:rPr>
          <w:rFonts w:hint="eastAsia" w:ascii="宋体" w:hAnsi="宋体"/>
          <w:color w:val="auto"/>
          <w:sz w:val="28"/>
          <w:szCs w:val="28"/>
        </w:rPr>
        <w:t>格式或</w:t>
      </w:r>
      <w:r>
        <w:rPr>
          <w:rFonts w:ascii="宋体" w:hAnsi="宋体"/>
          <w:color w:val="auto"/>
          <w:sz w:val="28"/>
          <w:szCs w:val="28"/>
        </w:rPr>
        <w:t>txt</w:t>
      </w:r>
      <w:r>
        <w:rPr>
          <w:rFonts w:hint="eastAsia" w:ascii="宋体" w:hAnsi="宋体"/>
          <w:color w:val="auto"/>
          <w:sz w:val="28"/>
          <w:szCs w:val="28"/>
        </w:rPr>
        <w:t>格式发至</w:t>
      </w:r>
      <w:r>
        <w:rPr>
          <w:rFonts w:ascii="宋体" w:hAnsi="宋体"/>
          <w:color w:val="auto"/>
          <w:sz w:val="28"/>
          <w:szCs w:val="28"/>
        </w:rPr>
        <w:t>2483567991@qq.com</w:t>
      </w:r>
      <w:r>
        <w:rPr>
          <w:rFonts w:ascii="宋体" w:hAnsi="宋体"/>
          <w:color w:val="auto"/>
          <w:sz w:val="28"/>
          <w:szCs w:val="28"/>
        </w:rPr>
        <w:fldChar w:fldCharType="end"/>
      </w:r>
      <w:r>
        <w:rPr>
          <w:rFonts w:hint="eastAsia" w:ascii="宋体" w:hAnsi="宋体"/>
          <w:color w:val="auto"/>
          <w:sz w:val="28"/>
          <w:szCs w:val="28"/>
        </w:rPr>
        <w:t>（质疑函请勿以</w:t>
      </w:r>
      <w:r>
        <w:rPr>
          <w:rFonts w:ascii="宋体" w:hAnsi="宋体"/>
          <w:color w:val="auto"/>
          <w:sz w:val="28"/>
          <w:szCs w:val="28"/>
        </w:rPr>
        <w:t>JPG</w:t>
      </w:r>
      <w:r>
        <w:rPr>
          <w:rFonts w:hint="eastAsia" w:ascii="宋体" w:hAnsi="宋体"/>
          <w:color w:val="auto"/>
          <w:sz w:val="28"/>
          <w:szCs w:val="28"/>
        </w:rPr>
        <w:t>或</w:t>
      </w:r>
      <w:r>
        <w:rPr>
          <w:rFonts w:ascii="宋体" w:hAnsi="宋体"/>
          <w:color w:val="auto"/>
          <w:sz w:val="28"/>
          <w:szCs w:val="28"/>
        </w:rPr>
        <w:t>PDF</w:t>
      </w:r>
      <w:r>
        <w:rPr>
          <w:rFonts w:hint="eastAsia" w:ascii="宋体" w:hAnsi="宋体"/>
          <w:color w:val="auto"/>
          <w:sz w:val="28"/>
          <w:szCs w:val="28"/>
        </w:rPr>
        <w:t>格式，对</w:t>
      </w:r>
      <w:r>
        <w:rPr>
          <w:rFonts w:ascii="宋体" w:hAnsi="宋体"/>
          <w:color w:val="auto"/>
          <w:sz w:val="28"/>
          <w:szCs w:val="28"/>
        </w:rPr>
        <w:t>JPG</w:t>
      </w:r>
      <w:r>
        <w:rPr>
          <w:rFonts w:hint="eastAsia" w:ascii="宋体" w:hAnsi="宋体"/>
          <w:color w:val="auto"/>
          <w:sz w:val="28"/>
          <w:szCs w:val="28"/>
        </w:rPr>
        <w:t>和</w:t>
      </w:r>
      <w:r>
        <w:rPr>
          <w:rFonts w:ascii="宋体" w:hAnsi="宋体"/>
          <w:color w:val="auto"/>
          <w:sz w:val="28"/>
          <w:szCs w:val="28"/>
        </w:rPr>
        <w:t>PDF</w:t>
      </w:r>
      <w:r>
        <w:rPr>
          <w:rFonts w:hint="eastAsia" w:ascii="宋体" w:hAnsi="宋体"/>
          <w:color w:val="auto"/>
          <w:sz w:val="28"/>
          <w:szCs w:val="28"/>
        </w:rPr>
        <w:t>格式的附件一律删除，不予采纳，敬请谅解）。</w:t>
      </w:r>
    </w:p>
    <w:p>
      <w:pPr>
        <w:spacing w:line="360" w:lineRule="auto"/>
        <w:rPr>
          <w:rFonts w:ascii="宋体"/>
          <w:color w:val="auto"/>
          <w:sz w:val="28"/>
          <w:szCs w:val="28"/>
        </w:rPr>
      </w:pPr>
      <w:r>
        <w:rPr>
          <w:rFonts w:hint="eastAsia" w:ascii="宋体" w:hAnsi="宋体"/>
          <w:color w:val="auto"/>
          <w:sz w:val="28"/>
          <w:szCs w:val="28"/>
        </w:rPr>
        <w:t>（</w:t>
      </w:r>
      <w:r>
        <w:rPr>
          <w:rFonts w:ascii="宋体" w:hAnsi="宋体"/>
          <w:color w:val="auto"/>
          <w:sz w:val="28"/>
          <w:szCs w:val="28"/>
        </w:rPr>
        <w:t>2</w:t>
      </w:r>
      <w:r>
        <w:rPr>
          <w:rFonts w:hint="eastAsia" w:ascii="宋体" w:hAnsi="宋体"/>
          <w:color w:val="auto"/>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color w:val="auto"/>
          <w:sz w:val="28"/>
          <w:szCs w:val="28"/>
        </w:rPr>
      </w:pPr>
      <w:r>
        <w:rPr>
          <w:rFonts w:hint="eastAsia" w:ascii="宋体" w:hAnsi="宋体"/>
          <w:color w:val="auto"/>
          <w:sz w:val="28"/>
          <w:szCs w:val="28"/>
        </w:rPr>
        <w:t>4.投标文件</w:t>
      </w:r>
    </w:p>
    <w:p>
      <w:pPr>
        <w:widowControl/>
        <w:spacing w:line="360" w:lineRule="auto"/>
        <w:ind w:firstLine="560" w:firstLineChars="200"/>
        <w:rPr>
          <w:rFonts w:ascii="宋体" w:hAnsi="宋体"/>
          <w:color w:val="auto"/>
          <w:sz w:val="28"/>
          <w:szCs w:val="28"/>
        </w:rPr>
      </w:pPr>
      <w:r>
        <w:rPr>
          <w:rFonts w:hint="eastAsia" w:ascii="宋体" w:hAnsi="宋体"/>
          <w:color w:val="auto"/>
          <w:sz w:val="28"/>
          <w:szCs w:val="28"/>
        </w:rPr>
        <w:t>（1）投标送达方式：</w:t>
      </w:r>
      <w:r>
        <w:rPr>
          <w:rFonts w:hint="eastAsia" w:ascii="宋体" w:hAnsi="宋体"/>
          <w:b/>
          <w:color w:val="auto"/>
          <w:sz w:val="28"/>
          <w:szCs w:val="28"/>
        </w:rPr>
        <w:t>只接受以邮寄方式送达，并请务必用顺丰快递</w:t>
      </w:r>
      <w:r>
        <w:rPr>
          <w:rFonts w:hint="eastAsia" w:ascii="宋体" w:hAnsi="宋体"/>
          <w:color w:val="auto"/>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yellow"/>
        </w:rPr>
      </w:pPr>
      <w:r>
        <w:rPr>
          <w:rFonts w:hint="eastAsia" w:ascii="宋体" w:hAnsi="宋体"/>
          <w:color w:val="auto"/>
          <w:sz w:val="28"/>
          <w:szCs w:val="28"/>
        </w:rPr>
        <w:t>（2）投标截止时间：2022年</w:t>
      </w:r>
      <w:r>
        <w:rPr>
          <w:rFonts w:hint="eastAsia" w:ascii="宋体" w:hAnsi="宋体"/>
          <w:color w:val="auto"/>
          <w:sz w:val="28"/>
          <w:szCs w:val="28"/>
          <w:lang w:val="en-US" w:eastAsia="zh-CN"/>
        </w:rPr>
        <w:t>0</w:t>
      </w:r>
      <w:r>
        <w:rPr>
          <w:rFonts w:hint="eastAsia" w:ascii="宋体" w:hAnsi="宋体"/>
          <w:color w:val="auto"/>
          <w:sz w:val="28"/>
          <w:szCs w:val="28"/>
        </w:rPr>
        <w:t>4月</w:t>
      </w:r>
      <w:r>
        <w:rPr>
          <w:rFonts w:hint="eastAsia" w:ascii="宋体" w:hAnsi="宋体"/>
          <w:color w:val="auto"/>
          <w:sz w:val="28"/>
          <w:szCs w:val="28"/>
          <w:lang w:val="en-US" w:eastAsia="zh-CN"/>
        </w:rPr>
        <w:t>21</w:t>
      </w:r>
      <w:r>
        <w:rPr>
          <w:rFonts w:hint="eastAsia" w:ascii="宋体" w:hAnsi="宋体"/>
          <w:color w:val="auto"/>
          <w:sz w:val="28"/>
          <w:szCs w:val="28"/>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（3）邮寄送达地点：</w:t>
      </w:r>
      <w:r>
        <w:rPr>
          <w:rFonts w:hint="eastAsia" w:ascii="宋体" w:hAnsi="宋体" w:cs="宋体"/>
          <w:color w:val="auto"/>
          <w:kern w:val="0"/>
          <w:sz w:val="28"/>
          <w:szCs w:val="28"/>
        </w:rPr>
        <w:t>南京市浦口区宁六路219号</w:t>
      </w:r>
      <w:r>
        <w:rPr>
          <w:rFonts w:ascii="宋体" w:hAnsi="宋体" w:cs="宋体"/>
          <w:color w:val="auto"/>
          <w:kern w:val="0"/>
          <w:sz w:val="28"/>
          <w:szCs w:val="28"/>
        </w:rPr>
        <w:t>南京信息工程大学</w:t>
      </w:r>
      <w:r>
        <w:rPr>
          <w:rFonts w:hint="eastAsia" w:ascii="宋体" w:hAnsi="宋体"/>
          <w:color w:val="auto"/>
          <w:sz w:val="28"/>
          <w:szCs w:val="28"/>
        </w:rPr>
        <w:t>东苑大学生创业中心3号楼（体育馆北面三层小楼）210室</w:t>
      </w:r>
      <w:r>
        <w:rPr>
          <w:rFonts w:hint="eastAsia" w:ascii="宋体" w:hAnsi="宋体" w:cs="宋体"/>
          <w:color w:val="auto"/>
          <w:kern w:val="0"/>
          <w:sz w:val="28"/>
          <w:szCs w:val="28"/>
        </w:rPr>
        <w:t>招标办。联系人：马老师、罗老师、刘老师；联系电话：025-58731441。</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5.开标、唱标和评标</w:t>
      </w:r>
    </w:p>
    <w:p>
      <w:pPr>
        <w:widowControl/>
        <w:spacing w:line="360" w:lineRule="auto"/>
        <w:ind w:firstLine="560" w:firstLineChars="200"/>
        <w:rPr>
          <w:rFonts w:ascii="宋体" w:hAnsi="宋体"/>
          <w:color w:val="auto"/>
          <w:sz w:val="28"/>
          <w:szCs w:val="28"/>
        </w:rPr>
      </w:pPr>
      <w:r>
        <w:rPr>
          <w:rFonts w:hint="eastAsia" w:ascii="宋体" w:hAnsi="宋体"/>
          <w:color w:val="auto"/>
          <w:sz w:val="28"/>
          <w:szCs w:val="28"/>
        </w:rPr>
        <w:t>（1）开标、唱标：2022年</w:t>
      </w:r>
      <w:r>
        <w:rPr>
          <w:rFonts w:hint="eastAsia" w:ascii="宋体" w:hAnsi="宋体"/>
          <w:color w:val="auto"/>
          <w:sz w:val="28"/>
          <w:szCs w:val="28"/>
          <w:lang w:val="en-US" w:eastAsia="zh-CN"/>
        </w:rPr>
        <w:t>0</w:t>
      </w:r>
      <w:r>
        <w:rPr>
          <w:rFonts w:hint="eastAsia" w:ascii="宋体" w:hAnsi="宋体"/>
          <w:color w:val="auto"/>
          <w:sz w:val="28"/>
          <w:szCs w:val="28"/>
        </w:rPr>
        <w:t>4月</w:t>
      </w:r>
      <w:r>
        <w:rPr>
          <w:rFonts w:hint="eastAsia" w:ascii="宋体" w:hAnsi="宋体"/>
          <w:color w:val="auto"/>
          <w:sz w:val="28"/>
          <w:szCs w:val="28"/>
          <w:lang w:val="en-US" w:eastAsia="zh-CN"/>
        </w:rPr>
        <w:t>21</w:t>
      </w:r>
      <w:r>
        <w:rPr>
          <w:rFonts w:hint="eastAsia" w:ascii="宋体" w:hAnsi="宋体"/>
          <w:color w:val="auto"/>
          <w:sz w:val="28"/>
          <w:szCs w:val="28"/>
        </w:rPr>
        <w:t>日09：00；(不安排公开开标、唱标，由招标办工作人员在我校纪检监察部门监督见证下进行，开标、唱标工作全程视频监控并录像)。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（2）唱标和开标地点：南京信息工程大学东苑大学生创业中心</w:t>
      </w:r>
      <w:r>
        <w:rPr>
          <w:rFonts w:ascii="宋体" w:hAnsi="宋体"/>
          <w:color w:val="auto"/>
          <w:sz w:val="28"/>
          <w:szCs w:val="28"/>
        </w:rPr>
        <w:t>3</w:t>
      </w:r>
      <w:r>
        <w:rPr>
          <w:rFonts w:hint="eastAsia" w:ascii="宋体" w:hAnsi="宋体"/>
          <w:color w:val="auto"/>
          <w:sz w:val="28"/>
          <w:szCs w:val="28"/>
        </w:rPr>
        <w:t>号楼（体育馆北面三层小楼）</w:t>
      </w:r>
      <w:r>
        <w:rPr>
          <w:rFonts w:ascii="宋体" w:hAnsi="宋体"/>
          <w:color w:val="auto"/>
          <w:sz w:val="28"/>
          <w:szCs w:val="28"/>
        </w:rPr>
        <w:t>210</w:t>
      </w:r>
      <w:r>
        <w:rPr>
          <w:rFonts w:hint="eastAsia" w:ascii="宋体" w:hAnsi="宋体"/>
          <w:color w:val="auto"/>
          <w:sz w:val="28"/>
          <w:szCs w:val="28"/>
        </w:rPr>
        <w:t>室。</w:t>
      </w:r>
    </w:p>
    <w:p>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6.相关单位联系人及电话</w:t>
      </w:r>
    </w:p>
    <w:p>
      <w:pPr>
        <w:snapToGrid w:val="0"/>
        <w:spacing w:line="360" w:lineRule="auto"/>
        <w:ind w:firstLine="425" w:firstLineChars="152"/>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）招标办：联系电话：</w:t>
      </w:r>
      <w:r>
        <w:rPr>
          <w:rFonts w:ascii="宋体" w:hAnsi="宋体"/>
          <w:color w:val="auto"/>
          <w:sz w:val="28"/>
          <w:szCs w:val="28"/>
        </w:rPr>
        <w:t>025-58731441</w:t>
      </w:r>
      <w:r>
        <w:rPr>
          <w:rFonts w:hint="eastAsia" w:ascii="宋体" w:hAnsi="宋体"/>
          <w:color w:val="auto"/>
          <w:sz w:val="28"/>
          <w:szCs w:val="28"/>
        </w:rPr>
        <w:t>，联系人：马老师、罗老师、刘老师；</w:t>
      </w:r>
    </w:p>
    <w:p>
      <w:pPr>
        <w:snapToGrid w:val="0"/>
        <w:spacing w:line="360" w:lineRule="auto"/>
        <w:ind w:firstLine="425" w:firstLineChars="152"/>
        <w:rPr>
          <w:rFonts w:ascii="宋体" w:hAnsi="宋体"/>
          <w:color w:val="auto"/>
          <w:sz w:val="28"/>
          <w:szCs w:val="28"/>
        </w:rPr>
      </w:pPr>
      <w:r>
        <w:rPr>
          <w:rFonts w:hint="eastAsia" w:ascii="宋体" w:hAnsi="宋体"/>
          <w:color w:val="auto"/>
          <w:sz w:val="28"/>
          <w:szCs w:val="28"/>
        </w:rPr>
        <w:t>（2）</w:t>
      </w:r>
      <w:bookmarkEnd w:id="6"/>
      <w:r>
        <w:rPr>
          <w:rFonts w:hint="eastAsia" w:ascii="宋体" w:hAnsi="宋体"/>
          <w:color w:val="auto"/>
          <w:sz w:val="28"/>
          <w:szCs w:val="28"/>
        </w:rPr>
        <w:t>用户单位联系电话：025-58731344，联系人：任老师。</w:t>
      </w:r>
    </w:p>
    <w:p>
      <w:pPr>
        <w:pStyle w:val="8"/>
        <w:ind w:left="0" w:leftChars="0" w:right="0" w:rightChars="0"/>
        <w:rPr>
          <w:rFonts w:ascii="宋体" w:hAnsi="宋体"/>
          <w:color w:val="auto"/>
          <w:sz w:val="28"/>
          <w:szCs w:val="28"/>
        </w:rPr>
      </w:pPr>
    </w:p>
    <w:p>
      <w:pPr>
        <w:tabs>
          <w:tab w:val="left" w:pos="1260"/>
        </w:tabs>
        <w:spacing w:line="360" w:lineRule="auto"/>
        <w:ind w:left="1959" w:leftChars="933" w:firstLine="2530" w:firstLineChars="900"/>
        <w:jc w:val="right"/>
        <w:rPr>
          <w:rFonts w:ascii="宋体"/>
          <w:b/>
          <w:color w:val="auto"/>
          <w:sz w:val="28"/>
          <w:szCs w:val="28"/>
        </w:rPr>
      </w:pPr>
      <w:bookmarkStart w:id="8" w:name="_Hlk9866962"/>
      <w:bookmarkStart w:id="11" w:name="_GoBack"/>
      <w:r>
        <w:rPr>
          <w:rFonts w:hint="eastAsia" w:ascii="宋体" w:hAnsi="宋体"/>
          <w:b/>
          <w:color w:val="auto"/>
          <w:sz w:val="28"/>
          <w:szCs w:val="28"/>
        </w:rPr>
        <w:t>南京信息工程大学招标办</w:t>
      </w:r>
    </w:p>
    <w:p>
      <w:pPr>
        <w:pStyle w:val="11"/>
        <w:spacing w:line="360" w:lineRule="auto"/>
        <w:ind w:left="99" w:leftChars="47" w:firstLine="4919" w:firstLineChars="1750"/>
        <w:jc w:val="right"/>
        <w:rPr>
          <w:rStyle w:val="47"/>
          <w:rFonts w:ascii="宋体" w:hAnsi="Times New Roman" w:eastAsia="宋体"/>
          <w:color w:val="auto"/>
          <w:sz w:val="28"/>
          <w:szCs w:val="28"/>
        </w:rPr>
      </w:pPr>
      <w:r>
        <w:rPr>
          <w:rStyle w:val="47"/>
          <w:rFonts w:ascii="宋体" w:hAnsi="宋体" w:eastAsia="宋体"/>
          <w:color w:val="auto"/>
          <w:sz w:val="28"/>
          <w:szCs w:val="28"/>
        </w:rPr>
        <w:t>20</w:t>
      </w:r>
      <w:r>
        <w:rPr>
          <w:rStyle w:val="47"/>
          <w:rFonts w:hint="eastAsia" w:ascii="宋体" w:hAnsi="宋体" w:eastAsia="宋体"/>
          <w:color w:val="auto"/>
          <w:sz w:val="28"/>
          <w:szCs w:val="28"/>
        </w:rPr>
        <w:t>2</w:t>
      </w:r>
      <w:r>
        <w:rPr>
          <w:rStyle w:val="47"/>
          <w:rFonts w:hint="eastAsia" w:ascii="宋体" w:hAnsi="宋体"/>
          <w:color w:val="auto"/>
          <w:sz w:val="28"/>
          <w:szCs w:val="28"/>
        </w:rPr>
        <w:t>2</w:t>
      </w:r>
      <w:r>
        <w:rPr>
          <w:rStyle w:val="47"/>
          <w:rFonts w:hint="eastAsia" w:ascii="宋体" w:hAnsi="宋体" w:eastAsia="宋体"/>
          <w:color w:val="auto"/>
          <w:sz w:val="28"/>
          <w:szCs w:val="28"/>
        </w:rPr>
        <w:t>年</w:t>
      </w:r>
      <w:r>
        <w:rPr>
          <w:rStyle w:val="47"/>
          <w:rFonts w:hint="eastAsia" w:ascii="宋体" w:hAnsi="宋体"/>
          <w:color w:val="auto"/>
          <w:sz w:val="28"/>
          <w:szCs w:val="28"/>
          <w:lang w:val="en-US"/>
        </w:rPr>
        <w:t>0</w:t>
      </w:r>
      <w:r>
        <w:rPr>
          <w:rStyle w:val="47"/>
          <w:rFonts w:hint="eastAsia" w:ascii="宋体" w:hAnsi="宋体"/>
          <w:color w:val="auto"/>
          <w:sz w:val="28"/>
          <w:szCs w:val="28"/>
        </w:rPr>
        <w:t>3</w:t>
      </w:r>
      <w:r>
        <w:rPr>
          <w:rStyle w:val="47"/>
          <w:rFonts w:hint="eastAsia" w:ascii="宋体" w:hAnsi="宋体" w:eastAsia="宋体"/>
          <w:color w:val="auto"/>
          <w:sz w:val="28"/>
          <w:szCs w:val="28"/>
        </w:rPr>
        <w:t>月</w:t>
      </w:r>
      <w:r>
        <w:rPr>
          <w:rStyle w:val="47"/>
          <w:rFonts w:hint="eastAsia" w:ascii="宋体" w:hAnsi="宋体"/>
          <w:color w:val="auto"/>
          <w:sz w:val="28"/>
          <w:szCs w:val="28"/>
          <w:lang w:val="en-US"/>
        </w:rPr>
        <w:t>31</w:t>
      </w:r>
      <w:r>
        <w:rPr>
          <w:rStyle w:val="47"/>
          <w:rFonts w:hint="eastAsia" w:ascii="宋体" w:hAnsi="宋体" w:eastAsia="宋体"/>
          <w:color w:val="auto"/>
          <w:sz w:val="28"/>
          <w:szCs w:val="28"/>
        </w:rPr>
        <w:t>日</w:t>
      </w:r>
      <w:bookmarkEnd w:id="8"/>
    </w:p>
    <w:bookmarkEnd w:id="11"/>
    <w:p>
      <w:pPr>
        <w:pStyle w:val="10"/>
        <w:adjustRightInd w:val="0"/>
        <w:snapToGrid w:val="0"/>
        <w:spacing w:before="120" w:after="120" w:line="360" w:lineRule="auto"/>
        <w:rPr>
          <w:rStyle w:val="47"/>
          <w:rFonts w:ascii="宋体" w:hAnsi="宋体" w:eastAsia="宋体"/>
          <w:b w:val="0"/>
          <w:color w:val="auto"/>
          <w:sz w:val="28"/>
          <w:szCs w:val="28"/>
        </w:rPr>
      </w:pPr>
      <w:r>
        <w:rPr>
          <w:rStyle w:val="47"/>
          <w:rFonts w:ascii="宋体" w:hAnsi="Times New Roman" w:eastAsia="宋体"/>
          <w:b w:val="0"/>
          <w:color w:val="auto"/>
          <w:sz w:val="28"/>
          <w:szCs w:val="28"/>
        </w:rPr>
        <w:br w:type="page"/>
      </w:r>
      <w:bookmarkStart w:id="9" w:name="_Toc462564147"/>
      <w:r>
        <w:rPr>
          <w:rFonts w:ascii="Times New Roman" w:hAnsi="Times New Roman"/>
          <w:b/>
          <w:bCs/>
          <w:color w:val="auto"/>
          <w:sz w:val="24"/>
          <w:szCs w:val="24"/>
        </w:rPr>
        <w:t>附件1：</w:t>
      </w:r>
    </w:p>
    <w:p>
      <w:pPr>
        <w:spacing w:line="360" w:lineRule="auto"/>
        <w:ind w:left="180"/>
        <w:jc w:val="center"/>
        <w:rPr>
          <w:rFonts w:hAnsi="宋体"/>
          <w:b/>
          <w:color w:val="auto"/>
          <w:sz w:val="28"/>
          <w:szCs w:val="28"/>
        </w:rPr>
      </w:pPr>
      <w:r>
        <w:rPr>
          <w:rFonts w:hint="eastAsia" w:hAnsi="宋体"/>
          <w:b/>
          <w:color w:val="auto"/>
          <w:sz w:val="28"/>
          <w:szCs w:val="28"/>
        </w:rPr>
        <w:t>招标项目名称、数量、主要技术要求及其他要求</w:t>
      </w:r>
    </w:p>
    <w:p>
      <w:pPr>
        <w:rPr>
          <w:b/>
          <w:color w:val="auto"/>
          <w:sz w:val="24"/>
        </w:rPr>
      </w:pPr>
      <w:r>
        <w:rPr>
          <w:rFonts w:hint="eastAsia"/>
          <w:b/>
          <w:color w:val="auto"/>
          <w:sz w:val="24"/>
        </w:rPr>
        <w:t>一、项目及所含软件系统</w:t>
      </w:r>
    </w:p>
    <w:p>
      <w:pPr>
        <w:rPr>
          <w:color w:val="auto"/>
        </w:rPr>
      </w:pPr>
    </w:p>
    <w:tbl>
      <w:tblPr>
        <w:tblStyle w:val="17"/>
        <w:tblW w:w="957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5482"/>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8" w:type="dxa"/>
            <w:vAlign w:val="center"/>
          </w:tcPr>
          <w:p>
            <w:pPr>
              <w:jc w:val="center"/>
              <w:rPr>
                <w:rFonts w:ascii="宋体" w:hAnsi="宋体"/>
                <w:color w:val="auto"/>
                <w:szCs w:val="21"/>
              </w:rPr>
            </w:pPr>
            <w:r>
              <w:rPr>
                <w:rFonts w:hint="eastAsia" w:ascii="宋体" w:hAnsi="宋体"/>
                <w:color w:val="auto"/>
                <w:szCs w:val="21"/>
              </w:rPr>
              <w:t>项目名称</w:t>
            </w:r>
          </w:p>
        </w:tc>
        <w:tc>
          <w:tcPr>
            <w:tcW w:w="5482" w:type="dxa"/>
            <w:vAlign w:val="center"/>
          </w:tcPr>
          <w:p>
            <w:pPr>
              <w:jc w:val="center"/>
              <w:rPr>
                <w:rFonts w:ascii="宋体" w:hAnsi="宋体"/>
                <w:color w:val="auto"/>
                <w:szCs w:val="21"/>
              </w:rPr>
            </w:pPr>
            <w:r>
              <w:rPr>
                <w:rFonts w:hint="eastAsia" w:ascii="宋体" w:hAnsi="宋体"/>
                <w:color w:val="auto"/>
                <w:szCs w:val="21"/>
              </w:rPr>
              <w:t>软件系统名称</w:t>
            </w:r>
          </w:p>
        </w:tc>
        <w:tc>
          <w:tcPr>
            <w:tcW w:w="994" w:type="dxa"/>
            <w:vAlign w:val="center"/>
          </w:tcPr>
          <w:p>
            <w:pPr>
              <w:jc w:val="center"/>
              <w:rPr>
                <w:rFonts w:ascii="宋体" w:hAnsi="宋体"/>
                <w:color w:val="auto"/>
                <w:szCs w:val="21"/>
              </w:rPr>
            </w:pPr>
            <w:r>
              <w:rPr>
                <w:rFonts w:hint="eastAsia" w:ascii="宋体" w:hAnsi="宋体"/>
                <w:color w:val="auto"/>
                <w:szCs w:val="21"/>
              </w:rPr>
              <w:t>单位</w:t>
            </w:r>
          </w:p>
        </w:tc>
        <w:tc>
          <w:tcPr>
            <w:tcW w:w="994" w:type="dxa"/>
            <w:vAlign w:val="center"/>
          </w:tcPr>
          <w:p>
            <w:pPr>
              <w:jc w:val="center"/>
              <w:rPr>
                <w:rFonts w:ascii="宋体" w:hAnsi="宋体"/>
                <w:color w:val="auto"/>
                <w:szCs w:val="21"/>
              </w:rPr>
            </w:pPr>
            <w:r>
              <w:rPr>
                <w:rFonts w:hint="eastAsia" w:ascii="宋体" w:hAnsi="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8" w:type="dxa"/>
            <w:vMerge w:val="restart"/>
            <w:vAlign w:val="center"/>
          </w:tcPr>
          <w:p>
            <w:pPr>
              <w:jc w:val="center"/>
              <w:rPr>
                <w:rFonts w:ascii="宋体" w:hAnsi="宋体"/>
                <w:color w:val="auto"/>
                <w:szCs w:val="21"/>
              </w:rPr>
            </w:pPr>
            <w:r>
              <w:rPr>
                <w:rFonts w:hint="eastAsia" w:ascii="宋体" w:hAnsi="宋体"/>
                <w:color w:val="auto"/>
                <w:szCs w:val="21"/>
              </w:rPr>
              <w:t>大学生创新创业实践教育中心信息化平台</w:t>
            </w:r>
          </w:p>
        </w:tc>
        <w:tc>
          <w:tcPr>
            <w:tcW w:w="5482" w:type="dxa"/>
            <w:vAlign w:val="center"/>
          </w:tcPr>
          <w:p>
            <w:pPr>
              <w:jc w:val="center"/>
              <w:rPr>
                <w:rFonts w:ascii="宋体" w:hAnsi="宋体"/>
                <w:color w:val="auto"/>
                <w:szCs w:val="21"/>
              </w:rPr>
            </w:pPr>
            <w:r>
              <w:rPr>
                <w:rFonts w:hint="eastAsia"/>
                <w:color w:val="auto"/>
                <w:szCs w:val="21"/>
              </w:rPr>
              <w:t>创新创业信息门户系统</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套</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8" w:type="dxa"/>
            <w:vMerge w:val="continue"/>
            <w:vAlign w:val="center"/>
          </w:tcPr>
          <w:p>
            <w:pPr>
              <w:jc w:val="center"/>
              <w:rPr>
                <w:rFonts w:ascii="宋体" w:hAnsi="宋体"/>
                <w:color w:val="auto"/>
                <w:szCs w:val="21"/>
              </w:rPr>
            </w:pPr>
          </w:p>
        </w:tc>
        <w:tc>
          <w:tcPr>
            <w:tcW w:w="5482" w:type="dxa"/>
            <w:vAlign w:val="center"/>
          </w:tcPr>
          <w:p>
            <w:pPr>
              <w:jc w:val="center"/>
              <w:rPr>
                <w:rFonts w:ascii="宋体" w:hAnsi="宋体"/>
                <w:color w:val="auto"/>
                <w:szCs w:val="21"/>
              </w:rPr>
            </w:pPr>
            <w:r>
              <w:rPr>
                <w:rFonts w:hint="eastAsia"/>
                <w:color w:val="auto"/>
                <w:szCs w:val="21"/>
              </w:rPr>
              <w:t>创新创业教育资源学习系统</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套</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8" w:type="dxa"/>
            <w:vMerge w:val="continue"/>
            <w:vAlign w:val="center"/>
          </w:tcPr>
          <w:p>
            <w:pPr>
              <w:jc w:val="center"/>
              <w:rPr>
                <w:rFonts w:ascii="宋体" w:hAnsi="宋体"/>
                <w:color w:val="auto"/>
                <w:szCs w:val="21"/>
              </w:rPr>
            </w:pPr>
          </w:p>
        </w:tc>
        <w:tc>
          <w:tcPr>
            <w:tcW w:w="5482" w:type="dxa"/>
            <w:vAlign w:val="center"/>
          </w:tcPr>
          <w:p>
            <w:pPr>
              <w:jc w:val="center"/>
              <w:rPr>
                <w:rFonts w:ascii="宋体" w:hAnsi="宋体"/>
                <w:color w:val="auto"/>
                <w:szCs w:val="21"/>
              </w:rPr>
            </w:pPr>
            <w:r>
              <w:rPr>
                <w:rFonts w:hint="eastAsia"/>
                <w:color w:val="auto"/>
                <w:szCs w:val="21"/>
              </w:rPr>
              <w:t>“互联网+”大学生创新创业大赛管理系统</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套</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8" w:type="dxa"/>
            <w:vMerge w:val="continue"/>
            <w:vAlign w:val="center"/>
          </w:tcPr>
          <w:p>
            <w:pPr>
              <w:jc w:val="center"/>
              <w:rPr>
                <w:rFonts w:ascii="宋体" w:hAnsi="宋体"/>
                <w:color w:val="auto"/>
                <w:szCs w:val="21"/>
              </w:rPr>
            </w:pPr>
          </w:p>
        </w:tc>
        <w:tc>
          <w:tcPr>
            <w:tcW w:w="5482" w:type="dxa"/>
            <w:vAlign w:val="center"/>
          </w:tcPr>
          <w:p>
            <w:pPr>
              <w:jc w:val="center"/>
              <w:rPr>
                <w:rFonts w:ascii="宋体" w:hAnsi="宋体"/>
                <w:color w:val="auto"/>
                <w:szCs w:val="21"/>
              </w:rPr>
            </w:pPr>
            <w:r>
              <w:rPr>
                <w:rFonts w:hint="eastAsia"/>
                <w:color w:val="auto"/>
                <w:szCs w:val="21"/>
              </w:rPr>
              <w:t>创新创业基地管理系统</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套</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8" w:type="dxa"/>
            <w:vMerge w:val="continue"/>
            <w:vAlign w:val="center"/>
          </w:tcPr>
          <w:p>
            <w:pPr>
              <w:jc w:val="center"/>
              <w:rPr>
                <w:rFonts w:ascii="宋体" w:hAnsi="宋体"/>
                <w:color w:val="auto"/>
                <w:szCs w:val="21"/>
              </w:rPr>
            </w:pPr>
          </w:p>
        </w:tc>
        <w:tc>
          <w:tcPr>
            <w:tcW w:w="5482" w:type="dxa"/>
            <w:vAlign w:val="center"/>
          </w:tcPr>
          <w:p>
            <w:pPr>
              <w:jc w:val="center"/>
              <w:rPr>
                <w:rFonts w:ascii="宋体" w:hAnsi="宋体"/>
                <w:color w:val="auto"/>
                <w:szCs w:val="21"/>
              </w:rPr>
            </w:pPr>
            <w:r>
              <w:rPr>
                <w:rFonts w:hint="eastAsia"/>
                <w:color w:val="auto"/>
                <w:szCs w:val="21"/>
              </w:rPr>
              <w:t>创新创业导师库系统</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套</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8" w:type="dxa"/>
            <w:vMerge w:val="continue"/>
            <w:vAlign w:val="center"/>
          </w:tcPr>
          <w:p>
            <w:pPr>
              <w:jc w:val="center"/>
              <w:rPr>
                <w:rFonts w:ascii="宋体" w:hAnsi="宋体"/>
                <w:color w:val="auto"/>
                <w:szCs w:val="21"/>
              </w:rPr>
            </w:pPr>
          </w:p>
        </w:tc>
        <w:tc>
          <w:tcPr>
            <w:tcW w:w="5482" w:type="dxa"/>
            <w:vAlign w:val="center"/>
          </w:tcPr>
          <w:p>
            <w:pPr>
              <w:jc w:val="center"/>
              <w:rPr>
                <w:rFonts w:ascii="宋体" w:hAnsi="宋体"/>
                <w:color w:val="auto"/>
                <w:szCs w:val="21"/>
              </w:rPr>
            </w:pPr>
            <w:r>
              <w:rPr>
                <w:rFonts w:hint="eastAsia"/>
                <w:color w:val="auto"/>
                <w:szCs w:val="21"/>
              </w:rPr>
              <w:t>创新创业投融资服务系统</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套</w:t>
            </w:r>
          </w:p>
        </w:tc>
        <w:tc>
          <w:tcPr>
            <w:tcW w:w="994" w:type="dxa"/>
            <w:vAlign w:val="center"/>
          </w:tcPr>
          <w:p>
            <w:pPr>
              <w:adjustRightInd w:val="0"/>
              <w:snapToGrid w:val="0"/>
              <w:jc w:val="center"/>
              <w:rPr>
                <w:rFonts w:ascii="宋体" w:hAnsi="宋体"/>
                <w:color w:val="auto"/>
                <w:szCs w:val="21"/>
              </w:rPr>
            </w:pPr>
            <w:r>
              <w:rPr>
                <w:rFonts w:hint="eastAsia" w:ascii="宋体" w:hAnsi="宋体"/>
                <w:color w:val="auto"/>
                <w:szCs w:val="21"/>
              </w:rPr>
              <w:t>1</w:t>
            </w:r>
          </w:p>
        </w:tc>
      </w:tr>
    </w:tbl>
    <w:p>
      <w:pPr>
        <w:rPr>
          <w:rFonts w:ascii="宋体" w:hAnsi="宋体"/>
          <w:color w:val="auto"/>
        </w:rPr>
      </w:pPr>
    </w:p>
    <w:p>
      <w:pPr>
        <w:rPr>
          <w:rFonts w:ascii="宋体" w:hAnsi="宋体"/>
          <w:color w:val="auto"/>
        </w:rPr>
      </w:pPr>
    </w:p>
    <w:p>
      <w:pPr>
        <w:rPr>
          <w:b/>
          <w:color w:val="auto"/>
          <w:sz w:val="24"/>
        </w:rPr>
      </w:pPr>
      <w:r>
        <w:rPr>
          <w:rFonts w:hint="eastAsia"/>
          <w:b/>
          <w:color w:val="auto"/>
          <w:sz w:val="24"/>
        </w:rPr>
        <w:t>二、项目总体要求（“</w:t>
      </w:r>
      <w:r>
        <w:rPr>
          <w:rFonts w:hint="eastAsia"/>
          <w:color w:val="auto"/>
        </w:rPr>
        <w:t>▲</w:t>
      </w:r>
      <w:r>
        <w:rPr>
          <w:rFonts w:hint="eastAsia"/>
          <w:b/>
          <w:color w:val="auto"/>
          <w:sz w:val="24"/>
        </w:rPr>
        <w:t>”符号的技术条款需提供演示</w:t>
      </w:r>
      <w:r>
        <w:rPr>
          <w:b/>
          <w:color w:val="auto"/>
          <w:sz w:val="24"/>
        </w:rPr>
        <w:t>U</w:t>
      </w:r>
      <w:r>
        <w:rPr>
          <w:rFonts w:hint="eastAsia"/>
          <w:b/>
          <w:color w:val="auto"/>
          <w:sz w:val="24"/>
        </w:rPr>
        <w:t>盘进行演示）</w:t>
      </w:r>
    </w:p>
    <w:p>
      <w:pPr>
        <w:rPr>
          <w:b/>
          <w:color w:val="auto"/>
          <w:sz w:val="24"/>
        </w:rPr>
      </w:pPr>
    </w:p>
    <w:p>
      <w:pPr>
        <w:widowControl/>
        <w:spacing w:before="156" w:beforeLines="50" w:line="360" w:lineRule="auto"/>
        <w:ind w:firstLine="420" w:firstLineChars="200"/>
        <w:jc w:val="left"/>
        <w:rPr>
          <w:rFonts w:ascii="宋体" w:hAnsi="宋体"/>
          <w:color w:val="auto"/>
          <w:szCs w:val="21"/>
        </w:rPr>
      </w:pPr>
      <w:r>
        <w:rPr>
          <w:rFonts w:hint="eastAsia"/>
          <w:color w:val="auto"/>
        </w:rPr>
        <w:t>▲</w:t>
      </w:r>
      <w:r>
        <w:rPr>
          <w:rFonts w:hint="eastAsia" w:ascii="宋体" w:hAnsi="宋体"/>
          <w:color w:val="auto"/>
          <w:szCs w:val="21"/>
        </w:rPr>
        <w:t>1</w:t>
      </w:r>
      <w:r>
        <w:rPr>
          <w:rFonts w:hint="eastAsia"/>
          <w:color w:val="auto"/>
          <w:szCs w:val="21"/>
        </w:rPr>
        <w:t>.</w:t>
      </w:r>
      <w:r>
        <w:rPr>
          <w:rFonts w:hint="eastAsia" w:ascii="宋体" w:hAnsi="宋体"/>
          <w:color w:val="auto"/>
          <w:szCs w:val="21"/>
        </w:rPr>
        <w:t>项目所含6个软件系统均要求有独立的数据库，既可以独立使用各系统（通过各系统分别登录使用），也可以通过平台软件统一登录使用各系统（通过平台软件统一登录使用）。</w:t>
      </w:r>
    </w:p>
    <w:p>
      <w:pPr>
        <w:widowControl/>
        <w:spacing w:line="360" w:lineRule="auto"/>
        <w:ind w:firstLine="420" w:firstLineChars="200"/>
        <w:jc w:val="left"/>
        <w:rPr>
          <w:rFonts w:ascii="宋体" w:hAnsi="宋体"/>
          <w:color w:val="auto"/>
          <w:szCs w:val="21"/>
        </w:rPr>
      </w:pPr>
      <w:r>
        <w:rPr>
          <w:rFonts w:hint="eastAsia"/>
          <w:color w:val="auto"/>
        </w:rPr>
        <w:t>▲2</w:t>
      </w:r>
      <w:r>
        <w:rPr>
          <w:rFonts w:hint="eastAsia"/>
          <w:color w:val="auto"/>
          <w:szCs w:val="21"/>
        </w:rPr>
        <w:t>.</w:t>
      </w:r>
      <w:r>
        <w:rPr>
          <w:rFonts w:hint="eastAsia" w:ascii="宋体" w:hAnsi="宋体"/>
          <w:color w:val="auto"/>
          <w:szCs w:val="21"/>
        </w:rPr>
        <w:t>项目必须整合学校已购正在使用的大学生创新创业训练计划管理系统、</w:t>
      </w:r>
      <w:r>
        <w:rPr>
          <w:rFonts w:ascii="宋体" w:hAnsi="宋体"/>
          <w:color w:val="auto"/>
          <w:szCs w:val="21"/>
        </w:rPr>
        <w:t>学科竞赛管理系统</w:t>
      </w:r>
      <w:r>
        <w:rPr>
          <w:rFonts w:hint="eastAsia" w:ascii="宋体" w:hAnsi="宋体"/>
          <w:color w:val="auto"/>
          <w:szCs w:val="21"/>
        </w:rPr>
        <w:t>、</w:t>
      </w:r>
      <w:r>
        <w:rPr>
          <w:rFonts w:ascii="宋体" w:hAnsi="宋体"/>
          <w:color w:val="auto"/>
          <w:szCs w:val="21"/>
        </w:rPr>
        <w:t>创新创业学分认定系统</w:t>
      </w:r>
      <w:r>
        <w:rPr>
          <w:rFonts w:hint="eastAsia" w:ascii="宋体" w:hAnsi="宋体"/>
          <w:color w:val="auto"/>
          <w:szCs w:val="21"/>
        </w:rPr>
        <w:t>、创新创业成果管理系统，纳入大学生创新创业实践教育中心信息化平台作为子系统，做到关联数据无缝集成，并实现用户统一登录和使用系统功能。</w:t>
      </w:r>
    </w:p>
    <w:p>
      <w:pPr>
        <w:widowControl/>
        <w:spacing w:line="360" w:lineRule="auto"/>
        <w:ind w:firstLine="420" w:firstLineChars="200"/>
        <w:jc w:val="left"/>
        <w:rPr>
          <w:rFonts w:ascii="宋体" w:hAnsi="宋体"/>
          <w:color w:val="auto"/>
          <w:szCs w:val="21"/>
        </w:rPr>
      </w:pPr>
      <w:r>
        <w:rPr>
          <w:rFonts w:hint="eastAsia"/>
          <w:color w:val="auto"/>
        </w:rPr>
        <w:t>▲</w:t>
      </w:r>
      <w:r>
        <w:rPr>
          <w:rFonts w:hint="eastAsia" w:ascii="宋体" w:hAnsi="宋体"/>
          <w:color w:val="auto"/>
          <w:szCs w:val="21"/>
        </w:rPr>
        <w:t>3</w:t>
      </w:r>
      <w:r>
        <w:rPr>
          <w:rFonts w:hint="eastAsia"/>
          <w:color w:val="auto"/>
          <w:szCs w:val="21"/>
        </w:rPr>
        <w:t>.</w:t>
      </w:r>
      <w:r>
        <w:rPr>
          <w:rFonts w:hint="eastAsia" w:ascii="宋体" w:hAnsi="宋体"/>
          <w:color w:val="auto"/>
          <w:szCs w:val="21"/>
        </w:rPr>
        <w:t>项目整合后的大学生创新创业训练计划管理系统必须与省教育厅《江苏省大学生创新创业训练计划平台》实现国创、省创项目数据的无缝对接与远程上报，必须实现项目数据通过互联网自动推送，项目数据无需进行格式的转换或系统软件功能的二次开发。</w:t>
      </w:r>
    </w:p>
    <w:p>
      <w:pPr>
        <w:widowControl/>
        <w:spacing w:line="360" w:lineRule="auto"/>
        <w:ind w:firstLine="420" w:firstLineChars="200"/>
        <w:jc w:val="left"/>
        <w:rPr>
          <w:color w:val="auto"/>
          <w:szCs w:val="21"/>
        </w:rPr>
      </w:pPr>
      <w:r>
        <w:rPr>
          <w:rFonts w:hint="eastAsia"/>
          <w:color w:val="auto"/>
        </w:rPr>
        <w:t>▲</w:t>
      </w:r>
      <w:r>
        <w:rPr>
          <w:rFonts w:hint="eastAsia"/>
          <w:color w:val="auto"/>
          <w:szCs w:val="21"/>
        </w:rPr>
        <w:t>4.项目所含“互联网</w:t>
      </w:r>
      <w:r>
        <w:rPr>
          <w:color w:val="auto"/>
          <w:szCs w:val="21"/>
        </w:rPr>
        <w:t>+</w:t>
      </w:r>
      <w:r>
        <w:rPr>
          <w:rFonts w:hint="eastAsia"/>
          <w:color w:val="auto"/>
          <w:szCs w:val="21"/>
        </w:rPr>
        <w:t>”大学生创新创业大赛管理系统支持校赛遴选后的项目直接推送江苏省互联网+大学生创新创业大赛管理平台。</w:t>
      </w:r>
    </w:p>
    <w:p>
      <w:pPr>
        <w:pStyle w:val="58"/>
        <w:ind w:firstLine="420"/>
        <w:rPr>
          <w:color w:val="auto"/>
          <w:sz w:val="21"/>
          <w:szCs w:val="21"/>
        </w:rPr>
      </w:pPr>
      <w:r>
        <w:rPr>
          <w:rFonts w:hint="eastAsia"/>
          <w:color w:val="auto"/>
          <w:sz w:val="21"/>
          <w:szCs w:val="21"/>
        </w:rPr>
        <w:t>5.所有业务系统基于统一的用户界面设计，各业务系统做到完全无缝整合。</w:t>
      </w:r>
    </w:p>
    <w:p>
      <w:pPr>
        <w:pStyle w:val="58"/>
        <w:ind w:firstLine="420"/>
        <w:rPr>
          <w:color w:val="auto"/>
          <w:sz w:val="21"/>
          <w:szCs w:val="21"/>
        </w:rPr>
      </w:pPr>
      <w:r>
        <w:rPr>
          <w:rFonts w:hint="eastAsia"/>
          <w:color w:val="auto"/>
          <w:sz w:val="21"/>
          <w:szCs w:val="21"/>
        </w:rPr>
        <w:t>6.所有业务系统需要是成熟产品，具备1年以上的用户经历。</w:t>
      </w:r>
    </w:p>
    <w:p>
      <w:pPr>
        <w:pStyle w:val="58"/>
        <w:ind w:firstLine="420"/>
        <w:rPr>
          <w:color w:val="auto"/>
          <w:sz w:val="21"/>
          <w:szCs w:val="21"/>
        </w:rPr>
      </w:pPr>
      <w:r>
        <w:rPr>
          <w:rFonts w:hint="eastAsia"/>
          <w:color w:val="auto"/>
          <w:sz w:val="21"/>
          <w:szCs w:val="21"/>
        </w:rPr>
        <w:t>7.软件应基于 B/S 模式设计，方便易用。</w:t>
      </w:r>
    </w:p>
    <w:p>
      <w:pPr>
        <w:pStyle w:val="58"/>
        <w:ind w:firstLine="420"/>
        <w:rPr>
          <w:color w:val="auto"/>
          <w:sz w:val="21"/>
          <w:szCs w:val="21"/>
        </w:rPr>
      </w:pPr>
      <w:r>
        <w:rPr>
          <w:rFonts w:hint="eastAsia"/>
          <w:color w:val="auto"/>
          <w:sz w:val="21"/>
          <w:szCs w:val="21"/>
        </w:rPr>
        <w:t>8.数据库支持Oracle、MSSQL等主流数据库。</w:t>
      </w:r>
    </w:p>
    <w:p>
      <w:pPr>
        <w:pStyle w:val="58"/>
        <w:ind w:firstLine="420"/>
        <w:rPr>
          <w:color w:val="auto"/>
          <w:sz w:val="21"/>
          <w:szCs w:val="21"/>
        </w:rPr>
      </w:pPr>
      <w:r>
        <w:rPr>
          <w:rFonts w:hint="eastAsia"/>
          <w:color w:val="auto"/>
          <w:sz w:val="21"/>
          <w:szCs w:val="21"/>
        </w:rPr>
        <w:t>9.所有业务系统运行安全稳定，能够至少支持5000用户，重荷响应时间不超过0.5秒。</w:t>
      </w:r>
    </w:p>
    <w:p>
      <w:pPr>
        <w:pStyle w:val="58"/>
        <w:ind w:firstLine="420"/>
        <w:rPr>
          <w:color w:val="auto"/>
          <w:sz w:val="21"/>
          <w:szCs w:val="21"/>
        </w:rPr>
      </w:pPr>
      <w:r>
        <w:rPr>
          <w:rFonts w:hint="eastAsia"/>
          <w:color w:val="auto"/>
          <w:sz w:val="21"/>
          <w:szCs w:val="21"/>
        </w:rPr>
        <w:t>10.平台采用模块化设计，所有业务系统应具有良好的开放性和扩展性。应采用标准的业务流程管理引擎，支持用户流程自定义。</w:t>
      </w:r>
    </w:p>
    <w:p>
      <w:pPr>
        <w:pStyle w:val="58"/>
        <w:ind w:firstLine="420"/>
        <w:rPr>
          <w:color w:val="auto"/>
          <w:sz w:val="21"/>
          <w:szCs w:val="21"/>
        </w:rPr>
      </w:pPr>
      <w:r>
        <w:rPr>
          <w:rFonts w:hint="eastAsia"/>
          <w:color w:val="auto"/>
          <w:sz w:val="21"/>
          <w:szCs w:val="21"/>
        </w:rPr>
        <w:t>11.所有业务系统需要基于角色的授权管理，方便灵活的对各级用户（不少于3级）进行授权。</w:t>
      </w:r>
    </w:p>
    <w:p>
      <w:pPr>
        <w:pStyle w:val="58"/>
        <w:ind w:firstLine="420"/>
        <w:rPr>
          <w:color w:val="auto"/>
          <w:sz w:val="21"/>
          <w:szCs w:val="21"/>
        </w:rPr>
      </w:pPr>
      <w:r>
        <w:rPr>
          <w:rFonts w:hint="eastAsia"/>
          <w:color w:val="auto"/>
          <w:sz w:val="21"/>
          <w:szCs w:val="21"/>
        </w:rPr>
        <w:t>12.支持给每个用户的权限控制到具体的功能操作，如添加、修改、保存、删除、查询、导出、打印等。</w:t>
      </w:r>
    </w:p>
    <w:p>
      <w:pPr>
        <w:pStyle w:val="58"/>
        <w:ind w:firstLine="420"/>
        <w:rPr>
          <w:color w:val="auto"/>
          <w:sz w:val="21"/>
          <w:szCs w:val="21"/>
        </w:rPr>
      </w:pPr>
      <w:r>
        <w:rPr>
          <w:rFonts w:hint="eastAsia"/>
          <w:color w:val="auto"/>
          <w:sz w:val="21"/>
          <w:szCs w:val="21"/>
        </w:rPr>
        <w:t>13.限制用户的管理行为到某一个或几个具体的单位。</w:t>
      </w:r>
    </w:p>
    <w:p>
      <w:pPr>
        <w:pStyle w:val="58"/>
        <w:ind w:firstLine="420"/>
        <w:rPr>
          <w:color w:val="auto"/>
          <w:sz w:val="21"/>
          <w:szCs w:val="21"/>
        </w:rPr>
      </w:pPr>
      <w:r>
        <w:rPr>
          <w:rFonts w:hint="eastAsia"/>
          <w:color w:val="auto"/>
          <w:sz w:val="21"/>
          <w:szCs w:val="21"/>
        </w:rPr>
        <w:t>14.所有业务系统基于动态数据设计，具备数据自定义能力。</w:t>
      </w:r>
    </w:p>
    <w:p>
      <w:pPr>
        <w:pStyle w:val="58"/>
        <w:ind w:firstLine="420"/>
        <w:rPr>
          <w:color w:val="auto"/>
          <w:sz w:val="21"/>
          <w:szCs w:val="21"/>
        </w:rPr>
      </w:pPr>
      <w:r>
        <w:rPr>
          <w:rFonts w:hint="eastAsia"/>
          <w:color w:val="auto"/>
          <w:sz w:val="21"/>
          <w:szCs w:val="21"/>
        </w:rPr>
        <w:t>15.基于教育部《学校管理信息标准》和相关GB数据标准设计。</w:t>
      </w:r>
    </w:p>
    <w:p>
      <w:pPr>
        <w:pStyle w:val="58"/>
        <w:ind w:firstLine="420"/>
        <w:rPr>
          <w:color w:val="auto"/>
          <w:sz w:val="21"/>
          <w:szCs w:val="21"/>
        </w:rPr>
      </w:pPr>
      <w:r>
        <w:rPr>
          <w:rFonts w:hint="eastAsia"/>
          <w:color w:val="auto"/>
          <w:sz w:val="21"/>
          <w:szCs w:val="21"/>
        </w:rPr>
        <w:t>16.满足学校的基本数据规范和要求，满足我校数字化校园标准接口。</w:t>
      </w:r>
    </w:p>
    <w:p>
      <w:pPr>
        <w:pStyle w:val="58"/>
        <w:ind w:firstLine="424" w:firstLineChars="202"/>
        <w:rPr>
          <w:color w:val="auto"/>
          <w:sz w:val="21"/>
          <w:szCs w:val="21"/>
        </w:rPr>
      </w:pPr>
      <w:r>
        <w:rPr>
          <w:rFonts w:hint="eastAsia"/>
          <w:color w:val="auto"/>
          <w:sz w:val="21"/>
          <w:szCs w:val="21"/>
        </w:rPr>
        <w:t>17.为了保证项目的正常运行，要求平台与教务管理系统或公共数据中心实现基础数据动态同步和共享，保证基础数据完全一致。</w:t>
      </w:r>
    </w:p>
    <w:p>
      <w:pPr>
        <w:pStyle w:val="58"/>
        <w:ind w:firstLine="420"/>
        <w:rPr>
          <w:color w:val="auto"/>
          <w:sz w:val="21"/>
          <w:szCs w:val="21"/>
        </w:rPr>
      </w:pPr>
      <w:r>
        <w:rPr>
          <w:rFonts w:hint="eastAsia"/>
          <w:color w:val="auto"/>
          <w:sz w:val="21"/>
          <w:szCs w:val="21"/>
        </w:rPr>
        <w:t>18.为学校其他信息系统无偿提供数据接口。</w:t>
      </w:r>
    </w:p>
    <w:p>
      <w:pPr>
        <w:pStyle w:val="58"/>
        <w:ind w:firstLine="420"/>
        <w:rPr>
          <w:color w:val="auto"/>
          <w:sz w:val="21"/>
          <w:szCs w:val="21"/>
        </w:rPr>
      </w:pPr>
      <w:r>
        <w:rPr>
          <w:rFonts w:hint="eastAsia"/>
          <w:color w:val="auto"/>
          <w:sz w:val="21"/>
          <w:szCs w:val="21"/>
        </w:rPr>
        <w:t>19.供应商安排技术人员免费协助做好基础数据的对接、导入等工作。</w:t>
      </w:r>
    </w:p>
    <w:p>
      <w:pPr>
        <w:pStyle w:val="58"/>
        <w:ind w:firstLine="420"/>
        <w:rPr>
          <w:color w:val="auto"/>
          <w:sz w:val="21"/>
          <w:szCs w:val="21"/>
        </w:rPr>
      </w:pPr>
      <w:r>
        <w:rPr>
          <w:rFonts w:hint="eastAsia"/>
          <w:color w:val="auto"/>
          <w:sz w:val="21"/>
          <w:szCs w:val="21"/>
        </w:rPr>
        <w:t>20.平台须与数字化校园统一门户集成，实现用户使用一套账号密码直接登录使用,永久免费开放软件单点登录接口和数据接口。</w:t>
      </w:r>
    </w:p>
    <w:p>
      <w:pPr>
        <w:pStyle w:val="58"/>
        <w:ind w:firstLine="420"/>
        <w:rPr>
          <w:color w:val="auto"/>
          <w:sz w:val="21"/>
          <w:szCs w:val="21"/>
        </w:rPr>
      </w:pPr>
      <w:r>
        <w:rPr>
          <w:rFonts w:hint="eastAsia"/>
          <w:color w:val="auto"/>
          <w:sz w:val="21"/>
          <w:szCs w:val="21"/>
        </w:rPr>
        <w:t>21.平台必须预留后期开发接口，为后期升级和二次开发提供便利。</w:t>
      </w:r>
    </w:p>
    <w:p>
      <w:pPr>
        <w:pStyle w:val="58"/>
        <w:ind w:firstLine="420"/>
        <w:rPr>
          <w:color w:val="auto"/>
          <w:sz w:val="21"/>
          <w:szCs w:val="21"/>
        </w:rPr>
      </w:pPr>
      <w:r>
        <w:rPr>
          <w:rFonts w:hint="eastAsia"/>
          <w:color w:val="auto"/>
          <w:sz w:val="21"/>
          <w:szCs w:val="21"/>
        </w:rPr>
        <w:t>22.</w:t>
      </w:r>
      <w:r>
        <w:rPr>
          <w:color w:val="auto"/>
          <w:sz w:val="21"/>
          <w:szCs w:val="21"/>
        </w:rPr>
        <w:t>业务系统应能保证响应及时性。受理业务时，各级用户与中心数据库响应和数据交换应在2秒内完成，一般统计、报表查询等应不超过5秒。后台数据批处理时间应在一小时内完成。数据中心数据库服务器应可以满足高峰期日处理数据量的要求。业务系统设计需要考虑数据和业务集中处理时的最大负荷状态。同时，对于今后的数据增长以及需求扩充，须保证系统有足够的扩展性。</w:t>
      </w:r>
    </w:p>
    <w:p>
      <w:pPr>
        <w:pStyle w:val="58"/>
        <w:ind w:firstLine="420"/>
        <w:rPr>
          <w:color w:val="auto"/>
          <w:sz w:val="21"/>
          <w:szCs w:val="21"/>
        </w:rPr>
      </w:pPr>
      <w:r>
        <w:rPr>
          <w:rFonts w:hint="eastAsia"/>
          <w:color w:val="auto"/>
          <w:sz w:val="21"/>
          <w:szCs w:val="21"/>
        </w:rPr>
        <w:t>23.</w:t>
      </w:r>
      <w:r>
        <w:rPr>
          <w:color w:val="auto"/>
          <w:sz w:val="21"/>
          <w:szCs w:val="21"/>
        </w:rPr>
        <w:t>系统稳定运行，支持在线用户数不低于</w:t>
      </w:r>
      <w:r>
        <w:rPr>
          <w:rFonts w:hint="eastAsia"/>
          <w:color w:val="auto"/>
          <w:sz w:val="21"/>
          <w:szCs w:val="21"/>
        </w:rPr>
        <w:t>5</w:t>
      </w:r>
      <w:r>
        <w:rPr>
          <w:color w:val="auto"/>
          <w:sz w:val="21"/>
          <w:szCs w:val="21"/>
        </w:rPr>
        <w:t>000人，不小于</w:t>
      </w:r>
      <w:r>
        <w:rPr>
          <w:rFonts w:hint="eastAsia"/>
          <w:color w:val="auto"/>
          <w:sz w:val="21"/>
          <w:szCs w:val="21"/>
        </w:rPr>
        <w:t>5</w:t>
      </w:r>
      <w:r>
        <w:rPr>
          <w:color w:val="auto"/>
          <w:sz w:val="21"/>
          <w:szCs w:val="21"/>
        </w:rPr>
        <w:t>00并发数。</w:t>
      </w:r>
      <w:r>
        <w:rPr>
          <w:rFonts w:hint="eastAsia"/>
          <w:color w:val="auto"/>
          <w:sz w:val="21"/>
          <w:szCs w:val="21"/>
        </w:rPr>
        <w:t>南京信息工程大学信息化项目建设技术规范如下：</w:t>
      </w:r>
    </w:p>
    <w:p>
      <w:pPr>
        <w:spacing w:line="360" w:lineRule="auto"/>
        <w:ind w:firstLine="420" w:firstLineChars="200"/>
        <w:jc w:val="left"/>
        <w:rPr>
          <w:rFonts w:ascii="宋体" w:hAnsi="宋体"/>
          <w:color w:val="auto"/>
          <w:szCs w:val="21"/>
        </w:rPr>
      </w:pPr>
      <w:r>
        <w:rPr>
          <w:rFonts w:hint="eastAsia" w:ascii="宋体" w:hAnsi="宋体"/>
          <w:color w:val="auto"/>
          <w:szCs w:val="21"/>
        </w:rPr>
        <w:t>（1）业务系统元数据标准要求</w:t>
      </w:r>
    </w:p>
    <w:p>
      <w:pPr>
        <w:spacing w:line="360" w:lineRule="auto"/>
        <w:ind w:firstLine="420" w:firstLineChars="200"/>
        <w:jc w:val="left"/>
        <w:rPr>
          <w:rFonts w:ascii="宋体" w:hAnsi="宋体"/>
          <w:color w:val="auto"/>
          <w:szCs w:val="21"/>
        </w:rPr>
      </w:pPr>
      <w:r>
        <w:rPr>
          <w:rFonts w:hint="eastAsia" w:ascii="宋体" w:hAnsi="宋体"/>
          <w:color w:val="auto"/>
          <w:szCs w:val="21"/>
        </w:rPr>
        <w:t>各业务系统涉及到的字典表数据公共部分应以《南京信息工程大学信息标准规范》为准，未在该标准中界定的字典，应符合相应国标和行标，个性化部分应符合学校业务发展需要，并协助学校将其制定为校标</w:t>
      </w:r>
    </w:p>
    <w:p>
      <w:pPr>
        <w:spacing w:line="360" w:lineRule="auto"/>
        <w:ind w:firstLine="420" w:firstLineChars="200"/>
        <w:jc w:val="left"/>
        <w:rPr>
          <w:rFonts w:ascii="宋体" w:hAnsi="宋体"/>
          <w:color w:val="auto"/>
          <w:szCs w:val="21"/>
        </w:rPr>
      </w:pPr>
      <w:r>
        <w:rPr>
          <w:rFonts w:hint="eastAsia" w:ascii="宋体" w:hAnsi="宋体"/>
          <w:color w:val="auto"/>
          <w:szCs w:val="21"/>
        </w:rPr>
        <w:t>（2）系统对接</w:t>
      </w:r>
    </w:p>
    <w:p>
      <w:pPr>
        <w:spacing w:line="360" w:lineRule="auto"/>
        <w:ind w:firstLine="420" w:firstLineChars="200"/>
        <w:jc w:val="left"/>
        <w:rPr>
          <w:rFonts w:ascii="宋体" w:hAnsi="宋体"/>
          <w:color w:val="auto"/>
          <w:szCs w:val="21"/>
        </w:rPr>
      </w:pPr>
      <w:r>
        <w:rPr>
          <w:rFonts w:hint="eastAsia" w:ascii="宋体" w:hAnsi="宋体"/>
          <w:color w:val="auto"/>
          <w:szCs w:val="21"/>
        </w:rPr>
        <w:t>系统须根据网络信息中心要求，与我校统一身份认证系统对接，不允许使用系统自带的登录界面，不允许使用第二套用户账号及密码。根据校方使用需求，对接校园信息门户(融合门户)、移动端（企业微信号等）、消息统一发送平台等平台。</w:t>
      </w:r>
    </w:p>
    <w:p>
      <w:pPr>
        <w:spacing w:line="360" w:lineRule="auto"/>
        <w:ind w:firstLine="420" w:firstLineChars="200"/>
        <w:jc w:val="left"/>
        <w:rPr>
          <w:rFonts w:ascii="宋体" w:hAnsi="宋体"/>
          <w:color w:val="auto"/>
          <w:szCs w:val="21"/>
        </w:rPr>
      </w:pPr>
      <w:r>
        <w:rPr>
          <w:rFonts w:hint="eastAsia" w:ascii="宋体" w:hAnsi="宋体"/>
          <w:color w:val="auto"/>
          <w:szCs w:val="21"/>
        </w:rPr>
        <w:t>（3）数据共享</w:t>
      </w:r>
    </w:p>
    <w:p>
      <w:pPr>
        <w:spacing w:line="360" w:lineRule="auto"/>
        <w:ind w:firstLine="420" w:firstLineChars="200"/>
        <w:jc w:val="left"/>
        <w:rPr>
          <w:rFonts w:ascii="宋体" w:hAnsi="宋体"/>
          <w:color w:val="auto"/>
          <w:szCs w:val="21"/>
        </w:rPr>
      </w:pPr>
      <w:r>
        <w:rPr>
          <w:rFonts w:hint="eastAsia" w:ascii="宋体" w:hAnsi="宋体"/>
          <w:color w:val="auto"/>
          <w:szCs w:val="21"/>
        </w:rPr>
        <w:t>业务系统产生的所有业务数据支持通过webservice/API接口或数据库方式对接，包括但不限于数据库表、视图、数据库字段说明。对于学校实时数据集成要求需开放相关实时数据API接口及数据库相关权限</w:t>
      </w:r>
    </w:p>
    <w:p>
      <w:pPr>
        <w:spacing w:line="360" w:lineRule="auto"/>
        <w:ind w:firstLine="420" w:firstLineChars="200"/>
        <w:jc w:val="left"/>
        <w:rPr>
          <w:rFonts w:ascii="宋体" w:hAnsi="宋体"/>
          <w:color w:val="auto"/>
          <w:szCs w:val="21"/>
        </w:rPr>
      </w:pPr>
      <w:r>
        <w:rPr>
          <w:rFonts w:hint="eastAsia" w:ascii="宋体" w:hAnsi="宋体"/>
          <w:color w:val="auto"/>
          <w:szCs w:val="21"/>
        </w:rPr>
        <w:t>（4）日志功能</w:t>
      </w:r>
    </w:p>
    <w:p>
      <w:pPr>
        <w:spacing w:line="360" w:lineRule="auto"/>
        <w:ind w:firstLine="420" w:firstLineChars="200"/>
        <w:jc w:val="left"/>
        <w:rPr>
          <w:rFonts w:ascii="宋体" w:hAnsi="宋体"/>
          <w:color w:val="auto"/>
          <w:szCs w:val="21"/>
        </w:rPr>
      </w:pPr>
      <w:r>
        <w:rPr>
          <w:rFonts w:hint="eastAsia" w:ascii="宋体" w:hAnsi="宋体"/>
          <w:color w:val="auto"/>
          <w:szCs w:val="21"/>
        </w:rPr>
        <w:t>业务系统须按照等保2.0要求存储日志，须存储不少于6个月的日志，日志数据与业务数据一并推送校数据中心。</w:t>
      </w:r>
    </w:p>
    <w:p>
      <w:pPr>
        <w:spacing w:line="360" w:lineRule="auto"/>
        <w:ind w:firstLine="420" w:firstLineChars="200"/>
        <w:jc w:val="left"/>
        <w:rPr>
          <w:rFonts w:ascii="宋体" w:hAnsi="宋体"/>
          <w:color w:val="auto"/>
          <w:szCs w:val="21"/>
        </w:rPr>
      </w:pPr>
      <w:r>
        <w:rPr>
          <w:rFonts w:hint="eastAsia" w:ascii="宋体" w:hAnsi="宋体"/>
          <w:color w:val="auto"/>
          <w:szCs w:val="21"/>
        </w:rPr>
        <w:t>（5）系统安全</w:t>
      </w:r>
    </w:p>
    <w:p>
      <w:pPr>
        <w:spacing w:line="360" w:lineRule="auto"/>
        <w:ind w:firstLine="420" w:firstLineChars="200"/>
        <w:jc w:val="left"/>
        <w:rPr>
          <w:rFonts w:ascii="宋体" w:hAnsi="宋体"/>
          <w:color w:val="auto"/>
          <w:szCs w:val="21"/>
        </w:rPr>
      </w:pPr>
      <w:r>
        <w:rPr>
          <w:rFonts w:hint="eastAsia" w:ascii="宋体" w:hAnsi="宋体"/>
          <w:color w:val="auto"/>
          <w:szCs w:val="21"/>
        </w:rPr>
        <w:t>业务系统需要按照等保2.0和校方相关要求，配置SSL证书，完成系统安全管控和人员配置。</w:t>
      </w:r>
    </w:p>
    <w:p>
      <w:pPr>
        <w:spacing w:line="360" w:lineRule="auto"/>
        <w:ind w:firstLine="420" w:firstLineChars="200"/>
        <w:jc w:val="left"/>
        <w:rPr>
          <w:rFonts w:ascii="宋体" w:hAnsi="宋体"/>
          <w:color w:val="auto"/>
          <w:szCs w:val="21"/>
        </w:rPr>
      </w:pPr>
      <w:r>
        <w:rPr>
          <w:rFonts w:hint="eastAsia" w:ascii="宋体" w:hAnsi="宋体"/>
          <w:color w:val="auto"/>
          <w:szCs w:val="21"/>
        </w:rPr>
        <w:t>（6）备案制度</w:t>
      </w:r>
    </w:p>
    <w:p>
      <w:pPr>
        <w:spacing w:line="360" w:lineRule="auto"/>
        <w:ind w:firstLine="420" w:firstLineChars="200"/>
        <w:jc w:val="left"/>
        <w:rPr>
          <w:rFonts w:ascii="宋体" w:hAnsi="宋体"/>
          <w:color w:val="auto"/>
          <w:szCs w:val="21"/>
        </w:rPr>
      </w:pPr>
      <w:r>
        <w:rPr>
          <w:rFonts w:hint="eastAsia" w:ascii="宋体" w:hAnsi="宋体"/>
          <w:color w:val="auto"/>
          <w:szCs w:val="21"/>
        </w:rPr>
        <w:t>信息系统上线前需完成新系统上线安全检测，并出具检测报告；并配合网络信息中心按照相关法律和文件要求对信息系统进行定级备案。</w:t>
      </w:r>
    </w:p>
    <w:p>
      <w:pPr>
        <w:spacing w:line="360" w:lineRule="auto"/>
        <w:ind w:firstLine="420" w:firstLineChars="200"/>
        <w:jc w:val="left"/>
        <w:rPr>
          <w:rFonts w:ascii="宋体" w:hAnsi="宋体"/>
          <w:color w:val="auto"/>
          <w:szCs w:val="21"/>
        </w:rPr>
      </w:pPr>
      <w:r>
        <w:rPr>
          <w:rFonts w:hint="eastAsia" w:ascii="宋体" w:hAnsi="宋体"/>
          <w:color w:val="auto"/>
          <w:szCs w:val="21"/>
        </w:rPr>
        <w:t>（7）业务系统文档要求</w:t>
      </w:r>
    </w:p>
    <w:p>
      <w:pPr>
        <w:spacing w:line="360" w:lineRule="auto"/>
        <w:ind w:firstLine="420" w:firstLineChars="200"/>
        <w:jc w:val="left"/>
        <w:rPr>
          <w:rFonts w:ascii="宋体" w:hAnsi="宋体"/>
          <w:color w:val="auto"/>
          <w:szCs w:val="21"/>
        </w:rPr>
      </w:pPr>
      <w:r>
        <w:rPr>
          <w:rFonts w:hint="eastAsia" w:ascii="宋体" w:hAnsi="宋体"/>
          <w:color w:val="auto"/>
          <w:szCs w:val="21"/>
        </w:rPr>
        <w:t>提供系统相关文档，包含但不限于需求说明书、系统详细设计报告、数据库设计说明书、用户手册、系统管理员手册、简明实用手册、系统验收报告、系统试运行报告、系统部署方案、系统应急预案等文档。</w:t>
      </w:r>
    </w:p>
    <w:p>
      <w:pPr>
        <w:spacing w:line="360" w:lineRule="auto"/>
        <w:ind w:firstLine="420" w:firstLineChars="200"/>
        <w:jc w:val="left"/>
        <w:rPr>
          <w:rFonts w:ascii="宋体" w:hAnsi="宋体"/>
          <w:color w:val="auto"/>
          <w:szCs w:val="21"/>
        </w:rPr>
      </w:pPr>
      <w:r>
        <w:rPr>
          <w:rFonts w:hint="eastAsia" w:ascii="宋体" w:hAnsi="宋体"/>
          <w:color w:val="auto"/>
          <w:szCs w:val="21"/>
        </w:rPr>
        <w:t>（8）其它要求</w:t>
      </w:r>
    </w:p>
    <w:p>
      <w:pPr>
        <w:spacing w:line="360" w:lineRule="auto"/>
        <w:ind w:firstLine="420" w:firstLineChars="200"/>
        <w:jc w:val="left"/>
        <w:rPr>
          <w:color w:val="auto"/>
          <w:szCs w:val="21"/>
        </w:rPr>
      </w:pPr>
      <w:r>
        <w:rPr>
          <w:rFonts w:hint="eastAsia" w:ascii="宋体" w:hAnsi="宋体"/>
          <w:color w:val="auto"/>
          <w:szCs w:val="21"/>
        </w:rPr>
        <w:t>质保期内按照校方实际需要能及时免费修改身份认证对接、数据对接、数据标准化、SSL证书升级等工作</w:t>
      </w:r>
      <w:r>
        <w:rPr>
          <w:rFonts w:hint="eastAsia"/>
          <w:color w:val="auto"/>
          <w:szCs w:val="21"/>
        </w:rPr>
        <w:t>。</w:t>
      </w:r>
    </w:p>
    <w:p>
      <w:pPr>
        <w:rPr>
          <w:b/>
          <w:color w:val="auto"/>
          <w:sz w:val="24"/>
        </w:rPr>
      </w:pPr>
    </w:p>
    <w:p>
      <w:pPr>
        <w:rPr>
          <w:b/>
          <w:color w:val="auto"/>
          <w:sz w:val="24"/>
        </w:rPr>
      </w:pPr>
      <w:r>
        <w:rPr>
          <w:rFonts w:hint="eastAsia"/>
          <w:b/>
          <w:color w:val="auto"/>
          <w:sz w:val="24"/>
        </w:rPr>
        <w:t>三、项目软件的功能要求（“</w:t>
      </w:r>
      <w:r>
        <w:rPr>
          <w:rFonts w:hint="eastAsia"/>
          <w:color w:val="auto"/>
        </w:rPr>
        <w:t>▲</w:t>
      </w:r>
      <w:r>
        <w:rPr>
          <w:rFonts w:hint="eastAsia"/>
          <w:b/>
          <w:color w:val="auto"/>
          <w:sz w:val="24"/>
        </w:rPr>
        <w:t>”符号的技术条款需提供演示</w:t>
      </w:r>
      <w:r>
        <w:rPr>
          <w:b/>
          <w:color w:val="auto"/>
          <w:sz w:val="24"/>
        </w:rPr>
        <w:t>U</w:t>
      </w:r>
      <w:r>
        <w:rPr>
          <w:rFonts w:hint="eastAsia"/>
          <w:b/>
          <w:color w:val="auto"/>
          <w:sz w:val="24"/>
        </w:rPr>
        <w:t>盘进行演示）</w:t>
      </w:r>
    </w:p>
    <w:p>
      <w:pPr>
        <w:widowControl/>
        <w:adjustRightInd w:val="0"/>
        <w:snapToGrid w:val="0"/>
        <w:spacing w:before="156" w:beforeLines="50" w:line="300" w:lineRule="auto"/>
        <w:rPr>
          <w:rFonts w:ascii="宋体" w:hAnsi="宋体"/>
          <w:bCs/>
          <w:color w:val="auto"/>
          <w:sz w:val="24"/>
        </w:rPr>
      </w:pPr>
    </w:p>
    <w:p>
      <w:pPr>
        <w:widowControl/>
        <w:adjustRightInd w:val="0"/>
        <w:snapToGrid w:val="0"/>
        <w:spacing w:after="156" w:afterLines="50" w:line="360" w:lineRule="auto"/>
        <w:ind w:firstLine="420" w:firstLineChars="200"/>
        <w:rPr>
          <w:rFonts w:ascii="宋体" w:hAnsi="宋体"/>
          <w:bCs/>
          <w:color w:val="auto"/>
        </w:rPr>
      </w:pPr>
      <w:r>
        <w:rPr>
          <w:rFonts w:hint="eastAsia" w:ascii="宋体" w:hAnsi="宋体"/>
          <w:bCs/>
          <w:color w:val="auto"/>
        </w:rPr>
        <w:t>大学生创新创业实践教育中心信息化平台由创新创业信息门户系统、创新创业教育资源学习系统、“互联网</w:t>
      </w:r>
      <w:r>
        <w:rPr>
          <w:rFonts w:ascii="宋体" w:hAnsi="宋体"/>
          <w:bCs/>
          <w:color w:val="auto"/>
        </w:rPr>
        <w:t>+”大学生创新创业大赛管理系统、创新创业基地管理系统、创新创业</w:t>
      </w:r>
      <w:r>
        <w:rPr>
          <w:rFonts w:hint="eastAsia" w:ascii="宋体" w:hAnsi="宋体"/>
          <w:bCs/>
          <w:color w:val="auto"/>
        </w:rPr>
        <w:t>导师</w:t>
      </w:r>
      <w:r>
        <w:rPr>
          <w:rFonts w:ascii="宋体" w:hAnsi="宋体"/>
          <w:bCs/>
          <w:color w:val="auto"/>
        </w:rPr>
        <w:t>库系统、创新创业投融资服务系统、</w:t>
      </w:r>
      <w:r>
        <w:rPr>
          <w:rFonts w:hint="eastAsia" w:ascii="宋体" w:hAnsi="宋体"/>
          <w:bCs/>
          <w:color w:val="auto"/>
        </w:rPr>
        <w:t>六个子系统构成。</w:t>
      </w:r>
    </w:p>
    <w:p>
      <w:pPr>
        <w:widowControl/>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（1）创新创业信息门户系统</w:t>
      </w:r>
    </w:p>
    <w:p>
      <w:pPr>
        <w:widowControl/>
        <w:adjustRightInd w:val="0"/>
        <w:snapToGrid w:val="0"/>
        <w:spacing w:line="360" w:lineRule="auto"/>
        <w:ind w:firstLine="420" w:firstLineChars="200"/>
        <w:rPr>
          <w:rFonts w:ascii="宋体" w:hAnsi="宋体"/>
          <w:bCs/>
          <w:color w:val="auto"/>
        </w:rPr>
      </w:pPr>
      <w:r>
        <w:rPr>
          <w:rFonts w:hint="eastAsia" w:ascii="宋体" w:hAnsi="宋体"/>
          <w:bCs/>
          <w:color w:val="auto"/>
        </w:rPr>
        <w:t>系统采用B/S架构，具有较为完善的信息发布功能，</w:t>
      </w:r>
      <w:r>
        <w:rPr>
          <w:rFonts w:hint="eastAsia"/>
          <w:color w:val="auto"/>
        </w:rPr>
        <w:t>▲</w:t>
      </w:r>
      <w:r>
        <w:rPr>
          <w:rFonts w:hint="eastAsia" w:ascii="宋体" w:hAnsi="宋体"/>
          <w:bCs/>
          <w:color w:val="auto"/>
        </w:rPr>
        <w:t>系统满足省级创新创业实践教育中心信息化建设要求，支持页面风格自定义，可供发布的信息内容主要包括：通知公告、用户登录、平台系统、企业注册、其它栏目（如新闻动态、图片新闻、视频集锦、成果展示、双创企业、课程资源、导师资源、创投天地、管理文件、双创案例、咨询问答、友情链接等）可根据需要增加。各模块功能：</w:t>
      </w:r>
    </w:p>
    <w:p>
      <w:pPr>
        <w:widowControl/>
        <w:adjustRightInd w:val="0"/>
        <w:snapToGrid w:val="0"/>
        <w:spacing w:line="360" w:lineRule="auto"/>
        <w:rPr>
          <w:bCs/>
          <w:color w:val="auto"/>
        </w:rPr>
      </w:pPr>
      <w:r>
        <w:rPr>
          <w:rFonts w:hint="eastAsia"/>
          <w:bCs/>
          <w:color w:val="auto"/>
        </w:rPr>
        <w:t>通知公告：管理员进行通知公告的发布。</w:t>
      </w:r>
    </w:p>
    <w:p>
      <w:pPr>
        <w:widowControl/>
        <w:adjustRightInd w:val="0"/>
        <w:snapToGrid w:val="0"/>
        <w:spacing w:line="360" w:lineRule="auto"/>
        <w:rPr>
          <w:bCs/>
          <w:color w:val="auto"/>
        </w:rPr>
      </w:pPr>
      <w:r>
        <w:rPr>
          <w:rFonts w:hint="eastAsia"/>
          <w:bCs/>
          <w:color w:val="auto"/>
        </w:rPr>
        <w:t>用户登录：各级用户登录入口。</w:t>
      </w:r>
    </w:p>
    <w:p>
      <w:pPr>
        <w:widowControl/>
        <w:adjustRightInd w:val="0"/>
        <w:snapToGrid w:val="0"/>
        <w:spacing w:line="360" w:lineRule="auto"/>
        <w:rPr>
          <w:bCs/>
          <w:color w:val="auto"/>
        </w:rPr>
      </w:pPr>
      <w:r>
        <w:rPr>
          <w:rFonts w:hint="eastAsia"/>
          <w:bCs/>
          <w:color w:val="auto"/>
        </w:rPr>
        <w:t>平台系统：提供平台所含子系统访问入口。</w:t>
      </w:r>
    </w:p>
    <w:p>
      <w:pPr>
        <w:widowControl/>
        <w:adjustRightInd w:val="0"/>
        <w:snapToGrid w:val="0"/>
        <w:spacing w:line="360" w:lineRule="auto"/>
        <w:rPr>
          <w:bCs/>
          <w:color w:val="auto"/>
        </w:rPr>
      </w:pPr>
      <w:r>
        <w:rPr>
          <w:rFonts w:hint="eastAsia"/>
          <w:bCs/>
          <w:color w:val="auto"/>
        </w:rPr>
        <w:t>企业注册：提供企业用户注册账号的入口，注册成功后需要管理员审核，审核通过后方可使用该账号登录系统进行相应的操作。</w:t>
      </w:r>
    </w:p>
    <w:p>
      <w:pPr>
        <w:widowControl/>
        <w:adjustRightInd w:val="0"/>
        <w:snapToGrid w:val="0"/>
        <w:spacing w:line="360" w:lineRule="auto"/>
        <w:rPr>
          <w:bCs/>
          <w:color w:val="auto"/>
        </w:rPr>
      </w:pPr>
      <w:r>
        <w:rPr>
          <w:rFonts w:hint="eastAsia"/>
          <w:bCs/>
          <w:color w:val="auto"/>
        </w:rPr>
        <w:t>信息发布：信息门户提供较为完善的信息采集与发布功能，提供权限管理功能，不同的用户登录系统对应不同的管理权限，展示不同的功能页面。提供信息发布审核功能，只有审核通过的信息才能在信息门户显示。</w:t>
      </w:r>
    </w:p>
    <w:p>
      <w:pPr>
        <w:widowControl/>
        <w:adjustRightInd w:val="0"/>
        <w:snapToGrid w:val="0"/>
        <w:spacing w:before="156" w:beforeLines="50" w:line="360" w:lineRule="auto"/>
        <w:ind w:firstLine="482" w:firstLineChars="200"/>
        <w:rPr>
          <w:rFonts w:ascii="宋体" w:hAnsi="宋体"/>
          <w:b/>
          <w:color w:val="auto"/>
          <w:sz w:val="24"/>
        </w:rPr>
      </w:pPr>
      <w:r>
        <w:rPr>
          <w:rFonts w:hint="eastAsia" w:ascii="宋体" w:hAnsi="宋体"/>
          <w:b/>
          <w:color w:val="auto"/>
          <w:sz w:val="24"/>
        </w:rPr>
        <w:t>（2）创新创业教育资源学习系统</w:t>
      </w:r>
    </w:p>
    <w:p>
      <w:pPr>
        <w:widowControl/>
        <w:adjustRightInd w:val="0"/>
        <w:snapToGrid w:val="0"/>
        <w:spacing w:line="360" w:lineRule="auto"/>
        <w:ind w:firstLine="420" w:firstLineChars="200"/>
        <w:rPr>
          <w:rFonts w:ascii="宋体" w:hAnsi="宋体"/>
          <w:bCs/>
          <w:color w:val="auto"/>
        </w:rPr>
      </w:pPr>
      <w:r>
        <w:rPr>
          <w:rFonts w:hint="eastAsia" w:ascii="宋体" w:hAnsi="宋体"/>
          <w:bCs/>
          <w:color w:val="auto"/>
        </w:rPr>
        <w:t>系统采用B/S架构，系统提供用户在线学习创新创业教育课程资源，学生可通过系统方便的查找创新创业课程资源及创新创业指导老师并在线学习，推动学生自主学习。教师可以上传管理自己的课程资源，查看课程浏览量，课程评价，设置测试题目，及对学生的问题进行答疑。各模块功能：</w:t>
      </w:r>
    </w:p>
    <w:p>
      <w:pPr>
        <w:widowControl/>
        <w:adjustRightInd w:val="0"/>
        <w:snapToGrid w:val="0"/>
        <w:spacing w:line="360" w:lineRule="auto"/>
        <w:rPr>
          <w:rFonts w:ascii="宋体" w:hAnsi="宋体"/>
          <w:bCs/>
          <w:color w:val="auto"/>
        </w:rPr>
      </w:pPr>
      <w:r>
        <w:rPr>
          <w:rFonts w:hint="eastAsia" w:ascii="宋体" w:hAnsi="宋体"/>
          <w:bCs/>
          <w:color w:val="auto"/>
        </w:rPr>
        <w:t>初始设置：</w:t>
      </w:r>
    </w:p>
    <w:p>
      <w:pPr>
        <w:widowControl/>
        <w:adjustRightInd w:val="0"/>
        <w:snapToGrid w:val="0"/>
        <w:spacing w:line="360" w:lineRule="auto"/>
        <w:rPr>
          <w:rFonts w:ascii="宋体" w:hAnsi="宋体"/>
          <w:bCs/>
          <w:color w:val="auto"/>
        </w:rPr>
      </w:pPr>
      <w:r>
        <w:rPr>
          <w:rFonts w:hint="eastAsia" w:ascii="宋体" w:hAnsi="宋体"/>
          <w:bCs/>
          <w:color w:val="auto"/>
        </w:rPr>
        <w:t>系统管理员进入系统管理界面后，对系统进行初始化设置。包括学期管理、学院管理、专业管理、创新创业课程管理、课程代码。</w:t>
      </w:r>
    </w:p>
    <w:p>
      <w:pPr>
        <w:widowControl/>
        <w:adjustRightInd w:val="0"/>
        <w:snapToGrid w:val="0"/>
        <w:spacing w:line="360" w:lineRule="auto"/>
        <w:rPr>
          <w:rFonts w:ascii="宋体" w:hAnsi="宋体"/>
          <w:bCs/>
          <w:color w:val="auto"/>
        </w:rPr>
      </w:pPr>
      <w:r>
        <w:rPr>
          <w:rFonts w:hint="eastAsia" w:ascii="宋体" w:hAnsi="宋体"/>
          <w:bCs/>
          <w:color w:val="auto"/>
        </w:rPr>
        <w:t>用户管理：</w:t>
      </w:r>
    </w:p>
    <w:p>
      <w:pPr>
        <w:widowControl/>
        <w:adjustRightInd w:val="0"/>
        <w:snapToGrid w:val="0"/>
        <w:spacing w:line="360" w:lineRule="auto"/>
        <w:rPr>
          <w:rFonts w:ascii="宋体" w:hAnsi="宋体"/>
          <w:bCs/>
          <w:color w:val="auto"/>
        </w:rPr>
      </w:pPr>
      <w:r>
        <w:rPr>
          <w:rFonts w:hint="eastAsia" w:ascii="宋体" w:hAnsi="宋体"/>
          <w:bCs/>
          <w:color w:val="auto"/>
        </w:rPr>
        <w:t>系统用户包括系统管理员、资源管理员、资源负责人、教师、学生、注册用户。系统提供单个添加、批量导入。其中资源管理员可由系统管理员手动添加或者指定教师担任，注册用户需要审核通过后方可使用</w:t>
      </w:r>
    </w:p>
    <w:p>
      <w:pPr>
        <w:widowControl/>
        <w:adjustRightInd w:val="0"/>
        <w:snapToGrid w:val="0"/>
        <w:spacing w:line="360" w:lineRule="auto"/>
        <w:rPr>
          <w:rFonts w:ascii="宋体" w:hAnsi="宋体"/>
          <w:bCs/>
          <w:color w:val="auto"/>
        </w:rPr>
      </w:pPr>
      <w:r>
        <w:rPr>
          <w:rFonts w:hint="eastAsia" w:ascii="宋体" w:hAnsi="宋体"/>
          <w:bCs/>
          <w:color w:val="auto"/>
        </w:rPr>
        <w:t>资源管理：</w:t>
      </w:r>
    </w:p>
    <w:p>
      <w:pPr>
        <w:widowControl/>
        <w:adjustRightInd w:val="0"/>
        <w:snapToGrid w:val="0"/>
        <w:spacing w:line="360" w:lineRule="auto"/>
        <w:rPr>
          <w:rFonts w:ascii="宋体" w:hAnsi="宋体"/>
          <w:bCs/>
          <w:color w:val="auto"/>
        </w:rPr>
      </w:pPr>
      <w:r>
        <w:rPr>
          <w:rFonts w:hint="eastAsia" w:ascii="宋体" w:hAnsi="宋体"/>
          <w:bCs/>
          <w:color w:val="auto"/>
        </w:rPr>
        <w:t>资源负责人进入系统，进行资源上传，支持视频、文档类资源。视频资源：包括课程视频、课程介绍、教师团队、教学目标、课程特色等信息上传。文档资源：包括PPT、Word、PDF等</w:t>
      </w:r>
    </w:p>
    <w:p>
      <w:pPr>
        <w:widowControl/>
        <w:adjustRightInd w:val="0"/>
        <w:snapToGrid w:val="0"/>
        <w:spacing w:line="360" w:lineRule="auto"/>
        <w:rPr>
          <w:rFonts w:ascii="宋体" w:hAnsi="宋体"/>
          <w:bCs/>
          <w:color w:val="auto"/>
        </w:rPr>
      </w:pPr>
      <w:r>
        <w:rPr>
          <w:rFonts w:hint="eastAsia" w:ascii="宋体" w:hAnsi="宋体"/>
          <w:bCs/>
          <w:color w:val="auto"/>
        </w:rPr>
        <w:t>资源审核：</w:t>
      </w:r>
    </w:p>
    <w:p>
      <w:pPr>
        <w:widowControl/>
        <w:adjustRightInd w:val="0"/>
        <w:snapToGrid w:val="0"/>
        <w:spacing w:line="360" w:lineRule="auto"/>
        <w:rPr>
          <w:rFonts w:ascii="宋体" w:hAnsi="宋体"/>
          <w:bCs/>
          <w:color w:val="auto"/>
        </w:rPr>
      </w:pPr>
      <w:r>
        <w:rPr>
          <w:rFonts w:hint="eastAsia" w:ascii="宋体" w:hAnsi="宋体"/>
          <w:bCs/>
          <w:color w:val="auto"/>
        </w:rPr>
        <w:t>资源管理员进入系统，对上传的资源进行审核，审核通过后，学生、学习用户登录系统可对审核通过的资源进行在线查找学习、收藏或下载，审核不通过资源无法学习查看。</w:t>
      </w:r>
    </w:p>
    <w:p>
      <w:pPr>
        <w:widowControl/>
        <w:adjustRightInd w:val="0"/>
        <w:snapToGrid w:val="0"/>
        <w:spacing w:line="360" w:lineRule="auto"/>
        <w:rPr>
          <w:rFonts w:ascii="宋体" w:hAnsi="宋体"/>
          <w:bCs/>
          <w:color w:val="auto"/>
        </w:rPr>
      </w:pPr>
      <w:r>
        <w:rPr>
          <w:rFonts w:hint="eastAsia" w:ascii="宋体" w:hAnsi="宋体"/>
          <w:bCs/>
          <w:color w:val="auto"/>
        </w:rPr>
        <w:t>资源检索：</w:t>
      </w:r>
    </w:p>
    <w:p>
      <w:pPr>
        <w:widowControl/>
        <w:adjustRightInd w:val="0"/>
        <w:snapToGrid w:val="0"/>
        <w:spacing w:line="360" w:lineRule="auto"/>
        <w:rPr>
          <w:rFonts w:ascii="宋体" w:hAnsi="宋体"/>
          <w:bCs/>
          <w:color w:val="auto"/>
        </w:rPr>
      </w:pPr>
      <w:r>
        <w:rPr>
          <w:rFonts w:hint="eastAsia" w:ascii="宋体" w:hAnsi="宋体"/>
          <w:bCs/>
          <w:color w:val="auto"/>
        </w:rPr>
        <w:t>学习用户进入系统，可按照教师、课程名、专业等条件搜索资源，支持资源名称模糊查询，可对查找到的资源进行在线学习、资源评价、下载、收藏，也可对收藏的资源进行取消收藏操作。</w:t>
      </w:r>
    </w:p>
    <w:p>
      <w:pPr>
        <w:widowControl/>
        <w:adjustRightInd w:val="0"/>
        <w:snapToGrid w:val="0"/>
        <w:spacing w:line="360" w:lineRule="auto"/>
        <w:rPr>
          <w:rFonts w:ascii="宋体" w:hAnsi="宋体"/>
          <w:bCs/>
          <w:color w:val="auto"/>
        </w:rPr>
      </w:pPr>
      <w:r>
        <w:rPr>
          <w:rFonts w:hint="eastAsia" w:ascii="宋体" w:hAnsi="宋体"/>
          <w:bCs/>
          <w:color w:val="auto"/>
        </w:rPr>
        <w:t>习题管理：</w:t>
      </w:r>
    </w:p>
    <w:p>
      <w:pPr>
        <w:widowControl/>
        <w:adjustRightInd w:val="0"/>
        <w:snapToGrid w:val="0"/>
        <w:spacing w:line="360" w:lineRule="auto"/>
        <w:rPr>
          <w:rFonts w:ascii="宋体" w:hAnsi="宋体"/>
          <w:bCs/>
          <w:color w:val="auto"/>
        </w:rPr>
      </w:pPr>
      <w:r>
        <w:rPr>
          <w:rFonts w:hint="eastAsia" w:ascii="宋体" w:hAnsi="宋体"/>
          <w:bCs/>
          <w:color w:val="auto"/>
        </w:rPr>
        <w:t>系统支持在线学习自测，通过测验有利于学生、学习用户了解自己学习的情况，对未掌握的知识点进行补差学习，习题由资源上传者设置、维护更新。</w:t>
      </w:r>
    </w:p>
    <w:p>
      <w:pPr>
        <w:widowControl/>
        <w:adjustRightInd w:val="0"/>
        <w:snapToGrid w:val="0"/>
        <w:spacing w:line="360" w:lineRule="auto"/>
        <w:rPr>
          <w:rFonts w:ascii="宋体" w:hAnsi="宋体"/>
          <w:bCs/>
          <w:color w:val="auto"/>
        </w:rPr>
      </w:pPr>
      <w:r>
        <w:rPr>
          <w:rFonts w:hint="eastAsia" w:ascii="宋体" w:hAnsi="宋体"/>
          <w:bCs/>
          <w:color w:val="auto"/>
        </w:rPr>
        <w:t>交流学习：</w:t>
      </w:r>
    </w:p>
    <w:p>
      <w:pPr>
        <w:widowControl/>
        <w:adjustRightInd w:val="0"/>
        <w:snapToGrid w:val="0"/>
        <w:spacing w:line="360" w:lineRule="auto"/>
        <w:rPr>
          <w:rFonts w:ascii="宋体" w:hAnsi="宋体"/>
          <w:bCs/>
          <w:color w:val="auto"/>
        </w:rPr>
      </w:pPr>
      <w:r>
        <w:rPr>
          <w:rFonts w:hint="eastAsia" w:ascii="宋体" w:hAnsi="宋体"/>
          <w:bCs/>
          <w:color w:val="auto"/>
        </w:rPr>
        <w:t>交流学习包括教师通过课程公告、课程邮件、课程论坛等方式与学生针对各种教学活动进行讨论、答疑和交流互动，允许自定义讨论等多元的交流学习方式。</w:t>
      </w:r>
    </w:p>
    <w:p>
      <w:pPr>
        <w:widowControl/>
        <w:adjustRightInd w:val="0"/>
        <w:snapToGrid w:val="0"/>
        <w:spacing w:line="360" w:lineRule="auto"/>
        <w:rPr>
          <w:rFonts w:ascii="宋体" w:hAnsi="宋体"/>
          <w:bCs/>
          <w:color w:val="auto"/>
        </w:rPr>
      </w:pPr>
      <w:r>
        <w:rPr>
          <w:rFonts w:hint="eastAsia" w:ascii="宋体" w:hAnsi="宋体"/>
          <w:bCs/>
          <w:color w:val="auto"/>
        </w:rPr>
        <w:t>成绩管理：</w:t>
      </w:r>
    </w:p>
    <w:p>
      <w:pPr>
        <w:widowControl/>
        <w:adjustRightInd w:val="0"/>
        <w:snapToGrid w:val="0"/>
        <w:spacing w:line="360" w:lineRule="auto"/>
        <w:rPr>
          <w:rFonts w:ascii="宋体" w:hAnsi="宋体"/>
          <w:bCs/>
          <w:color w:val="auto"/>
        </w:rPr>
      </w:pPr>
      <w:r>
        <w:rPr>
          <w:rFonts w:hint="eastAsia" w:ascii="宋体" w:hAnsi="宋体"/>
          <w:bCs/>
          <w:color w:val="auto"/>
        </w:rPr>
        <w:t>系统成绩管理支持各类计分题型计分权重的自由定义，支持汇总成绩和明细成绩导出。</w:t>
      </w:r>
    </w:p>
    <w:p>
      <w:pPr>
        <w:widowControl/>
        <w:adjustRightInd w:val="0"/>
        <w:snapToGrid w:val="0"/>
        <w:spacing w:line="360" w:lineRule="auto"/>
        <w:rPr>
          <w:rFonts w:ascii="宋体" w:hAnsi="宋体"/>
          <w:bCs/>
          <w:color w:val="auto"/>
        </w:rPr>
      </w:pPr>
      <w:r>
        <w:rPr>
          <w:rFonts w:hint="eastAsia" w:ascii="宋体" w:hAnsi="宋体"/>
          <w:bCs/>
          <w:color w:val="auto"/>
        </w:rPr>
        <w:t>通知公告：</w:t>
      </w:r>
    </w:p>
    <w:p>
      <w:pPr>
        <w:widowControl/>
        <w:adjustRightInd w:val="0"/>
        <w:snapToGrid w:val="0"/>
        <w:spacing w:line="360" w:lineRule="auto"/>
        <w:rPr>
          <w:rFonts w:ascii="宋体" w:hAnsi="宋体"/>
          <w:bCs/>
          <w:color w:val="auto"/>
        </w:rPr>
      </w:pPr>
      <w:r>
        <w:rPr>
          <w:rFonts w:hint="eastAsia" w:ascii="宋体" w:hAnsi="宋体"/>
          <w:bCs/>
          <w:color w:val="auto"/>
        </w:rPr>
        <w:t>系统管理员可在界面发布公告，用户登录可在界面查看通知信息。</w:t>
      </w:r>
    </w:p>
    <w:p>
      <w:pPr>
        <w:widowControl/>
        <w:adjustRightInd w:val="0"/>
        <w:snapToGrid w:val="0"/>
        <w:spacing w:line="360" w:lineRule="auto"/>
        <w:rPr>
          <w:rFonts w:ascii="宋体" w:hAnsi="宋体"/>
          <w:bCs/>
          <w:color w:val="auto"/>
        </w:rPr>
      </w:pPr>
      <w:r>
        <w:rPr>
          <w:rFonts w:hint="eastAsia" w:ascii="宋体" w:hAnsi="宋体"/>
          <w:bCs/>
          <w:color w:val="auto"/>
        </w:rPr>
        <w:t>汇总统计：</w:t>
      </w:r>
    </w:p>
    <w:p>
      <w:pPr>
        <w:widowControl/>
        <w:adjustRightInd w:val="0"/>
        <w:snapToGrid w:val="0"/>
        <w:spacing w:line="360" w:lineRule="auto"/>
        <w:rPr>
          <w:rFonts w:ascii="宋体" w:hAnsi="宋体"/>
          <w:bCs/>
          <w:color w:val="auto"/>
          <w:sz w:val="24"/>
        </w:rPr>
      </w:pPr>
      <w:r>
        <w:rPr>
          <w:rFonts w:hint="eastAsia" w:ascii="宋体" w:hAnsi="宋体"/>
          <w:bCs/>
          <w:color w:val="auto"/>
        </w:rPr>
        <w:t>按照课程维度和学习者维度统计，提供课程、资源的访问数据和每个学生参与资源浏览、测验、讨论等教学活动的具体情况统计分析数据。</w:t>
      </w:r>
    </w:p>
    <w:p>
      <w:pPr>
        <w:widowControl/>
        <w:adjustRightInd w:val="0"/>
        <w:snapToGrid w:val="0"/>
        <w:spacing w:before="156" w:beforeLines="50" w:line="360" w:lineRule="auto"/>
        <w:ind w:firstLine="482" w:firstLineChars="200"/>
        <w:rPr>
          <w:rFonts w:ascii="宋体" w:hAnsi="宋体"/>
          <w:b/>
          <w:color w:val="auto"/>
          <w:sz w:val="24"/>
        </w:rPr>
      </w:pPr>
      <w:r>
        <w:rPr>
          <w:rFonts w:hint="eastAsia" w:ascii="宋体" w:hAnsi="宋体"/>
          <w:b/>
          <w:color w:val="auto"/>
          <w:sz w:val="24"/>
        </w:rPr>
        <w:t>（3）“互联网+”大学生创新创业大赛管理系统</w:t>
      </w:r>
    </w:p>
    <w:p>
      <w:pPr>
        <w:widowControl/>
        <w:adjustRightInd w:val="0"/>
        <w:snapToGrid w:val="0"/>
        <w:spacing w:line="360" w:lineRule="auto"/>
        <w:ind w:firstLine="420" w:firstLineChars="200"/>
        <w:rPr>
          <w:rFonts w:ascii="宋体" w:hAnsi="宋体"/>
          <w:bCs/>
          <w:color w:val="auto"/>
        </w:rPr>
      </w:pPr>
      <w:r>
        <w:rPr>
          <w:rFonts w:hint="eastAsia" w:ascii="宋体" w:hAnsi="宋体"/>
          <w:bCs/>
          <w:color w:val="auto"/>
        </w:rPr>
        <w:t>系统采用B/S架构，系统是为便于组织者和参赛选手在“互联网+”大学生创新创业大赛校级预赛期间，从项目申报、项目审核、网络评审到项目路演的组织工作，可通过信息技术平台进行信息发布、信息查询、参赛报名、专家网评、项目路演安排、专家邀约、现场评分、大赛观摩、结果发布、数据分析评价。各模块功能：</w:t>
      </w:r>
    </w:p>
    <w:p>
      <w:pPr>
        <w:widowControl/>
        <w:adjustRightInd w:val="0"/>
        <w:snapToGrid w:val="0"/>
        <w:spacing w:line="360" w:lineRule="auto"/>
        <w:rPr>
          <w:rFonts w:ascii="宋体" w:hAnsi="宋体"/>
          <w:bCs/>
          <w:color w:val="auto"/>
        </w:rPr>
      </w:pPr>
      <w:r>
        <w:rPr>
          <w:rFonts w:hint="eastAsia" w:ascii="宋体" w:hAnsi="宋体"/>
          <w:bCs/>
          <w:color w:val="auto"/>
        </w:rPr>
        <w:t>初始设置：</w:t>
      </w:r>
    </w:p>
    <w:p>
      <w:pPr>
        <w:widowControl/>
        <w:adjustRightInd w:val="0"/>
        <w:snapToGrid w:val="0"/>
        <w:spacing w:line="360" w:lineRule="auto"/>
        <w:rPr>
          <w:rFonts w:ascii="宋体" w:hAnsi="宋体"/>
          <w:bCs/>
          <w:color w:val="auto"/>
        </w:rPr>
      </w:pPr>
      <w:r>
        <w:rPr>
          <w:rFonts w:hint="eastAsia" w:ascii="宋体" w:hAnsi="宋体"/>
          <w:bCs/>
          <w:color w:val="auto"/>
        </w:rPr>
        <w:t>系统管理员进行初始化设置，包括日期设置、分组设置、专家评审指标配置。[日期设置] 是指对相应批次项目的申报起始和截止日期、专家网评日期、路演项目分组日期、晋级路演项目开放修改日期、路演项目抽签日期、专家路演评审日期进行设置。日期设置后，需设为启用方能生效。[分组设置] 是指对网评项目组、网评专家组、路演项目组、路演专家组等进行设置，并且支持分组结果的在线导出。[专家评审指标配置] 是指对专家评审项目时，对评审指标进行配置。</w:t>
      </w:r>
    </w:p>
    <w:p>
      <w:pPr>
        <w:widowControl/>
        <w:adjustRightInd w:val="0"/>
        <w:snapToGrid w:val="0"/>
        <w:spacing w:line="360" w:lineRule="auto"/>
        <w:rPr>
          <w:rFonts w:ascii="宋体" w:hAnsi="宋体"/>
          <w:bCs/>
          <w:color w:val="auto"/>
        </w:rPr>
      </w:pPr>
      <w:r>
        <w:rPr>
          <w:rFonts w:hint="eastAsia" w:ascii="宋体" w:hAnsi="宋体"/>
          <w:bCs/>
          <w:color w:val="auto"/>
        </w:rPr>
        <w:t>用户管理：</w:t>
      </w:r>
    </w:p>
    <w:p>
      <w:pPr>
        <w:widowControl/>
        <w:adjustRightInd w:val="0"/>
        <w:snapToGrid w:val="0"/>
        <w:spacing w:line="360" w:lineRule="auto"/>
        <w:rPr>
          <w:rFonts w:ascii="宋体" w:hAnsi="宋体"/>
          <w:bCs/>
          <w:color w:val="auto"/>
        </w:rPr>
      </w:pPr>
      <w:r>
        <w:rPr>
          <w:rFonts w:hint="eastAsia" w:ascii="宋体" w:hAnsi="宋体"/>
          <w:bCs/>
          <w:color w:val="auto"/>
        </w:rPr>
        <w:t>系统管理员对院系机构和系统各角色的账号的管理。其中院系机构的设置包括学院代码、学院名称、专业名称、专业代码等；系统角色分为项目负责人、学院管理员、专家，支持添加或批量导入账号信息。</w:t>
      </w:r>
    </w:p>
    <w:p>
      <w:pPr>
        <w:widowControl/>
        <w:adjustRightInd w:val="0"/>
        <w:snapToGrid w:val="0"/>
        <w:spacing w:line="360" w:lineRule="auto"/>
        <w:rPr>
          <w:rFonts w:ascii="宋体" w:hAnsi="宋体"/>
          <w:bCs/>
          <w:color w:val="auto"/>
        </w:rPr>
      </w:pPr>
      <w:r>
        <w:rPr>
          <w:rFonts w:hint="eastAsia" w:ascii="宋体" w:hAnsi="宋体"/>
          <w:bCs/>
          <w:color w:val="auto"/>
        </w:rPr>
        <w:t>项目申报：</w:t>
      </w:r>
    </w:p>
    <w:p>
      <w:pPr>
        <w:widowControl/>
        <w:adjustRightInd w:val="0"/>
        <w:snapToGrid w:val="0"/>
        <w:spacing w:line="360" w:lineRule="auto"/>
        <w:rPr>
          <w:rFonts w:ascii="宋体" w:hAnsi="宋体"/>
          <w:bCs/>
          <w:color w:val="auto"/>
        </w:rPr>
      </w:pPr>
      <w:r>
        <w:rPr>
          <w:rFonts w:hint="eastAsia" w:ascii="宋体" w:hAnsi="宋体"/>
          <w:bCs/>
          <w:color w:val="auto"/>
        </w:rPr>
        <w:t>项目负责人可按申报时间，分赛道和组别（赛道与组别根据管理员配置）申报不同类型的项目。项目申报后，学院管理员进入系统，审核项目。学院管理员可选择[通过]或[不通过]，若不通过，学院给出审核意见并退回项目，学生修改后再次提交至学院端，由学院管理员二次审核；若审核通过，则提交至系统管理员端，进行最终审核。</w:t>
      </w:r>
    </w:p>
    <w:p>
      <w:pPr>
        <w:widowControl/>
        <w:adjustRightInd w:val="0"/>
        <w:snapToGrid w:val="0"/>
        <w:spacing w:line="360" w:lineRule="auto"/>
        <w:rPr>
          <w:rFonts w:ascii="宋体" w:hAnsi="宋体"/>
          <w:bCs/>
          <w:color w:val="auto"/>
        </w:rPr>
      </w:pPr>
      <w:r>
        <w:rPr>
          <w:rFonts w:hint="eastAsia" w:ascii="宋体" w:hAnsi="宋体"/>
          <w:bCs/>
          <w:color w:val="auto"/>
        </w:rPr>
        <w:t>项目网评：</w:t>
      </w:r>
    </w:p>
    <w:p>
      <w:pPr>
        <w:widowControl/>
        <w:adjustRightInd w:val="0"/>
        <w:snapToGrid w:val="0"/>
        <w:spacing w:line="360" w:lineRule="auto"/>
        <w:rPr>
          <w:rFonts w:ascii="宋体" w:hAnsi="宋体"/>
          <w:bCs/>
          <w:color w:val="auto"/>
        </w:rPr>
      </w:pPr>
      <w:r>
        <w:rPr>
          <w:rFonts w:hint="eastAsia" w:ascii="宋体" w:hAnsi="宋体"/>
          <w:bCs/>
          <w:color w:val="auto"/>
        </w:rPr>
        <w:t>项目网评前需进行网评分组。首先可按学科或学院建立网评专家组，并为每个专家组设定专家人数，从专家库随机抽取、设定规则抽取（如：设定国赛专家抽取比例）或者手动分配专家进入网评专家组；接着设置相应的网评项目组，完成项目组与专家组的匹配，并在项目组内手动添加或者批量导入网评项目，且支持在线导出分组结果。在完成网评分组工作后，即进行专家网评。专家在评审时间内，依据项目评审指标，对组内项目进行评审打分。</w:t>
      </w:r>
    </w:p>
    <w:p>
      <w:pPr>
        <w:widowControl/>
        <w:adjustRightInd w:val="0"/>
        <w:snapToGrid w:val="0"/>
        <w:spacing w:line="360" w:lineRule="auto"/>
        <w:rPr>
          <w:rFonts w:ascii="宋体" w:hAnsi="宋体"/>
          <w:bCs/>
          <w:color w:val="auto"/>
        </w:rPr>
      </w:pPr>
      <w:r>
        <w:rPr>
          <w:rFonts w:hint="eastAsia" w:ascii="宋体" w:hAnsi="宋体"/>
          <w:bCs/>
          <w:color w:val="auto"/>
        </w:rPr>
        <w:t>项目网评结果公示：</w:t>
      </w:r>
    </w:p>
    <w:p>
      <w:pPr>
        <w:widowControl/>
        <w:adjustRightInd w:val="0"/>
        <w:snapToGrid w:val="0"/>
        <w:spacing w:line="360" w:lineRule="auto"/>
        <w:rPr>
          <w:rFonts w:ascii="宋体" w:hAnsi="宋体"/>
          <w:bCs/>
          <w:color w:val="auto"/>
        </w:rPr>
      </w:pPr>
      <w:r>
        <w:rPr>
          <w:rFonts w:hint="eastAsia" w:ascii="宋体" w:hAnsi="宋体"/>
          <w:bCs/>
          <w:color w:val="auto"/>
        </w:rPr>
        <w:t>网评专家组评审完成后，显示评审项目信息，包括所属学院、项目名称、团队名称、参赛赛道、参赛组别、项目类别、网评得分、所属批次等。系统管理员依据网评得分及项目信息对项目进行审核，并发布最终进入路演的项目。</w:t>
      </w:r>
    </w:p>
    <w:p>
      <w:pPr>
        <w:widowControl/>
        <w:adjustRightInd w:val="0"/>
        <w:snapToGrid w:val="0"/>
        <w:spacing w:line="360" w:lineRule="auto"/>
        <w:rPr>
          <w:rFonts w:ascii="宋体" w:hAnsi="宋体"/>
          <w:bCs/>
          <w:color w:val="auto"/>
        </w:rPr>
      </w:pPr>
      <w:r>
        <w:rPr>
          <w:rFonts w:hint="eastAsia" w:ascii="宋体" w:hAnsi="宋体"/>
          <w:bCs/>
          <w:color w:val="auto"/>
        </w:rPr>
        <w:t>路演项目材料修改：</w:t>
      </w:r>
    </w:p>
    <w:p>
      <w:pPr>
        <w:widowControl/>
        <w:adjustRightInd w:val="0"/>
        <w:snapToGrid w:val="0"/>
        <w:spacing w:line="360" w:lineRule="auto"/>
        <w:rPr>
          <w:rFonts w:ascii="宋体" w:hAnsi="宋体"/>
          <w:bCs/>
          <w:color w:val="auto"/>
        </w:rPr>
      </w:pPr>
      <w:r>
        <w:rPr>
          <w:rFonts w:hint="eastAsia" w:ascii="宋体" w:hAnsi="宋体"/>
          <w:bCs/>
          <w:color w:val="auto"/>
        </w:rPr>
        <w:t>网评结束项目发布后，在路演开始前，系统管理员可开放时间，供晋级路演项目的负责人再次提交或修改申报时所提交的项目材料，包括：计划书、PPT等。</w:t>
      </w:r>
    </w:p>
    <w:p>
      <w:pPr>
        <w:widowControl/>
        <w:adjustRightInd w:val="0"/>
        <w:snapToGrid w:val="0"/>
        <w:spacing w:line="360" w:lineRule="auto"/>
        <w:rPr>
          <w:rFonts w:ascii="宋体" w:hAnsi="宋体"/>
          <w:bCs/>
          <w:color w:val="auto"/>
        </w:rPr>
      </w:pPr>
      <w:r>
        <w:rPr>
          <w:rFonts w:hint="eastAsia"/>
          <w:color w:val="auto"/>
        </w:rPr>
        <w:t>▲</w:t>
      </w:r>
      <w:r>
        <w:rPr>
          <w:rFonts w:hint="eastAsia" w:ascii="宋体" w:hAnsi="宋体"/>
          <w:bCs/>
          <w:color w:val="auto"/>
        </w:rPr>
        <w:t>项目路演评审：</w:t>
      </w:r>
    </w:p>
    <w:p>
      <w:pPr>
        <w:widowControl/>
        <w:adjustRightInd w:val="0"/>
        <w:snapToGrid w:val="0"/>
        <w:spacing w:line="360" w:lineRule="auto"/>
        <w:rPr>
          <w:rFonts w:ascii="宋体" w:hAnsi="宋体"/>
          <w:bCs/>
          <w:color w:val="auto"/>
        </w:rPr>
      </w:pPr>
      <w:r>
        <w:rPr>
          <w:rFonts w:hint="eastAsia" w:ascii="宋体" w:hAnsi="宋体"/>
          <w:bCs/>
          <w:color w:val="auto"/>
        </w:rPr>
        <w:t>项目路演前首先是进行路演分组。系统管理员先建立相应路演专家组，并为每个专家组设定专家人数，从专家库随机抽取、设定规则抽取（如：设定国赛专家抽取比例）或者手动分配专家进入路演专家组，然后设置相应的路演项目组，完成项目组与专家组的匹配，并在项目组内手动添加或者批量导入路演项目，且支持在线导出分组结果。</w:t>
      </w:r>
    </w:p>
    <w:p>
      <w:pPr>
        <w:widowControl/>
        <w:adjustRightInd w:val="0"/>
        <w:snapToGrid w:val="0"/>
        <w:spacing w:line="360" w:lineRule="auto"/>
        <w:rPr>
          <w:rFonts w:ascii="宋体" w:hAnsi="宋体"/>
          <w:bCs/>
          <w:color w:val="auto"/>
        </w:rPr>
      </w:pPr>
      <w:r>
        <w:rPr>
          <w:rFonts w:hint="eastAsia"/>
          <w:color w:val="auto"/>
        </w:rPr>
        <w:t>▲</w:t>
      </w:r>
      <w:r>
        <w:rPr>
          <w:rFonts w:hint="eastAsia" w:ascii="宋体" w:hAnsi="宋体"/>
          <w:bCs/>
          <w:color w:val="auto"/>
        </w:rPr>
        <w:t>接下来是路演抽签，分随机抽取和手动设置。随机抽取，系统管理员可以学院为单位进行路演抽签。首先由系统管理员抽取学院顺序，被抽取到的学院负责人为本院项目抽取组别及组内顺序，以此循环，直至所有的项目抽取完毕。路演抽签结果可按组别通过网页实时公布。手动设置，系统管理员可以通过模板导入的方式，为每个项目导入路演的组别以及组内顺序。</w:t>
      </w:r>
    </w:p>
    <w:p>
      <w:pPr>
        <w:widowControl/>
        <w:adjustRightInd w:val="0"/>
        <w:snapToGrid w:val="0"/>
        <w:spacing w:line="360" w:lineRule="auto"/>
        <w:rPr>
          <w:rFonts w:ascii="宋体" w:hAnsi="宋体"/>
          <w:bCs/>
          <w:color w:val="auto"/>
        </w:rPr>
      </w:pPr>
      <w:r>
        <w:rPr>
          <w:rFonts w:hint="eastAsia" w:ascii="宋体" w:hAnsi="宋体"/>
          <w:bCs/>
          <w:color w:val="auto"/>
        </w:rPr>
        <w:t>最后是路演打分。路演现场，专家根据学生的现场路演情况，对所在组别的项目，通过移动终端进行现场评审打分。</w:t>
      </w:r>
    </w:p>
    <w:p>
      <w:pPr>
        <w:widowControl/>
        <w:adjustRightInd w:val="0"/>
        <w:snapToGrid w:val="0"/>
        <w:spacing w:line="360" w:lineRule="auto"/>
        <w:rPr>
          <w:rFonts w:ascii="宋体" w:hAnsi="宋体"/>
          <w:bCs/>
          <w:color w:val="auto"/>
        </w:rPr>
      </w:pPr>
      <w:r>
        <w:rPr>
          <w:rFonts w:hint="eastAsia" w:ascii="宋体" w:hAnsi="宋体"/>
          <w:bCs/>
          <w:color w:val="auto"/>
        </w:rPr>
        <w:t>路演结果公示：</w:t>
      </w:r>
    </w:p>
    <w:p>
      <w:pPr>
        <w:widowControl/>
        <w:adjustRightInd w:val="0"/>
        <w:snapToGrid w:val="0"/>
        <w:spacing w:line="360" w:lineRule="auto"/>
        <w:rPr>
          <w:rFonts w:ascii="宋体" w:hAnsi="宋体"/>
          <w:bCs/>
          <w:color w:val="auto"/>
        </w:rPr>
      </w:pPr>
      <w:r>
        <w:rPr>
          <w:rFonts w:hint="eastAsia" w:ascii="宋体" w:hAnsi="宋体"/>
          <w:bCs/>
          <w:color w:val="auto"/>
        </w:rPr>
        <w:t>项目路演的同时，对完成路演并打分完毕的项目，可按路演项目组别或所属学院将路演评分结果通过实时公布。</w:t>
      </w:r>
    </w:p>
    <w:p>
      <w:pPr>
        <w:widowControl/>
        <w:adjustRightInd w:val="0"/>
        <w:snapToGrid w:val="0"/>
        <w:spacing w:line="360" w:lineRule="auto"/>
        <w:rPr>
          <w:rFonts w:ascii="宋体" w:hAnsi="宋体"/>
          <w:bCs/>
          <w:color w:val="auto"/>
        </w:rPr>
      </w:pPr>
      <w:r>
        <w:rPr>
          <w:rFonts w:hint="eastAsia" w:ascii="宋体" w:hAnsi="宋体"/>
          <w:bCs/>
          <w:color w:val="auto"/>
        </w:rPr>
        <w:t>数据分析评价：</w:t>
      </w:r>
    </w:p>
    <w:p>
      <w:pPr>
        <w:widowControl/>
        <w:adjustRightInd w:val="0"/>
        <w:snapToGrid w:val="0"/>
        <w:spacing w:line="360" w:lineRule="auto"/>
        <w:rPr>
          <w:rFonts w:ascii="宋体" w:hAnsi="宋体"/>
          <w:bCs/>
          <w:color w:val="auto"/>
          <w:sz w:val="24"/>
        </w:rPr>
      </w:pPr>
      <w:r>
        <w:rPr>
          <w:rFonts w:hint="eastAsia" w:ascii="宋体" w:hAnsi="宋体"/>
          <w:bCs/>
          <w:color w:val="auto"/>
        </w:rPr>
        <w:t>系统管理员可以查看大赛项目的所有信息的总列表，并可分学院、赛道、组别等统计项目数、教师参与数、学生参与数。在项目进行过程中，系统管理员也可查看各个项目的进展情况，统计专家评审信息、汇总项目评审结果等。支持统计数据信息的在线导出。</w:t>
      </w:r>
    </w:p>
    <w:p>
      <w:pPr>
        <w:widowControl/>
        <w:adjustRightInd w:val="0"/>
        <w:snapToGrid w:val="0"/>
        <w:spacing w:before="156" w:beforeLines="50" w:line="360" w:lineRule="auto"/>
        <w:ind w:firstLine="482" w:firstLineChars="200"/>
        <w:rPr>
          <w:rFonts w:ascii="宋体" w:hAnsi="宋体"/>
          <w:b/>
          <w:color w:val="auto"/>
          <w:sz w:val="24"/>
        </w:rPr>
      </w:pPr>
      <w:r>
        <w:rPr>
          <w:rFonts w:hint="eastAsia" w:ascii="宋体" w:hAnsi="宋体"/>
          <w:b/>
          <w:color w:val="auto"/>
          <w:sz w:val="24"/>
        </w:rPr>
        <w:t>（4）创新创业基地管理系统</w:t>
      </w:r>
    </w:p>
    <w:p>
      <w:pPr>
        <w:widowControl/>
        <w:adjustRightInd w:val="0"/>
        <w:snapToGrid w:val="0"/>
        <w:spacing w:line="360" w:lineRule="auto"/>
        <w:ind w:firstLine="420" w:firstLineChars="200"/>
        <w:rPr>
          <w:rFonts w:ascii="宋体" w:hAnsi="宋体"/>
          <w:bCs/>
          <w:color w:val="auto"/>
        </w:rPr>
      </w:pPr>
      <w:r>
        <w:rPr>
          <w:rFonts w:hint="eastAsia" w:ascii="宋体" w:hAnsi="宋体"/>
          <w:bCs/>
          <w:color w:val="auto"/>
        </w:rPr>
        <w:t>系统采用B/S架构，主要是对学校创新创业基地进行管理，包括基本信息、使用申请、申请审核、效益数据等汇总统计实时导入导出，方便高校管理掌握基地的相关数据情况，更加方便的为创业学生提供服务，支持人工智能的供需双向对接与数据有效筛选。各模块功能：</w:t>
      </w:r>
    </w:p>
    <w:p>
      <w:pPr>
        <w:widowControl/>
        <w:adjustRightInd w:val="0"/>
        <w:snapToGrid w:val="0"/>
        <w:spacing w:line="360" w:lineRule="auto"/>
        <w:rPr>
          <w:bCs/>
          <w:color w:val="auto"/>
        </w:rPr>
      </w:pPr>
      <w:r>
        <w:rPr>
          <w:rFonts w:hint="eastAsia"/>
          <w:bCs/>
          <w:color w:val="auto"/>
        </w:rPr>
        <w:t>初始设置：</w:t>
      </w:r>
    </w:p>
    <w:p>
      <w:pPr>
        <w:widowControl/>
        <w:adjustRightInd w:val="0"/>
        <w:snapToGrid w:val="0"/>
        <w:spacing w:line="360" w:lineRule="auto"/>
        <w:rPr>
          <w:bCs/>
          <w:color w:val="auto"/>
        </w:rPr>
      </w:pPr>
      <w:r>
        <w:rPr>
          <w:rFonts w:hint="eastAsia"/>
          <w:bCs/>
          <w:color w:val="auto"/>
        </w:rPr>
        <w:t>管理员初始化管理已有基地的基地库。主要包含基地库的基本信息、房间基本信息等。设置基地申请入驻时间，设置公司申报时间等，其他相关权限设置。</w:t>
      </w:r>
    </w:p>
    <w:p>
      <w:pPr>
        <w:widowControl/>
        <w:adjustRightInd w:val="0"/>
        <w:snapToGrid w:val="0"/>
        <w:spacing w:line="360" w:lineRule="auto"/>
        <w:rPr>
          <w:bCs/>
          <w:color w:val="auto"/>
        </w:rPr>
      </w:pPr>
      <w:r>
        <w:rPr>
          <w:rFonts w:hint="eastAsia"/>
          <w:bCs/>
          <w:color w:val="auto"/>
        </w:rPr>
        <w:t>账号管理：</w:t>
      </w:r>
    </w:p>
    <w:p>
      <w:pPr>
        <w:widowControl/>
        <w:adjustRightInd w:val="0"/>
        <w:snapToGrid w:val="0"/>
        <w:spacing w:line="360" w:lineRule="auto"/>
        <w:rPr>
          <w:bCs/>
          <w:color w:val="auto"/>
        </w:rPr>
      </w:pPr>
      <w:r>
        <w:rPr>
          <w:rFonts w:hint="eastAsia"/>
          <w:bCs/>
          <w:color w:val="auto"/>
        </w:rPr>
        <w:t>对各角色账号进行管理。</w:t>
      </w:r>
    </w:p>
    <w:p>
      <w:pPr>
        <w:widowControl/>
        <w:adjustRightInd w:val="0"/>
        <w:snapToGrid w:val="0"/>
        <w:spacing w:line="360" w:lineRule="auto"/>
        <w:rPr>
          <w:bCs/>
          <w:color w:val="auto"/>
        </w:rPr>
      </w:pPr>
      <w:r>
        <w:rPr>
          <w:rFonts w:hint="eastAsia"/>
          <w:bCs/>
          <w:color w:val="auto"/>
        </w:rPr>
        <w:t>基地展示：</w:t>
      </w:r>
    </w:p>
    <w:p>
      <w:pPr>
        <w:widowControl/>
        <w:adjustRightInd w:val="0"/>
        <w:snapToGrid w:val="0"/>
        <w:spacing w:line="360" w:lineRule="auto"/>
        <w:rPr>
          <w:bCs/>
          <w:color w:val="auto"/>
        </w:rPr>
      </w:pPr>
      <w:r>
        <w:rPr>
          <w:rFonts w:hint="eastAsia"/>
          <w:bCs/>
          <w:color w:val="auto"/>
        </w:rPr>
        <w:t>用户可查看系统中所有可入驻的基地信息并提交基地入驻申请。</w:t>
      </w:r>
    </w:p>
    <w:p>
      <w:pPr>
        <w:widowControl/>
        <w:adjustRightInd w:val="0"/>
        <w:snapToGrid w:val="0"/>
        <w:spacing w:line="360" w:lineRule="auto"/>
        <w:rPr>
          <w:bCs/>
          <w:color w:val="auto"/>
        </w:rPr>
      </w:pPr>
      <w:r>
        <w:rPr>
          <w:rFonts w:hint="eastAsia"/>
          <w:bCs/>
          <w:color w:val="auto"/>
        </w:rPr>
        <w:t>基地入驻申请：</w:t>
      </w:r>
    </w:p>
    <w:p>
      <w:pPr>
        <w:widowControl/>
        <w:adjustRightInd w:val="0"/>
        <w:snapToGrid w:val="0"/>
        <w:spacing w:line="360" w:lineRule="auto"/>
        <w:rPr>
          <w:bCs/>
          <w:color w:val="auto"/>
        </w:rPr>
      </w:pPr>
      <w:r>
        <w:rPr>
          <w:rFonts w:hint="eastAsia"/>
          <w:bCs/>
          <w:color w:val="auto"/>
        </w:rPr>
        <w:t>管理员发布可申请的基地库名单，学生申请入驻基地，基地联系人对学生申请的基地审核，审核通过后可批准调配房间。学生申请入驻基地成功，成功入驻基地。同时基地录入员可以添加基地信息，基地审核员审核基地。基地审核通过后学生可申请基地入驻。</w:t>
      </w:r>
    </w:p>
    <w:p>
      <w:pPr>
        <w:widowControl/>
        <w:adjustRightInd w:val="0"/>
        <w:snapToGrid w:val="0"/>
        <w:spacing w:line="360" w:lineRule="auto"/>
        <w:rPr>
          <w:bCs/>
          <w:color w:val="auto"/>
        </w:rPr>
      </w:pPr>
      <w:r>
        <w:rPr>
          <w:rFonts w:hint="eastAsia"/>
          <w:bCs/>
          <w:color w:val="auto"/>
        </w:rPr>
        <w:t>申报公司：</w:t>
      </w:r>
    </w:p>
    <w:p>
      <w:pPr>
        <w:widowControl/>
        <w:adjustRightInd w:val="0"/>
        <w:snapToGrid w:val="0"/>
        <w:spacing w:line="360" w:lineRule="auto"/>
        <w:rPr>
          <w:bCs/>
          <w:color w:val="auto"/>
        </w:rPr>
      </w:pPr>
      <w:r>
        <w:rPr>
          <w:rFonts w:hint="eastAsia"/>
          <w:bCs/>
          <w:color w:val="auto"/>
        </w:rPr>
        <w:t>学生申报公司，管理员通过淘汰机制考核公司效益情况。根据基地所产生的营收数据，适当的淘汰公司离开基地和新公司基地入驻等功能。</w:t>
      </w:r>
    </w:p>
    <w:p>
      <w:pPr>
        <w:widowControl/>
        <w:adjustRightInd w:val="0"/>
        <w:snapToGrid w:val="0"/>
        <w:spacing w:line="360" w:lineRule="auto"/>
        <w:rPr>
          <w:bCs/>
          <w:color w:val="auto"/>
        </w:rPr>
      </w:pPr>
      <w:r>
        <w:rPr>
          <w:rFonts w:hint="eastAsia"/>
          <w:bCs/>
          <w:color w:val="auto"/>
        </w:rPr>
        <w:t>营收数据申报：</w:t>
      </w:r>
    </w:p>
    <w:p>
      <w:pPr>
        <w:widowControl/>
        <w:adjustRightInd w:val="0"/>
        <w:snapToGrid w:val="0"/>
        <w:spacing w:line="360" w:lineRule="auto"/>
        <w:rPr>
          <w:bCs/>
          <w:color w:val="auto"/>
        </w:rPr>
      </w:pPr>
      <w:r>
        <w:rPr>
          <w:rFonts w:hint="eastAsia"/>
          <w:bCs/>
          <w:color w:val="auto"/>
        </w:rPr>
        <w:t>管理员发布通知公告，提供创业成功的学生基本营收数据的上报录入，管理员审核。审核通过的数据纳入汇总分析统计。</w:t>
      </w:r>
    </w:p>
    <w:p>
      <w:pPr>
        <w:widowControl/>
        <w:adjustRightInd w:val="0"/>
        <w:snapToGrid w:val="0"/>
        <w:spacing w:line="360" w:lineRule="auto"/>
        <w:rPr>
          <w:bCs/>
          <w:color w:val="auto"/>
        </w:rPr>
      </w:pPr>
      <w:r>
        <w:rPr>
          <w:rFonts w:hint="eastAsia"/>
          <w:bCs/>
          <w:color w:val="auto"/>
        </w:rPr>
        <w:t xml:space="preserve">数据分析评价： </w:t>
      </w:r>
    </w:p>
    <w:p>
      <w:pPr>
        <w:widowControl/>
        <w:adjustRightInd w:val="0"/>
        <w:snapToGrid w:val="0"/>
        <w:spacing w:line="360" w:lineRule="auto"/>
        <w:rPr>
          <w:bCs/>
          <w:color w:val="auto"/>
        </w:rPr>
      </w:pPr>
      <w:r>
        <w:rPr>
          <w:rFonts w:hint="eastAsia"/>
          <w:bCs/>
          <w:color w:val="auto"/>
        </w:rPr>
        <w:t>管理员可以分析统计基地效益数据、创业成功的学生基本营收数据，生成相应的汇总导出表，实时掌握基地汇总数据。</w:t>
      </w:r>
    </w:p>
    <w:p>
      <w:pPr>
        <w:widowControl/>
        <w:adjustRightInd w:val="0"/>
        <w:snapToGrid w:val="0"/>
        <w:spacing w:line="360" w:lineRule="auto"/>
        <w:rPr>
          <w:bCs/>
          <w:color w:val="auto"/>
        </w:rPr>
      </w:pPr>
      <w:r>
        <w:rPr>
          <w:rFonts w:hint="eastAsia"/>
          <w:bCs/>
          <w:color w:val="auto"/>
        </w:rPr>
        <w:t>交流互动：</w:t>
      </w:r>
    </w:p>
    <w:p>
      <w:pPr>
        <w:widowControl/>
        <w:adjustRightInd w:val="0"/>
        <w:snapToGrid w:val="0"/>
        <w:spacing w:line="360" w:lineRule="auto"/>
        <w:rPr>
          <w:rFonts w:ascii="宋体" w:hAnsi="宋体"/>
          <w:bCs/>
          <w:color w:val="auto"/>
        </w:rPr>
      </w:pPr>
      <w:r>
        <w:rPr>
          <w:rFonts w:hint="eastAsia"/>
          <w:bCs/>
          <w:color w:val="auto"/>
        </w:rPr>
        <w:t>系统各角色可以在线交流互动，方便快捷处理问题。</w:t>
      </w:r>
    </w:p>
    <w:p>
      <w:pPr>
        <w:widowControl/>
        <w:adjustRightInd w:val="0"/>
        <w:snapToGrid w:val="0"/>
        <w:spacing w:before="156" w:beforeLines="50" w:line="360" w:lineRule="auto"/>
        <w:ind w:firstLine="482" w:firstLineChars="200"/>
        <w:rPr>
          <w:rFonts w:ascii="宋体" w:hAnsi="宋体"/>
          <w:b/>
          <w:color w:val="auto"/>
          <w:sz w:val="24"/>
        </w:rPr>
      </w:pPr>
      <w:r>
        <w:rPr>
          <w:rFonts w:hint="eastAsia" w:ascii="宋体" w:hAnsi="宋体"/>
          <w:b/>
          <w:color w:val="auto"/>
          <w:sz w:val="24"/>
        </w:rPr>
        <w:t>（5）创新创业导师库系统</w:t>
      </w:r>
    </w:p>
    <w:p>
      <w:pPr>
        <w:pStyle w:val="4"/>
        <w:spacing w:line="360" w:lineRule="auto"/>
        <w:ind w:firstLineChars="200"/>
        <w:rPr>
          <w:rFonts w:hAnsi="宋体"/>
          <w:bCs/>
          <w:color w:val="auto"/>
          <w:szCs w:val="21"/>
        </w:rPr>
      </w:pPr>
      <w:r>
        <w:rPr>
          <w:rFonts w:hint="eastAsia" w:hAnsi="宋体"/>
          <w:bCs/>
          <w:color w:val="auto"/>
          <w:szCs w:val="21"/>
        </w:rPr>
        <w:t>系统采用B/S架构，对创新创业导师、创新创业专家及各类创新创业人才的申报，登记、更新等进行网络化管理，提供便捷的搜索、统计功能，支持人工智能的数据有效筛选，最终建成学校创新创业导师库并进行跟踪管理。各模块功能：</w:t>
      </w:r>
    </w:p>
    <w:p>
      <w:pPr>
        <w:spacing w:line="360" w:lineRule="auto"/>
        <w:rPr>
          <w:rFonts w:ascii="宋体" w:hAnsi="宋体"/>
          <w:color w:val="auto"/>
          <w:szCs w:val="21"/>
        </w:rPr>
      </w:pPr>
      <w:r>
        <w:rPr>
          <w:rFonts w:hint="eastAsia" w:ascii="宋体" w:hAnsi="宋体"/>
          <w:color w:val="auto"/>
          <w:szCs w:val="21"/>
        </w:rPr>
        <w:t>初始设置：</w:t>
      </w:r>
    </w:p>
    <w:p>
      <w:pPr>
        <w:spacing w:line="360" w:lineRule="auto"/>
        <w:rPr>
          <w:rFonts w:ascii="宋体" w:hAnsi="宋体"/>
          <w:color w:val="auto"/>
          <w:szCs w:val="21"/>
        </w:rPr>
      </w:pPr>
      <w:r>
        <w:rPr>
          <w:rFonts w:hint="eastAsia" w:ascii="宋体" w:hAnsi="宋体"/>
          <w:color w:val="auto"/>
          <w:szCs w:val="21"/>
        </w:rPr>
        <w:t>设置申报起止时间、用户申报流程和其他基本功能（如设置相关申报负责人、审核负责人账号和其他管理员负责人权限划分）；</w:t>
      </w:r>
    </w:p>
    <w:p>
      <w:pPr>
        <w:spacing w:line="360" w:lineRule="auto"/>
        <w:rPr>
          <w:rFonts w:ascii="宋体" w:hAnsi="宋体"/>
          <w:color w:val="auto"/>
          <w:szCs w:val="21"/>
        </w:rPr>
      </w:pPr>
      <w:r>
        <w:rPr>
          <w:rFonts w:hint="eastAsia" w:ascii="宋体" w:hAnsi="宋体"/>
          <w:color w:val="auto"/>
          <w:szCs w:val="21"/>
        </w:rPr>
        <w:t>用户信息申报：</w:t>
      </w:r>
    </w:p>
    <w:p>
      <w:pPr>
        <w:spacing w:line="360" w:lineRule="auto"/>
        <w:rPr>
          <w:rFonts w:ascii="宋体" w:hAnsi="宋体"/>
          <w:color w:val="auto"/>
          <w:szCs w:val="21"/>
        </w:rPr>
      </w:pPr>
      <w:r>
        <w:rPr>
          <w:rFonts w:hint="eastAsia" w:ascii="宋体" w:hAnsi="宋体"/>
          <w:color w:val="auto"/>
          <w:szCs w:val="21"/>
        </w:rPr>
        <w:t>申报人选择要申报的导师入库资源类型，填写相关必要信息确定无误提出申请，创新创业学生包含基本信息、项目经历、竞赛经历、获得奖项等，指导导师/评审专家包含基本信息、研究方向、以往指导经历、学术科研成果等；</w:t>
      </w:r>
    </w:p>
    <w:p>
      <w:pPr>
        <w:spacing w:line="360" w:lineRule="auto"/>
        <w:rPr>
          <w:rFonts w:ascii="宋体" w:hAnsi="宋体"/>
          <w:color w:val="auto"/>
          <w:szCs w:val="21"/>
        </w:rPr>
      </w:pPr>
      <w:r>
        <w:rPr>
          <w:rFonts w:hint="eastAsia" w:ascii="宋体" w:hAnsi="宋体"/>
          <w:color w:val="auto"/>
          <w:szCs w:val="21"/>
        </w:rPr>
        <w:t>申报信息审核入库：</w:t>
      </w:r>
    </w:p>
    <w:p>
      <w:pPr>
        <w:spacing w:line="360" w:lineRule="auto"/>
        <w:rPr>
          <w:rFonts w:ascii="宋体" w:hAnsi="宋体"/>
          <w:color w:val="auto"/>
          <w:szCs w:val="21"/>
        </w:rPr>
      </w:pPr>
      <w:r>
        <w:rPr>
          <w:rFonts w:hint="eastAsia" w:ascii="宋体" w:hAnsi="宋体"/>
          <w:color w:val="auto"/>
          <w:szCs w:val="21"/>
        </w:rPr>
        <w:t>学校审核人审核相应的导师入库申请资料，审核通过则相应的导师资源信息保存入库，不通过则退回申报人提交的材料。</w:t>
      </w:r>
    </w:p>
    <w:p>
      <w:pPr>
        <w:spacing w:line="360" w:lineRule="auto"/>
        <w:rPr>
          <w:rFonts w:ascii="宋体" w:hAnsi="宋体"/>
          <w:color w:val="auto"/>
          <w:szCs w:val="21"/>
        </w:rPr>
      </w:pPr>
      <w:r>
        <w:rPr>
          <w:rFonts w:hint="eastAsia" w:ascii="宋体" w:hAnsi="宋体"/>
          <w:color w:val="auto"/>
          <w:szCs w:val="21"/>
        </w:rPr>
        <w:t>导师信息管理：</w:t>
      </w:r>
    </w:p>
    <w:p>
      <w:pPr>
        <w:spacing w:line="360" w:lineRule="auto"/>
        <w:rPr>
          <w:rFonts w:ascii="宋体" w:hAnsi="宋体"/>
          <w:color w:val="auto"/>
          <w:szCs w:val="21"/>
        </w:rPr>
      </w:pPr>
      <w:r>
        <w:rPr>
          <w:rFonts w:hint="eastAsia" w:ascii="宋体" w:hAnsi="宋体"/>
          <w:color w:val="auto"/>
          <w:szCs w:val="21"/>
        </w:rPr>
        <w:t>系统管理员可以管理所有创新创业学生信息、指导导师信息和评审专家信息。包括人才资源信息手动添加、外部导入、批量导出、批量删除，用户信息变动更新，资源归纳分组（如学生按年级、专业分组，导师按是否校内、）等。</w:t>
      </w:r>
    </w:p>
    <w:p>
      <w:pPr>
        <w:spacing w:line="360" w:lineRule="auto"/>
        <w:rPr>
          <w:rFonts w:ascii="宋体" w:hAnsi="宋体"/>
          <w:color w:val="auto"/>
          <w:szCs w:val="21"/>
        </w:rPr>
      </w:pPr>
      <w:r>
        <w:rPr>
          <w:rFonts w:hint="eastAsia" w:ascii="宋体" w:hAnsi="宋体"/>
          <w:color w:val="auto"/>
          <w:szCs w:val="21"/>
        </w:rPr>
        <w:t>用户查找导师资源信息：用户可以浏览学生、导师和专家信息，通过关键字搜索、条件搜索等查找需要的用户信息，用户也可以设置自己是否公开个人信息或公开部分信息。</w:t>
      </w:r>
    </w:p>
    <w:p>
      <w:pPr>
        <w:spacing w:line="360" w:lineRule="auto"/>
        <w:rPr>
          <w:rFonts w:ascii="宋体" w:hAnsi="宋体"/>
          <w:color w:val="auto"/>
          <w:szCs w:val="21"/>
        </w:rPr>
      </w:pPr>
      <w:r>
        <w:rPr>
          <w:rFonts w:hint="eastAsia" w:ascii="宋体" w:hAnsi="宋体"/>
          <w:color w:val="auto"/>
          <w:szCs w:val="21"/>
        </w:rPr>
        <w:t>系统维护日志记录：</w:t>
      </w:r>
    </w:p>
    <w:p>
      <w:pPr>
        <w:widowControl/>
        <w:adjustRightInd w:val="0"/>
        <w:snapToGrid w:val="0"/>
        <w:spacing w:line="360" w:lineRule="auto"/>
        <w:rPr>
          <w:rFonts w:ascii="宋体" w:hAnsi="宋体"/>
          <w:color w:val="auto"/>
          <w:szCs w:val="21"/>
        </w:rPr>
      </w:pPr>
      <w:r>
        <w:rPr>
          <w:rFonts w:hint="eastAsia" w:ascii="宋体" w:hAnsi="宋体"/>
          <w:color w:val="auto"/>
          <w:szCs w:val="21"/>
        </w:rPr>
        <w:t>系统记录导师信息变动情况（增、删、改），系统管理员可以在后台查看日志报告。</w:t>
      </w:r>
    </w:p>
    <w:p>
      <w:pPr>
        <w:widowControl/>
        <w:adjustRightInd w:val="0"/>
        <w:snapToGrid w:val="0"/>
        <w:spacing w:before="156" w:beforeLines="50" w:line="360" w:lineRule="auto"/>
        <w:ind w:firstLine="482" w:firstLineChars="200"/>
        <w:rPr>
          <w:rFonts w:ascii="宋体" w:hAnsi="宋体"/>
          <w:b/>
          <w:color w:val="auto"/>
          <w:sz w:val="24"/>
        </w:rPr>
      </w:pPr>
      <w:r>
        <w:rPr>
          <w:rFonts w:hint="eastAsia" w:ascii="宋体" w:hAnsi="宋体"/>
          <w:b/>
          <w:color w:val="auto"/>
          <w:sz w:val="24"/>
        </w:rPr>
        <w:t>（6）创新创业投融资服务系统</w:t>
      </w:r>
    </w:p>
    <w:p>
      <w:pPr>
        <w:pStyle w:val="4"/>
        <w:spacing w:line="360" w:lineRule="auto"/>
        <w:ind w:firstLineChars="200"/>
        <w:rPr>
          <w:rFonts w:hAnsi="宋体"/>
          <w:bCs/>
          <w:color w:val="auto"/>
          <w:szCs w:val="21"/>
        </w:rPr>
      </w:pPr>
      <w:r>
        <w:rPr>
          <w:rFonts w:hint="eastAsia" w:hAnsi="宋体"/>
          <w:bCs/>
          <w:color w:val="auto"/>
          <w:szCs w:val="21"/>
        </w:rPr>
        <w:t>系统采用B/S架构，针对创新创业项目需要寻找融资、投资机构需要寻找好的项目，搭建一个服务于投资机构与创业者精准对接的信息分享服务系统，通过项目库中的大量项目资源吸引投资机构注册入驻，帮助项目团队寻找符合条件的投资机构，更好的实现项目的融资对接，同时经过授权的投资机构可以方便的查看到项目库中的项目，一旦有满足投资机构设定条件的项目就会提醒投资机构关注。各模块功能：</w:t>
      </w:r>
    </w:p>
    <w:p>
      <w:pPr>
        <w:spacing w:line="360" w:lineRule="auto"/>
        <w:rPr>
          <w:rFonts w:ascii="宋体" w:hAnsi="宋体"/>
          <w:bCs/>
          <w:color w:val="auto"/>
          <w:szCs w:val="21"/>
        </w:rPr>
      </w:pPr>
      <w:r>
        <w:rPr>
          <w:rFonts w:hint="eastAsia" w:ascii="宋体" w:hAnsi="宋体"/>
          <w:bCs/>
          <w:color w:val="auto"/>
          <w:szCs w:val="21"/>
        </w:rPr>
        <w:t>初始设置：</w:t>
      </w:r>
    </w:p>
    <w:p>
      <w:pPr>
        <w:pStyle w:val="4"/>
        <w:spacing w:line="360" w:lineRule="auto"/>
        <w:ind w:firstLine="0"/>
        <w:rPr>
          <w:rFonts w:hAnsi="宋体"/>
          <w:bCs/>
          <w:color w:val="auto"/>
          <w:szCs w:val="21"/>
        </w:rPr>
      </w:pPr>
      <w:r>
        <w:rPr>
          <w:rFonts w:hint="eastAsia" w:hAnsi="宋体"/>
          <w:bCs/>
          <w:color w:val="auto"/>
          <w:szCs w:val="21"/>
        </w:rPr>
        <w:t>管理员可以设置用户的查看权限和隐私信息，未得到对方的同意授权后，无法查看项目或投资机构的全部信息。</w:t>
      </w:r>
    </w:p>
    <w:p>
      <w:pPr>
        <w:spacing w:line="360" w:lineRule="auto"/>
        <w:rPr>
          <w:rFonts w:ascii="宋体" w:hAnsi="宋体"/>
          <w:bCs/>
          <w:color w:val="auto"/>
          <w:szCs w:val="21"/>
        </w:rPr>
      </w:pPr>
      <w:r>
        <w:rPr>
          <w:rFonts w:hint="eastAsia" w:ascii="宋体" w:hAnsi="宋体"/>
          <w:bCs/>
          <w:color w:val="auto"/>
          <w:szCs w:val="21"/>
        </w:rPr>
        <w:t>融资项目发布：</w:t>
      </w:r>
    </w:p>
    <w:p>
      <w:pPr>
        <w:spacing w:line="360" w:lineRule="auto"/>
        <w:rPr>
          <w:rFonts w:ascii="宋体" w:hAnsi="宋体"/>
          <w:bCs/>
          <w:color w:val="auto"/>
          <w:szCs w:val="21"/>
        </w:rPr>
      </w:pPr>
      <w:r>
        <w:rPr>
          <w:rFonts w:hint="eastAsia" w:ascii="宋体" w:hAnsi="宋体"/>
          <w:bCs/>
          <w:color w:val="auto"/>
          <w:szCs w:val="21"/>
        </w:rPr>
        <w:t>项目负责人发布自己的项目信息。融资项目信息包括项目名称、项目负责人信息、项目概述、所属领域、所在地区、融资阶段、项目进展、图片上传等内容。</w:t>
      </w:r>
    </w:p>
    <w:p>
      <w:pPr>
        <w:spacing w:line="360" w:lineRule="auto"/>
        <w:rPr>
          <w:rFonts w:ascii="宋体" w:hAnsi="宋体"/>
          <w:bCs/>
          <w:color w:val="auto"/>
          <w:szCs w:val="21"/>
        </w:rPr>
      </w:pPr>
      <w:r>
        <w:rPr>
          <w:rFonts w:hint="eastAsia" w:ascii="宋体" w:hAnsi="宋体"/>
          <w:bCs/>
          <w:color w:val="auto"/>
          <w:szCs w:val="21"/>
        </w:rPr>
        <w:t>投资机构注册：</w:t>
      </w:r>
    </w:p>
    <w:p>
      <w:pPr>
        <w:spacing w:line="360" w:lineRule="auto"/>
        <w:rPr>
          <w:rFonts w:ascii="宋体" w:hAnsi="宋体"/>
          <w:bCs/>
          <w:color w:val="auto"/>
          <w:szCs w:val="21"/>
        </w:rPr>
      </w:pPr>
      <w:r>
        <w:rPr>
          <w:rFonts w:hint="eastAsia" w:ascii="宋体" w:hAnsi="宋体"/>
          <w:bCs/>
          <w:color w:val="auto"/>
          <w:szCs w:val="21"/>
        </w:rPr>
        <w:t>机构投资人通过注册账号登陆系统后，在投资机构中可以完善自己的机构信息。投资机构信息包括机构名称、机构投资人信息、机构信息、投资领域、所在地区、主投轮次、投资案例、投资额度、图片上传等内容。</w:t>
      </w:r>
    </w:p>
    <w:p>
      <w:pPr>
        <w:spacing w:line="360" w:lineRule="auto"/>
        <w:rPr>
          <w:rFonts w:ascii="宋体" w:hAnsi="宋体"/>
          <w:bCs/>
          <w:color w:val="auto"/>
          <w:szCs w:val="21"/>
        </w:rPr>
      </w:pPr>
      <w:r>
        <w:rPr>
          <w:rFonts w:hint="eastAsia" w:ascii="宋体" w:hAnsi="宋体"/>
          <w:bCs/>
          <w:color w:val="auto"/>
          <w:szCs w:val="21"/>
        </w:rPr>
        <w:t>寻找融资：</w:t>
      </w:r>
    </w:p>
    <w:p>
      <w:pPr>
        <w:spacing w:line="360" w:lineRule="auto"/>
        <w:rPr>
          <w:rFonts w:ascii="宋体" w:hAnsi="宋体"/>
          <w:bCs/>
          <w:color w:val="auto"/>
          <w:szCs w:val="21"/>
        </w:rPr>
      </w:pPr>
      <w:r>
        <w:rPr>
          <w:rFonts w:hint="eastAsia" w:ascii="宋体" w:hAnsi="宋体"/>
          <w:bCs/>
          <w:color w:val="auto"/>
          <w:szCs w:val="21"/>
        </w:rPr>
        <w:t>项目负责人在投资机构中可以查看已注册的投资机构或投资公司信息，可以根据投资领域、主投轮次、所在地区等字段信息筛选符合条件的投资机构信息，选择投资机构发起查看申请和留言，对接意向确认后可以查看该机构的更多详细信息。</w:t>
      </w:r>
    </w:p>
    <w:p>
      <w:pPr>
        <w:spacing w:line="360" w:lineRule="auto"/>
        <w:rPr>
          <w:rFonts w:ascii="宋体" w:hAnsi="宋体"/>
          <w:bCs/>
          <w:color w:val="auto"/>
          <w:szCs w:val="21"/>
        </w:rPr>
      </w:pPr>
      <w:r>
        <w:rPr>
          <w:rFonts w:hint="eastAsia" w:ascii="宋体" w:hAnsi="宋体"/>
          <w:bCs/>
          <w:color w:val="auto"/>
          <w:szCs w:val="21"/>
        </w:rPr>
        <w:t>寻找项目：</w:t>
      </w:r>
    </w:p>
    <w:p>
      <w:pPr>
        <w:spacing w:line="360" w:lineRule="auto"/>
        <w:rPr>
          <w:rFonts w:ascii="宋体" w:hAnsi="宋体"/>
          <w:bCs/>
          <w:color w:val="auto"/>
          <w:szCs w:val="21"/>
        </w:rPr>
      </w:pPr>
      <w:r>
        <w:rPr>
          <w:rFonts w:hint="eastAsia" w:ascii="宋体" w:hAnsi="宋体"/>
          <w:bCs/>
          <w:color w:val="auto"/>
          <w:szCs w:val="21"/>
        </w:rPr>
        <w:t>机构投资人在融资项目中可以查看发布的项目信息，可以根据所属领域、融资阶段、所在地区等字段信息筛选符合条件的融资项目信息，选择项目发起查看申请和留言，对接意向确认后可以查看项目的更多详细信息。</w:t>
      </w:r>
    </w:p>
    <w:p>
      <w:pPr>
        <w:spacing w:line="360" w:lineRule="auto"/>
        <w:rPr>
          <w:rFonts w:ascii="宋体" w:hAnsi="宋体"/>
          <w:bCs/>
          <w:color w:val="auto"/>
          <w:szCs w:val="21"/>
        </w:rPr>
      </w:pPr>
      <w:r>
        <w:rPr>
          <w:rFonts w:hint="eastAsia" w:ascii="宋体" w:hAnsi="宋体"/>
          <w:bCs/>
          <w:color w:val="auto"/>
          <w:szCs w:val="21"/>
        </w:rPr>
        <w:t>融资资讯：</w:t>
      </w:r>
    </w:p>
    <w:p>
      <w:pPr>
        <w:spacing w:line="360" w:lineRule="auto"/>
        <w:rPr>
          <w:rFonts w:ascii="宋体" w:hAnsi="宋体"/>
          <w:bCs/>
          <w:color w:val="auto"/>
          <w:szCs w:val="21"/>
        </w:rPr>
      </w:pPr>
      <w:r>
        <w:rPr>
          <w:rFonts w:hint="eastAsia" w:ascii="宋体" w:hAnsi="宋体"/>
          <w:bCs/>
          <w:color w:val="auto"/>
          <w:szCs w:val="21"/>
        </w:rPr>
        <w:t>管理员可以添加通知信息、新闻信息和项目对接案例信息，并发布到融资资讯中。用户登陆系统后，在融资资讯中可以查看对接成功的案例信息，包括投资机构、项目名称、融资金额等相关信息。</w:t>
      </w:r>
    </w:p>
    <w:p>
      <w:pPr>
        <w:spacing w:line="360" w:lineRule="auto"/>
        <w:rPr>
          <w:rFonts w:ascii="宋体" w:hAnsi="宋体"/>
          <w:bCs/>
          <w:color w:val="auto"/>
          <w:szCs w:val="21"/>
        </w:rPr>
      </w:pPr>
      <w:r>
        <w:rPr>
          <w:rFonts w:hint="eastAsia" w:ascii="宋体" w:hAnsi="宋体"/>
          <w:bCs/>
          <w:color w:val="auto"/>
          <w:szCs w:val="21"/>
        </w:rPr>
        <w:t>项目库管理：</w:t>
      </w:r>
    </w:p>
    <w:p>
      <w:pPr>
        <w:spacing w:line="360" w:lineRule="auto"/>
        <w:rPr>
          <w:rFonts w:ascii="宋体" w:hAnsi="宋体"/>
          <w:bCs/>
          <w:color w:val="auto"/>
          <w:szCs w:val="21"/>
        </w:rPr>
      </w:pPr>
      <w:r>
        <w:rPr>
          <w:rFonts w:hint="eastAsia" w:ascii="宋体" w:hAnsi="宋体"/>
          <w:bCs/>
          <w:color w:val="auto"/>
          <w:szCs w:val="21"/>
        </w:rPr>
        <w:t>管理员可以查询、调整已发布的所有项目信息，可以设置该项目信息是否对所有人公开，对应的项目负责人也可以在融资项目发布中随时修改自己的项目信息。</w:t>
      </w:r>
    </w:p>
    <w:p>
      <w:pPr>
        <w:spacing w:line="360" w:lineRule="auto"/>
        <w:rPr>
          <w:rFonts w:ascii="宋体" w:hAnsi="宋体"/>
          <w:bCs/>
          <w:color w:val="auto"/>
          <w:szCs w:val="21"/>
        </w:rPr>
      </w:pPr>
      <w:r>
        <w:rPr>
          <w:rFonts w:hint="eastAsia" w:ascii="宋体" w:hAnsi="宋体"/>
          <w:bCs/>
          <w:color w:val="auto"/>
          <w:szCs w:val="21"/>
        </w:rPr>
        <w:t>数据统计分析：</w:t>
      </w:r>
    </w:p>
    <w:p>
      <w:pPr>
        <w:spacing w:line="360" w:lineRule="auto"/>
        <w:rPr>
          <w:rFonts w:hAnsi="宋体"/>
          <w:b/>
          <w:color w:val="auto"/>
          <w:sz w:val="28"/>
          <w:szCs w:val="28"/>
        </w:rPr>
      </w:pPr>
      <w:r>
        <w:rPr>
          <w:rFonts w:hint="eastAsia" w:ascii="宋体" w:hAnsi="宋体"/>
          <w:bCs/>
          <w:color w:val="auto"/>
          <w:szCs w:val="21"/>
        </w:rPr>
        <w:t>管理员可以通过筛选字段查看所有符合条件的融资项目和投资机构信息。选择项目可以查看该项目收到了哪几家投资机构发出的投资意向及项目的详细信息。选择投资机构可以查看该机构收到了哪几个项目发出的融资申请及机构的详细信息。</w:t>
      </w:r>
    </w:p>
    <w:p>
      <w:pPr>
        <w:widowControl/>
        <w:jc w:val="left"/>
        <w:rPr>
          <w:rFonts w:hAnsi="宋体"/>
          <w:b/>
          <w:color w:val="auto"/>
          <w:sz w:val="28"/>
          <w:szCs w:val="28"/>
        </w:rPr>
      </w:pPr>
    </w:p>
    <w:p>
      <w:pPr>
        <w:widowControl/>
        <w:jc w:val="left"/>
        <w:rPr>
          <w:rFonts w:hAnsi="宋体"/>
          <w:b/>
          <w:color w:val="auto"/>
          <w:sz w:val="28"/>
          <w:szCs w:val="28"/>
        </w:rPr>
      </w:pPr>
      <w:r>
        <w:rPr>
          <w:rFonts w:hint="eastAsia" w:ascii="宋体"/>
          <w:b/>
          <w:bCs/>
          <w:color w:val="auto"/>
          <w:highlight w:val="none"/>
        </w:rPr>
        <w:t>（本部分内容由南京信息工程大学</w:t>
      </w:r>
      <w:r>
        <w:rPr>
          <w:rFonts w:hint="eastAsia" w:ascii="宋体"/>
          <w:b/>
          <w:bCs/>
          <w:color w:val="auto"/>
          <w:highlight w:val="none"/>
          <w:lang w:val="en-US" w:eastAsia="zh-CN"/>
        </w:rPr>
        <w:t>教务处</w:t>
      </w:r>
      <w:r>
        <w:rPr>
          <w:rFonts w:hint="eastAsia" w:ascii="宋体"/>
          <w:b/>
          <w:bCs/>
          <w:color w:val="auto"/>
          <w:highlight w:val="none"/>
        </w:rPr>
        <w:t>提供并负责）</w:t>
      </w:r>
      <w:r>
        <w:rPr>
          <w:rFonts w:hAnsi="宋体"/>
          <w:b/>
          <w:color w:val="auto"/>
          <w:sz w:val="28"/>
          <w:szCs w:val="28"/>
        </w:rPr>
        <w:br w:type="page"/>
      </w:r>
    </w:p>
    <w:p>
      <w:pPr>
        <w:widowControl/>
        <w:jc w:val="left"/>
        <w:rPr>
          <w:rFonts w:hAnsi="宋体"/>
          <w:b/>
          <w:color w:val="auto"/>
          <w:sz w:val="36"/>
          <w:szCs w:val="36"/>
        </w:rPr>
      </w:pPr>
      <w:r>
        <w:rPr>
          <w:rFonts w:hint="eastAsia" w:hAnsi="宋体"/>
          <w:b/>
          <w:color w:val="auto"/>
          <w:sz w:val="28"/>
          <w:szCs w:val="28"/>
        </w:rPr>
        <w:t>附件</w:t>
      </w:r>
      <w:r>
        <w:rPr>
          <w:rFonts w:hAnsi="宋体"/>
          <w:b/>
          <w:color w:val="auto"/>
          <w:sz w:val="28"/>
          <w:szCs w:val="28"/>
        </w:rPr>
        <w:t>2</w:t>
      </w:r>
      <w:r>
        <w:rPr>
          <w:rFonts w:hint="eastAsia" w:hAnsi="宋体"/>
          <w:b/>
          <w:color w:val="auto"/>
          <w:sz w:val="28"/>
          <w:szCs w:val="28"/>
        </w:rPr>
        <w:t>：</w:t>
      </w:r>
    </w:p>
    <w:p>
      <w:pPr>
        <w:tabs>
          <w:tab w:val="left" w:pos="3270"/>
        </w:tabs>
        <w:autoSpaceDE w:val="0"/>
        <w:autoSpaceDN w:val="0"/>
        <w:adjustRightInd w:val="0"/>
        <w:spacing w:line="360" w:lineRule="exact"/>
        <w:rPr>
          <w:rFonts w:ascii="宋体" w:hAnsi="宋体"/>
          <w:b/>
          <w:color w:val="auto"/>
          <w:sz w:val="24"/>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lang w:val="zh-CN"/>
        </w:rPr>
      </w:pPr>
      <w:r>
        <w:rPr>
          <w:rFonts w:hint="eastAsia" w:ascii="宋体" w:hAnsi="宋体"/>
          <w:b/>
          <w:color w:val="auto"/>
          <w:sz w:val="36"/>
          <w:szCs w:val="36"/>
          <w:lang w:val="zh-CN"/>
        </w:rPr>
        <w:t>投标函</w:t>
      </w:r>
    </w:p>
    <w:p>
      <w:pPr>
        <w:autoSpaceDE w:val="0"/>
        <w:autoSpaceDN w:val="0"/>
        <w:adjustRightInd w:val="0"/>
        <w:spacing w:line="300" w:lineRule="auto"/>
        <w:rPr>
          <w:rFonts w:ascii="宋体" w:hAnsi="宋体"/>
          <w:color w:val="auto"/>
          <w:sz w:val="24"/>
          <w:lang w:val="zh-CN"/>
        </w:rPr>
      </w:pPr>
      <w:r>
        <w:rPr>
          <w:rFonts w:hint="eastAsia" w:ascii="宋体" w:hAnsi="宋体"/>
          <w:color w:val="auto"/>
          <w:sz w:val="24"/>
          <w:lang w:val="zh-CN"/>
        </w:rPr>
        <w:t>致：南京信息工程大学</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根据贵方（项目名称）（项目编号）投标邀请，正式授权下述签字人</w:t>
      </w:r>
      <w:r>
        <w:rPr>
          <w:rFonts w:ascii="宋体" w:hAnsi="宋体"/>
          <w:color w:val="auto"/>
          <w:sz w:val="24"/>
          <w:lang w:val="zh-CN"/>
        </w:rPr>
        <w:t>(</w:t>
      </w:r>
      <w:r>
        <w:rPr>
          <w:rFonts w:hint="eastAsia" w:ascii="宋体" w:hAnsi="宋体"/>
          <w:color w:val="auto"/>
          <w:sz w:val="24"/>
          <w:lang w:val="zh-CN"/>
        </w:rPr>
        <w:t>姓名和职务</w:t>
      </w:r>
      <w:r>
        <w:rPr>
          <w:rFonts w:ascii="宋体" w:hAnsi="宋体"/>
          <w:color w:val="auto"/>
          <w:sz w:val="24"/>
          <w:lang w:val="zh-CN"/>
        </w:rPr>
        <w:t>)</w:t>
      </w:r>
      <w:r>
        <w:rPr>
          <w:rFonts w:hint="eastAsia" w:ascii="宋体" w:hAnsi="宋体"/>
          <w:color w:val="auto"/>
          <w:sz w:val="24"/>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rPr>
      </w:pPr>
      <w:r>
        <w:rPr>
          <w:rFonts w:ascii="宋体" w:hAnsi="宋体"/>
          <w:color w:val="auto"/>
          <w:sz w:val="24"/>
          <w:lang w:val="zh-CN"/>
        </w:rPr>
        <w:t>1</w:t>
      </w:r>
      <w:r>
        <w:rPr>
          <w:rFonts w:hint="eastAsia" w:ascii="宋体" w:hAnsi="宋体"/>
          <w:color w:val="auto"/>
          <w:sz w:val="24"/>
          <w:lang w:val="zh-CN"/>
        </w:rPr>
        <w:t>、</w:t>
      </w:r>
      <w:r>
        <w:rPr>
          <w:rFonts w:hint="eastAsia" w:ascii="宋体" w:hAnsi="宋体"/>
          <w:b/>
          <w:color w:val="auto"/>
          <w:sz w:val="24"/>
          <w:lang w:val="zh-CN"/>
        </w:rPr>
        <w:t>我们的资格条件完全符合政府采购法和本次招标要求</w:t>
      </w:r>
      <w:r>
        <w:rPr>
          <w:rFonts w:hint="eastAsia" w:ascii="宋体" w:hAnsi="宋体"/>
          <w:color w:val="auto"/>
          <w:sz w:val="24"/>
          <w:lang w:val="zh-CN"/>
        </w:rPr>
        <w:t>，</w:t>
      </w:r>
      <w:r>
        <w:rPr>
          <w:rFonts w:hint="eastAsia" w:ascii="宋体" w:hAnsi="宋体"/>
          <w:color w:val="auto"/>
          <w:sz w:val="24"/>
        </w:rPr>
        <w:t>我们</w:t>
      </w:r>
      <w:r>
        <w:rPr>
          <w:rFonts w:hint="eastAsia" w:ascii="宋体" w:hAnsi="宋体"/>
          <w:color w:val="auto"/>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rPr>
        <w:t>2</w:t>
      </w:r>
      <w:r>
        <w:rPr>
          <w:rFonts w:hint="eastAsia" w:ascii="宋体" w:hAnsi="宋体"/>
          <w:color w:val="auto"/>
          <w:sz w:val="24"/>
        </w:rPr>
        <w:t>、</w:t>
      </w:r>
      <w:r>
        <w:rPr>
          <w:rFonts w:hint="eastAsia" w:ascii="宋体" w:hAnsi="宋体"/>
          <w:color w:val="auto"/>
          <w:sz w:val="24"/>
          <w:lang w:val="zh-CN"/>
        </w:rPr>
        <w:t>按招标要求，我们的投标总报价为人民币大写</w:t>
      </w:r>
      <w:r>
        <w:rPr>
          <w:rFonts w:hint="eastAsia" w:ascii="宋体" w:hAnsi="宋体"/>
          <w:color w:val="auto"/>
          <w:sz w:val="24"/>
          <w:u w:val="single"/>
          <w:lang w:val="zh-CN"/>
        </w:rPr>
        <w:t xml:space="preserve">                        ，</w:t>
      </w:r>
      <w:r>
        <w:rPr>
          <w:rFonts w:hint="eastAsia" w:ascii="宋体" w:hAnsi="宋体"/>
          <w:color w:val="auto"/>
          <w:sz w:val="24"/>
          <w:lang w:val="zh-CN"/>
        </w:rPr>
        <w:t>小写：</w:t>
      </w:r>
      <w:r>
        <w:rPr>
          <w:rFonts w:hint="eastAsia" w:ascii="宋体" w:hAnsi="宋体"/>
          <w:color w:val="auto"/>
          <w:sz w:val="24"/>
          <w:u w:val="single"/>
          <w:lang w:val="zh-CN"/>
        </w:rPr>
        <w:t>￥         。</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3、项目负责人</w:t>
      </w:r>
      <w:r>
        <w:rPr>
          <w:rFonts w:ascii="宋体" w:hAnsi="宋体"/>
          <w:color w:val="auto"/>
          <w:sz w:val="24"/>
          <w:lang w:val="zh-CN"/>
        </w:rPr>
        <w:t>(</w:t>
      </w:r>
      <w:r>
        <w:rPr>
          <w:rFonts w:hint="eastAsia" w:ascii="宋体" w:hAnsi="宋体"/>
          <w:color w:val="auto"/>
          <w:sz w:val="24"/>
          <w:lang w:val="zh-CN"/>
        </w:rPr>
        <w:t>姓名</w:t>
      </w:r>
      <w:r>
        <w:rPr>
          <w:rFonts w:ascii="宋体" w:hAnsi="宋体"/>
          <w:color w:val="auto"/>
          <w:sz w:val="24"/>
          <w:lang w:val="zh-CN"/>
        </w:rPr>
        <w:t>)</w:t>
      </w:r>
      <w:r>
        <w:rPr>
          <w:rFonts w:hint="eastAsia" w:ascii="宋体" w:hAnsi="宋体"/>
          <w:color w:val="auto"/>
          <w:sz w:val="24"/>
          <w:lang w:val="zh-CN"/>
        </w:rPr>
        <w:t>，身份证号。</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4、我们已详细审核全部招标文件及其有效补充文件，我们放弃对招标文件任何误解的权利，提交投标文件后，</w:t>
      </w:r>
      <w:r>
        <w:rPr>
          <w:rFonts w:hint="eastAsia" w:ascii="宋体" w:hAnsi="宋体"/>
          <w:b/>
          <w:color w:val="auto"/>
          <w:sz w:val="24"/>
          <w:lang w:val="zh-CN"/>
        </w:rPr>
        <w:t>不对招标文件本身提出质疑</w:t>
      </w:r>
      <w:r>
        <w:rPr>
          <w:rFonts w:hint="eastAsia" w:ascii="宋体" w:hAnsi="宋体"/>
          <w:color w:val="auto"/>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6、一旦我方中标，我方将根据招标文件的规定严格履行合同，并保证于承诺的时间完成服务的启动</w:t>
      </w:r>
      <w:r>
        <w:rPr>
          <w:rFonts w:ascii="宋体" w:hAnsi="宋体"/>
          <w:color w:val="auto"/>
          <w:sz w:val="24"/>
          <w:lang w:val="zh-CN"/>
        </w:rPr>
        <w:t>/</w:t>
      </w:r>
      <w:r>
        <w:rPr>
          <w:rFonts w:hint="eastAsia" w:ascii="宋体" w:hAnsi="宋体"/>
          <w:color w:val="auto"/>
          <w:sz w:val="24"/>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lang w:val="zh-CN"/>
        </w:rPr>
        <w:t>8</w:t>
      </w:r>
      <w:r>
        <w:rPr>
          <w:rFonts w:hint="eastAsia" w:ascii="宋体" w:hAnsi="宋体"/>
          <w:color w:val="auto"/>
          <w:sz w:val="24"/>
          <w:lang w:val="zh-CN"/>
        </w:rPr>
        <w:t>、与本投标有关的正式联系方式为：</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地址：</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电话：</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传真：</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开户银行：</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银行账号：</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投标人法定代表人姓名（签字）：</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投标人名称：（盖章）</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日期：     年   月    日</w:t>
      </w:r>
    </w:p>
    <w:p>
      <w:pPr>
        <w:spacing w:line="360" w:lineRule="auto"/>
        <w:rPr>
          <w:rFonts w:ascii="宋体"/>
          <w:b/>
          <w:color w:val="auto"/>
          <w:sz w:val="28"/>
          <w:szCs w:val="28"/>
        </w:rPr>
      </w:pPr>
      <w:r>
        <w:rPr>
          <w:rFonts w:ascii="宋体" w:hAnsi="宋体"/>
          <w:b/>
          <w:color w:val="auto"/>
          <w:sz w:val="28"/>
          <w:szCs w:val="28"/>
        </w:rPr>
        <w:br w:type="page"/>
      </w:r>
      <w:r>
        <w:rPr>
          <w:rFonts w:hint="eastAsia" w:ascii="宋体" w:hAnsi="宋体"/>
          <w:b/>
          <w:color w:val="auto"/>
          <w:sz w:val="28"/>
          <w:szCs w:val="28"/>
        </w:rPr>
        <w:t>附件</w:t>
      </w:r>
      <w:r>
        <w:rPr>
          <w:rFonts w:ascii="宋体" w:hAnsi="宋体"/>
          <w:b/>
          <w:color w:val="auto"/>
          <w:sz w:val="28"/>
          <w:szCs w:val="28"/>
        </w:rPr>
        <w:t>3</w:t>
      </w:r>
      <w:r>
        <w:rPr>
          <w:rFonts w:hint="eastAsia" w:ascii="宋体" w:hAnsi="宋体"/>
          <w:b/>
          <w:color w:val="auto"/>
          <w:sz w:val="28"/>
          <w:szCs w:val="28"/>
        </w:rPr>
        <w:t>：</w:t>
      </w:r>
    </w:p>
    <w:p>
      <w:pPr>
        <w:spacing w:line="360" w:lineRule="auto"/>
        <w:jc w:val="center"/>
        <w:rPr>
          <w:rFonts w:ascii="宋体"/>
          <w:color w:val="auto"/>
          <w:sz w:val="44"/>
          <w:szCs w:val="44"/>
        </w:rPr>
      </w:pPr>
      <w:r>
        <w:rPr>
          <w:rFonts w:hint="eastAsia" w:ascii="宋体" w:hAnsi="宋体"/>
          <w:color w:val="auto"/>
          <w:sz w:val="44"/>
          <w:szCs w:val="44"/>
        </w:rPr>
        <w:t>投标项目报价明细表</w:t>
      </w:r>
    </w:p>
    <w:p>
      <w:pPr>
        <w:spacing w:line="360" w:lineRule="auto"/>
        <w:rPr>
          <w:rFonts w:ascii="宋体"/>
          <w:color w:val="auto"/>
          <w:sz w:val="28"/>
          <w:szCs w:val="28"/>
          <w:u w:val="single"/>
        </w:rPr>
      </w:pPr>
      <w:r>
        <w:rPr>
          <w:rFonts w:hint="eastAsia" w:ascii="宋体" w:hAnsi="宋体"/>
          <w:color w:val="auto"/>
          <w:sz w:val="28"/>
          <w:szCs w:val="28"/>
        </w:rPr>
        <w:t>投标人</w:t>
      </w:r>
    </w:p>
    <w:p>
      <w:pPr>
        <w:spacing w:line="360" w:lineRule="auto"/>
        <w:rPr>
          <w:rFonts w:ascii="宋体"/>
          <w:color w:val="auto"/>
          <w:sz w:val="28"/>
          <w:szCs w:val="28"/>
          <w:u w:val="single"/>
        </w:rPr>
      </w:pPr>
      <w:r>
        <w:rPr>
          <w:rFonts w:hint="eastAsia" w:ascii="宋体" w:hAnsi="宋体"/>
          <w:color w:val="auto"/>
          <w:sz w:val="28"/>
          <w:szCs w:val="28"/>
        </w:rPr>
        <w:t>招标编号及分包号</w:t>
      </w:r>
    </w:p>
    <w:p>
      <w:pPr>
        <w:spacing w:line="360" w:lineRule="auto"/>
        <w:rPr>
          <w:rFonts w:ascii="宋体"/>
          <w:color w:val="auto"/>
          <w:sz w:val="28"/>
          <w:szCs w:val="28"/>
          <w:u w:val="single"/>
        </w:rPr>
      </w:pPr>
      <w:r>
        <w:rPr>
          <w:rFonts w:hint="eastAsia" w:ascii="宋体" w:hAnsi="宋体"/>
          <w:color w:val="auto"/>
          <w:sz w:val="28"/>
          <w:szCs w:val="28"/>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rPr>
            </w:pPr>
            <w:r>
              <w:rPr>
                <w:rFonts w:hint="eastAsia" w:ascii="宋体" w:hAnsi="宋体"/>
                <w:b/>
                <w:color w:val="auto"/>
                <w:sz w:val="28"/>
                <w:szCs w:val="28"/>
              </w:rPr>
              <w:t>分包号</w:t>
            </w:r>
          </w:p>
        </w:tc>
        <w:tc>
          <w:tcPr>
            <w:tcW w:w="1065" w:type="dxa"/>
            <w:vAlign w:val="center"/>
          </w:tcPr>
          <w:p>
            <w:pPr>
              <w:spacing w:line="360" w:lineRule="auto"/>
              <w:jc w:val="center"/>
              <w:rPr>
                <w:rFonts w:ascii="宋体" w:hAnsi="宋体"/>
                <w:b/>
                <w:color w:val="auto"/>
                <w:sz w:val="28"/>
                <w:szCs w:val="28"/>
              </w:rPr>
            </w:pPr>
            <w:r>
              <w:rPr>
                <w:rFonts w:hint="eastAsia" w:ascii="宋体" w:hAnsi="宋体"/>
                <w:b/>
                <w:color w:val="auto"/>
                <w:sz w:val="28"/>
                <w:szCs w:val="28"/>
              </w:rPr>
              <w:t>品牌</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名称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描述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计量</w:t>
            </w:r>
          </w:p>
          <w:p>
            <w:pPr>
              <w:spacing w:line="360" w:lineRule="auto"/>
              <w:jc w:val="center"/>
              <w:rPr>
                <w:rFonts w:ascii="宋体"/>
                <w:b/>
                <w:color w:val="auto"/>
                <w:sz w:val="28"/>
                <w:szCs w:val="28"/>
              </w:rPr>
            </w:pPr>
            <w:r>
              <w:rPr>
                <w:rFonts w:hint="eastAsia" w:ascii="宋体" w:hAnsi="宋体"/>
                <w:b/>
                <w:color w:val="auto"/>
                <w:sz w:val="28"/>
                <w:szCs w:val="28"/>
              </w:rPr>
              <w:t>单位</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数量</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单价</w:t>
            </w:r>
          </w:p>
        </w:tc>
        <w:tc>
          <w:tcPr>
            <w:tcW w:w="1066" w:type="dxa"/>
            <w:vAlign w:val="center"/>
          </w:tcPr>
          <w:p>
            <w:pPr>
              <w:spacing w:line="360" w:lineRule="auto"/>
              <w:jc w:val="center"/>
              <w:rPr>
                <w:rFonts w:ascii="宋体"/>
                <w:b/>
                <w:color w:val="auto"/>
                <w:sz w:val="28"/>
                <w:szCs w:val="28"/>
              </w:rPr>
            </w:pPr>
            <w:r>
              <w:rPr>
                <w:rFonts w:hint="eastAsia" w:ascii="宋体" w:hAnsi="宋体"/>
                <w:b/>
                <w:color w:val="auto"/>
                <w:sz w:val="28"/>
                <w:szCs w:val="28"/>
              </w:rPr>
              <w:t>每项</w:t>
            </w:r>
          </w:p>
          <w:p>
            <w:pPr>
              <w:spacing w:line="360" w:lineRule="auto"/>
              <w:jc w:val="center"/>
              <w:rPr>
                <w:rFonts w:ascii="宋体"/>
                <w:b/>
                <w:color w:val="auto"/>
                <w:sz w:val="28"/>
                <w:szCs w:val="28"/>
              </w:rPr>
            </w:pPr>
            <w:r>
              <w:rPr>
                <w:rFonts w:hint="eastAsia" w:ascii="宋体" w:hAnsi="宋体"/>
                <w:b/>
                <w:color w:val="auto"/>
                <w:sz w:val="28"/>
                <w:szCs w:val="28"/>
              </w:rPr>
              <w:t>总价</w:t>
            </w:r>
          </w:p>
        </w:tc>
        <w:tc>
          <w:tcPr>
            <w:tcW w:w="1066" w:type="dxa"/>
          </w:tcPr>
          <w:p>
            <w:pPr>
              <w:spacing w:line="360" w:lineRule="auto"/>
              <w:jc w:val="center"/>
              <w:rPr>
                <w:rFonts w:ascii="宋体"/>
                <w:b/>
                <w:color w:val="auto"/>
                <w:sz w:val="28"/>
                <w:szCs w:val="28"/>
              </w:rPr>
            </w:pPr>
            <w:r>
              <w:rPr>
                <w:rFonts w:hint="eastAsia" w:ascii="宋体" w:hAnsi="宋体"/>
                <w:b/>
                <w:color w:val="auto"/>
                <w:sz w:val="28"/>
                <w:szCs w:val="28"/>
              </w:rPr>
              <w:t>质保</w:t>
            </w:r>
          </w:p>
          <w:p>
            <w:pPr>
              <w:spacing w:line="360" w:lineRule="auto"/>
              <w:jc w:val="center"/>
              <w:rPr>
                <w:rFonts w:ascii="宋体"/>
                <w:b/>
                <w:color w:val="auto"/>
                <w:sz w:val="28"/>
                <w:szCs w:val="28"/>
              </w:rPr>
            </w:pPr>
            <w:r>
              <w:rPr>
                <w:rFonts w:hint="eastAsia" w:ascii="宋体" w:hAnsi="宋体"/>
                <w:b/>
                <w:color w:val="auto"/>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rPr>
            </w:pPr>
          </w:p>
        </w:tc>
        <w:tc>
          <w:tcPr>
            <w:tcW w:w="2130" w:type="dxa"/>
            <w:gridSpan w:val="2"/>
            <w:vAlign w:val="center"/>
          </w:tcPr>
          <w:p>
            <w:pPr>
              <w:spacing w:line="360" w:lineRule="auto"/>
              <w:jc w:val="center"/>
              <w:rPr>
                <w:rFonts w:ascii="宋体"/>
                <w:color w:val="auto"/>
                <w:sz w:val="28"/>
                <w:szCs w:val="28"/>
              </w:rPr>
            </w:pPr>
            <w:r>
              <w:rPr>
                <w:rFonts w:hint="eastAsia" w:ascii="宋体" w:hAnsi="宋体"/>
                <w:color w:val="auto"/>
                <w:sz w:val="28"/>
                <w:szCs w:val="28"/>
              </w:rPr>
              <w:t>合计总价</w:t>
            </w:r>
          </w:p>
        </w:tc>
        <w:tc>
          <w:tcPr>
            <w:tcW w:w="6392" w:type="dxa"/>
            <w:gridSpan w:val="6"/>
            <w:vAlign w:val="center"/>
          </w:tcPr>
          <w:p>
            <w:pPr>
              <w:spacing w:line="360" w:lineRule="auto"/>
              <w:rPr>
                <w:rFonts w:ascii="宋体"/>
                <w:color w:val="auto"/>
                <w:sz w:val="28"/>
                <w:szCs w:val="28"/>
                <w:u w:val="single"/>
              </w:rPr>
            </w:pPr>
            <w:r>
              <w:rPr>
                <w:rFonts w:hint="eastAsia" w:ascii="宋体" w:hAnsi="宋体"/>
                <w:color w:val="auto"/>
                <w:sz w:val="28"/>
                <w:szCs w:val="28"/>
              </w:rPr>
              <w:t>大写：小写：元</w:t>
            </w:r>
          </w:p>
        </w:tc>
      </w:tr>
    </w:tbl>
    <w:p>
      <w:pPr>
        <w:spacing w:line="360" w:lineRule="auto"/>
        <w:rPr>
          <w:rFonts w:ascii="宋体"/>
          <w:color w:val="auto"/>
          <w:sz w:val="28"/>
          <w:szCs w:val="28"/>
        </w:rPr>
      </w:pPr>
      <w:r>
        <w:rPr>
          <w:rFonts w:hint="eastAsia" w:ascii="宋体" w:hAnsi="宋体"/>
          <w:color w:val="auto"/>
          <w:sz w:val="28"/>
          <w:szCs w:val="28"/>
        </w:rPr>
        <w:t>（可续页）</w:t>
      </w:r>
    </w:p>
    <w:p>
      <w:pPr>
        <w:spacing w:line="360" w:lineRule="auto"/>
        <w:rPr>
          <w:rFonts w:ascii="宋体"/>
          <w:color w:val="auto"/>
          <w:sz w:val="28"/>
          <w:szCs w:val="28"/>
        </w:rPr>
      </w:pPr>
    </w:p>
    <w:p>
      <w:pPr>
        <w:spacing w:line="360" w:lineRule="auto"/>
        <w:rPr>
          <w:rFonts w:ascii="宋体"/>
          <w:color w:val="auto"/>
          <w:sz w:val="28"/>
          <w:szCs w:val="28"/>
          <w:u w:val="single"/>
        </w:rPr>
      </w:pPr>
      <w:r>
        <w:rPr>
          <w:rFonts w:hint="eastAsia" w:ascii="宋体" w:hAnsi="宋体"/>
          <w:color w:val="auto"/>
          <w:sz w:val="28"/>
          <w:szCs w:val="28"/>
        </w:rPr>
        <w:t>单位盖章：</w:t>
      </w:r>
    </w:p>
    <w:p>
      <w:pPr>
        <w:spacing w:line="360" w:lineRule="auto"/>
        <w:rPr>
          <w:rFonts w:ascii="宋体"/>
          <w:color w:val="auto"/>
          <w:sz w:val="28"/>
          <w:szCs w:val="28"/>
          <w:u w:val="single"/>
        </w:rPr>
      </w:pPr>
      <w:r>
        <w:rPr>
          <w:rFonts w:hint="eastAsia" w:ascii="宋体" w:hAnsi="宋体"/>
          <w:color w:val="auto"/>
          <w:sz w:val="28"/>
          <w:szCs w:val="28"/>
        </w:rPr>
        <w:t>授权代表签字：</w:t>
      </w:r>
    </w:p>
    <w:p>
      <w:pPr>
        <w:spacing w:line="360" w:lineRule="auto"/>
        <w:rPr>
          <w:rFonts w:ascii="宋体"/>
          <w:color w:val="auto"/>
          <w:sz w:val="28"/>
          <w:szCs w:val="28"/>
        </w:rPr>
      </w:pPr>
    </w:p>
    <w:p>
      <w:pPr>
        <w:spacing w:line="360" w:lineRule="auto"/>
        <w:rPr>
          <w:rFonts w:ascii="宋体"/>
          <w:color w:val="auto"/>
          <w:sz w:val="28"/>
          <w:szCs w:val="28"/>
        </w:rPr>
      </w:pPr>
      <w:r>
        <w:rPr>
          <w:rFonts w:hint="eastAsia" w:ascii="宋体" w:hAnsi="宋体"/>
          <w:color w:val="auto"/>
          <w:sz w:val="28"/>
          <w:szCs w:val="28"/>
        </w:rPr>
        <w:t>年月日</w:t>
      </w:r>
    </w:p>
    <w:p>
      <w:pPr>
        <w:jc w:val="left"/>
        <w:rPr>
          <w:b/>
          <w:color w:val="auto"/>
          <w:sz w:val="28"/>
          <w:szCs w:val="28"/>
        </w:rPr>
      </w:pPr>
    </w:p>
    <w:bookmarkEnd w:id="9"/>
    <w:bookmarkEnd w:id="10"/>
    <w:p>
      <w:pPr>
        <w:jc w:val="left"/>
        <w:rPr>
          <w:b/>
          <w:color w:val="auto"/>
          <w:sz w:val="28"/>
          <w:szCs w:val="28"/>
        </w:rPr>
      </w:pPr>
      <w:r>
        <w:rPr>
          <w:rFonts w:hint="eastAsia"/>
          <w:b/>
          <w:color w:val="auto"/>
          <w:sz w:val="28"/>
          <w:szCs w:val="28"/>
        </w:rPr>
        <w:t>附件</w:t>
      </w:r>
      <w:r>
        <w:rPr>
          <w:b/>
          <w:color w:val="auto"/>
          <w:sz w:val="28"/>
          <w:szCs w:val="28"/>
        </w:rPr>
        <w:t>4</w:t>
      </w:r>
      <w:r>
        <w:rPr>
          <w:rFonts w:hint="eastAsia"/>
          <w:b/>
          <w:color w:val="auto"/>
          <w:sz w:val="28"/>
          <w:szCs w:val="28"/>
        </w:rPr>
        <w:t>：质保期及售后服务要求</w:t>
      </w:r>
    </w:p>
    <w:p>
      <w:pPr>
        <w:widowControl/>
        <w:adjustRightInd w:val="0"/>
        <w:snapToGrid w:val="0"/>
        <w:spacing w:before="156" w:beforeLines="50" w:line="360" w:lineRule="auto"/>
        <w:ind w:firstLine="420" w:firstLineChars="200"/>
        <w:rPr>
          <w:rFonts w:ascii="宋体" w:hAnsi="宋体"/>
          <w:bCs/>
          <w:color w:val="auto"/>
        </w:rPr>
      </w:pPr>
      <w:r>
        <w:rPr>
          <w:rFonts w:ascii="宋体" w:hAnsi="宋体"/>
          <w:bCs/>
          <w:color w:val="auto"/>
        </w:rPr>
        <w:t>1.</w:t>
      </w:r>
      <w:r>
        <w:rPr>
          <w:rFonts w:hint="eastAsia" w:ascii="宋体" w:hAnsi="宋体"/>
          <w:bCs/>
          <w:color w:val="auto"/>
        </w:rPr>
        <w:t>中标单位应在中标后三个工作日内，提供试用软件给用户，用户根据招标参数进行逐一测试试用，试用全部通过后才能执行合同签署流程，测试中发现虚假应标的行为将取消中标资格并保留对该厂商追究相关责任的权利。</w:t>
      </w:r>
    </w:p>
    <w:p>
      <w:pPr>
        <w:widowControl/>
        <w:adjustRightInd w:val="0"/>
        <w:snapToGrid w:val="0"/>
        <w:spacing w:line="360" w:lineRule="auto"/>
        <w:ind w:firstLine="420" w:firstLineChars="200"/>
        <w:rPr>
          <w:rFonts w:ascii="宋体" w:hAnsi="宋体"/>
          <w:bCs/>
          <w:color w:val="auto"/>
        </w:rPr>
      </w:pPr>
      <w:r>
        <w:rPr>
          <w:rFonts w:ascii="宋体" w:hAnsi="宋体"/>
          <w:bCs/>
          <w:color w:val="auto"/>
        </w:rPr>
        <w:t>2.</w:t>
      </w:r>
      <w:r>
        <w:rPr>
          <w:rFonts w:hint="eastAsia" w:ascii="宋体" w:hAnsi="宋体"/>
          <w:bCs/>
          <w:color w:val="auto"/>
        </w:rPr>
        <w:t>所购产品质</w:t>
      </w:r>
      <w:r>
        <w:rPr>
          <w:rFonts w:hint="eastAsia" w:ascii="宋体" w:hAnsi="宋体"/>
          <w:color w:val="auto"/>
          <w:szCs w:val="21"/>
        </w:rPr>
        <w:t>保期为3年，中标单位在</w:t>
      </w:r>
      <w:r>
        <w:rPr>
          <w:rFonts w:hint="eastAsia" w:ascii="宋体" w:hAnsi="宋体"/>
          <w:bCs/>
          <w:color w:val="auto"/>
        </w:rPr>
        <w:t>质保期内提供免费升级、接口免费开放及免费个性化定制及维护。其他按有关规定执行(国际标准、国家标准、行业标准或企业标准)。</w:t>
      </w:r>
      <w:r>
        <w:rPr>
          <w:rFonts w:hint="eastAsia" w:ascii="宋体" w:hAnsi="宋体"/>
          <w:bCs/>
          <w:color w:val="auto"/>
        </w:rPr>
        <w:t>质保期从项目验收合格之日起算。</w:t>
      </w:r>
    </w:p>
    <w:p>
      <w:pPr>
        <w:widowControl/>
        <w:adjustRightInd w:val="0"/>
        <w:snapToGrid w:val="0"/>
        <w:spacing w:line="360" w:lineRule="auto"/>
        <w:ind w:firstLine="420" w:firstLineChars="200"/>
        <w:rPr>
          <w:rFonts w:ascii="宋体" w:hAnsi="宋体"/>
          <w:color w:val="auto"/>
          <w:szCs w:val="21"/>
        </w:rPr>
      </w:pPr>
      <w:r>
        <w:rPr>
          <w:rFonts w:ascii="宋体" w:hAnsi="宋体"/>
          <w:bCs/>
          <w:color w:val="auto"/>
        </w:rPr>
        <w:t>3.</w:t>
      </w:r>
      <w:r>
        <w:rPr>
          <w:rFonts w:hint="eastAsia" w:ascii="宋体" w:hAnsi="宋体"/>
          <w:color w:val="auto"/>
          <w:szCs w:val="21"/>
        </w:rPr>
        <w:t>质保期</w:t>
      </w:r>
      <w:r>
        <w:rPr>
          <w:rFonts w:ascii="宋体" w:hAnsi="宋体"/>
          <w:color w:val="auto"/>
          <w:szCs w:val="21"/>
        </w:rPr>
        <w:t>内，接到用户的</w:t>
      </w:r>
      <w:r>
        <w:rPr>
          <w:rFonts w:hint="eastAsia" w:ascii="宋体" w:hAnsi="宋体"/>
          <w:color w:val="auto"/>
          <w:szCs w:val="21"/>
        </w:rPr>
        <w:t>电话</w:t>
      </w:r>
      <w:r>
        <w:rPr>
          <w:rFonts w:ascii="宋体" w:hAnsi="宋体"/>
          <w:color w:val="auto"/>
          <w:szCs w:val="21"/>
        </w:rPr>
        <w:t>通知后，在</w:t>
      </w:r>
      <w:r>
        <w:rPr>
          <w:rFonts w:hint="eastAsia" w:ascii="宋体" w:hAnsi="宋体"/>
          <w:color w:val="auto"/>
          <w:szCs w:val="21"/>
        </w:rPr>
        <w:t>2小时</w:t>
      </w:r>
      <w:r>
        <w:rPr>
          <w:rFonts w:ascii="宋体" w:hAnsi="宋体"/>
          <w:color w:val="auto"/>
          <w:szCs w:val="21"/>
        </w:rPr>
        <w:t>内提供技术指导、邮件维护或远程维护，如需要，在</w:t>
      </w:r>
      <w:r>
        <w:rPr>
          <w:rFonts w:hint="eastAsia" w:ascii="宋体" w:hAnsi="宋体"/>
          <w:color w:val="auto"/>
          <w:szCs w:val="21"/>
        </w:rPr>
        <w:t>24</w:t>
      </w:r>
      <w:r>
        <w:rPr>
          <w:rFonts w:ascii="宋体" w:hAnsi="宋体"/>
          <w:color w:val="auto"/>
          <w:szCs w:val="21"/>
        </w:rPr>
        <w:t>小时内派出</w:t>
      </w:r>
      <w:r>
        <w:rPr>
          <w:rFonts w:hint="eastAsia" w:ascii="宋体" w:hAnsi="宋体"/>
          <w:color w:val="auto"/>
          <w:szCs w:val="21"/>
        </w:rPr>
        <w:t>技术</w:t>
      </w:r>
      <w:r>
        <w:rPr>
          <w:rFonts w:ascii="宋体" w:hAnsi="宋体"/>
          <w:color w:val="auto"/>
          <w:szCs w:val="21"/>
        </w:rPr>
        <w:t>人员到达用户现场进行</w:t>
      </w:r>
      <w:r>
        <w:rPr>
          <w:rFonts w:hint="eastAsia" w:ascii="宋体" w:hAnsi="宋体"/>
          <w:color w:val="auto"/>
          <w:szCs w:val="21"/>
        </w:rPr>
        <w:t>相关</w:t>
      </w:r>
      <w:r>
        <w:rPr>
          <w:rFonts w:ascii="宋体" w:hAnsi="宋体"/>
          <w:color w:val="auto"/>
          <w:szCs w:val="21"/>
        </w:rPr>
        <w:t>服务。</w:t>
      </w:r>
    </w:p>
    <w:p>
      <w:pPr>
        <w:widowControl/>
        <w:adjustRightInd w:val="0"/>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安装、调试、培训要求：项目实施阶段安排专业技术人员现场实施，中标单位对使用方进行使用培训，</w:t>
      </w:r>
      <w:r>
        <w:rPr>
          <w:rFonts w:hint="eastAsia" w:ascii="宋体" w:hAnsi="宋体"/>
          <w:color w:val="auto"/>
          <w:szCs w:val="21"/>
        </w:rPr>
        <w:t>培训费用由中标单位承担。</w:t>
      </w:r>
    </w:p>
    <w:p>
      <w:pPr>
        <w:widowControl/>
        <w:adjustRightInd w:val="0"/>
        <w:snapToGrid w:val="0"/>
        <w:spacing w:line="360" w:lineRule="auto"/>
        <w:ind w:firstLine="420" w:firstLineChars="200"/>
        <w:rPr>
          <w:rFonts w:ascii="宋体" w:hAnsi="宋体"/>
          <w:bCs/>
          <w:color w:val="auto"/>
        </w:rPr>
      </w:pPr>
      <w:r>
        <w:rPr>
          <w:rFonts w:ascii="宋体" w:hAnsi="宋体"/>
          <w:bCs/>
          <w:color w:val="auto"/>
        </w:rPr>
        <w:t>5.</w:t>
      </w:r>
      <w:r>
        <w:rPr>
          <w:rFonts w:hint="eastAsia" w:ascii="宋体" w:hAnsi="宋体"/>
          <w:bCs/>
          <w:color w:val="auto"/>
        </w:rPr>
        <w:t>交货时间：合同签订后15天内完成信息化平台的安装。</w:t>
      </w:r>
    </w:p>
    <w:p>
      <w:pPr>
        <w:widowControl/>
        <w:adjustRightInd w:val="0"/>
        <w:snapToGrid w:val="0"/>
        <w:spacing w:line="360" w:lineRule="auto"/>
        <w:ind w:firstLine="420" w:firstLineChars="200"/>
        <w:rPr>
          <w:rFonts w:ascii="宋体" w:hAnsi="宋体"/>
          <w:bCs/>
          <w:color w:val="auto"/>
        </w:rPr>
      </w:pPr>
      <w:r>
        <w:rPr>
          <w:rFonts w:ascii="宋体" w:hAnsi="宋体"/>
          <w:bCs/>
          <w:color w:val="auto"/>
        </w:rPr>
        <w:t>6</w:t>
      </w:r>
      <w:r>
        <w:rPr>
          <w:rFonts w:hint="eastAsia" w:ascii="宋体" w:hAnsi="宋体"/>
          <w:bCs/>
          <w:color w:val="auto"/>
        </w:rPr>
        <w:t>.验收：由使用方对所购产品进行验收，供货商需配合使用方完成验收工作。</w:t>
      </w:r>
      <w:r>
        <w:rPr>
          <w:rFonts w:hint="eastAsia" w:ascii="宋体" w:hAnsi="宋体"/>
          <w:bCs/>
          <w:color w:val="auto"/>
        </w:rPr>
        <w:t>平台验收前，需通过网络安全测试，否则验收不通过。</w:t>
      </w:r>
    </w:p>
    <w:p>
      <w:pPr>
        <w:pStyle w:val="8"/>
        <w:ind w:left="1438" w:leftChars="685"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0" w:leftChars="0" w:right="1470"/>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highlight w:val="yellow"/>
        </w:rPr>
      </w:pPr>
      <w:r>
        <w:rPr>
          <w:rFonts w:hint="eastAsia" w:ascii="宋体" w:hAnsi="宋体" w:cs="仿宋"/>
          <w:b/>
          <w:bCs/>
          <w:color w:val="auto"/>
          <w:sz w:val="28"/>
          <w:szCs w:val="28"/>
        </w:rPr>
        <w:t>附件</w:t>
      </w:r>
      <w:r>
        <w:rPr>
          <w:rFonts w:ascii="宋体" w:hAnsi="宋体" w:cs="仿宋"/>
          <w:b/>
          <w:bCs/>
          <w:color w:val="auto"/>
          <w:sz w:val="28"/>
          <w:szCs w:val="28"/>
        </w:rPr>
        <w:t>5</w:t>
      </w:r>
      <w:r>
        <w:rPr>
          <w:rFonts w:hint="eastAsia" w:ascii="宋体" w:hAnsi="宋体" w:cs="仿宋"/>
          <w:b/>
          <w:bCs/>
          <w:color w:val="auto"/>
          <w:sz w:val="28"/>
          <w:szCs w:val="28"/>
        </w:rPr>
        <w:t>：评标办法</w:t>
      </w:r>
    </w:p>
    <w:p>
      <w:pPr>
        <w:spacing w:line="360" w:lineRule="auto"/>
        <w:rPr>
          <w:color w:val="auto"/>
        </w:rPr>
      </w:pPr>
      <w:r>
        <w:rPr>
          <w:rFonts w:hint="eastAsia" w:ascii="宋体" w:hAnsi="宋体"/>
          <w:color w:val="auto"/>
          <w:sz w:val="24"/>
        </w:rPr>
        <w:t>本项目采用综合评分法，总分为：</w:t>
      </w:r>
      <w:r>
        <w:rPr>
          <w:rFonts w:ascii="宋体" w:hAnsi="宋体"/>
          <w:color w:val="auto"/>
          <w:sz w:val="24"/>
        </w:rPr>
        <w:t>100</w:t>
      </w:r>
      <w:r>
        <w:rPr>
          <w:rFonts w:hint="eastAsia" w:ascii="宋体" w:hAnsi="宋体"/>
          <w:color w:val="auto"/>
          <w:sz w:val="24"/>
        </w:rPr>
        <w:t>分。</w:t>
      </w:r>
    </w:p>
    <w:tbl>
      <w:tblPr>
        <w:tblStyle w:val="17"/>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9"/>
        <w:gridCol w:w="1332"/>
        <w:gridCol w:w="5330"/>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79" w:type="dxa"/>
          </w:tcPr>
          <w:p>
            <w:pPr>
              <w:kinsoku w:val="0"/>
              <w:overflowPunct w:val="0"/>
              <w:spacing w:before="88" w:after="120"/>
              <w:rPr>
                <w:rFonts w:ascii="宋体" w:hAnsi="宋体" w:cs="宋体"/>
                <w:color w:val="auto"/>
                <w:szCs w:val="21"/>
              </w:rPr>
            </w:pPr>
            <w:r>
              <w:rPr>
                <w:rFonts w:hint="eastAsia" w:ascii="宋体" w:hAnsi="宋体" w:cs="宋体"/>
                <w:color w:val="auto"/>
                <w:szCs w:val="21"/>
              </w:rPr>
              <w:t>序号</w:t>
            </w:r>
          </w:p>
        </w:tc>
        <w:tc>
          <w:tcPr>
            <w:tcW w:w="1332" w:type="dxa"/>
          </w:tcPr>
          <w:p>
            <w:pPr>
              <w:kinsoku w:val="0"/>
              <w:overflowPunct w:val="0"/>
              <w:spacing w:before="88" w:after="120"/>
              <w:jc w:val="center"/>
              <w:rPr>
                <w:rFonts w:ascii="宋体" w:hAnsi="宋体" w:cs="宋体"/>
                <w:color w:val="auto"/>
                <w:szCs w:val="21"/>
              </w:rPr>
            </w:pPr>
            <w:r>
              <w:rPr>
                <w:rFonts w:hint="eastAsia" w:ascii="宋体" w:hAnsi="宋体" w:cs="宋体"/>
                <w:color w:val="auto"/>
                <w:szCs w:val="21"/>
              </w:rPr>
              <w:t>评审因素</w:t>
            </w:r>
          </w:p>
        </w:tc>
        <w:tc>
          <w:tcPr>
            <w:tcW w:w="5330" w:type="dxa"/>
          </w:tcPr>
          <w:p>
            <w:pPr>
              <w:kinsoku w:val="0"/>
              <w:overflowPunct w:val="0"/>
              <w:spacing w:before="88" w:after="120"/>
              <w:ind w:right="34" w:rightChars="16"/>
              <w:jc w:val="center"/>
              <w:rPr>
                <w:rFonts w:ascii="宋体" w:hAnsi="宋体" w:cs="宋体"/>
                <w:color w:val="auto"/>
                <w:szCs w:val="21"/>
              </w:rPr>
            </w:pPr>
            <w:r>
              <w:rPr>
                <w:rFonts w:hint="eastAsia" w:ascii="宋体" w:hAnsi="宋体" w:cs="宋体"/>
                <w:color w:val="auto"/>
                <w:szCs w:val="21"/>
              </w:rPr>
              <w:t>评分细节</w:t>
            </w:r>
          </w:p>
        </w:tc>
        <w:tc>
          <w:tcPr>
            <w:tcW w:w="1096" w:type="dxa"/>
          </w:tcPr>
          <w:p>
            <w:pPr>
              <w:kinsoku w:val="0"/>
              <w:overflowPunct w:val="0"/>
              <w:spacing w:before="88" w:after="120"/>
              <w:ind w:left="172"/>
              <w:rPr>
                <w:rFonts w:ascii="宋体" w:hAnsi="宋体" w:cs="宋体"/>
                <w:color w:val="auto"/>
                <w:szCs w:val="21"/>
              </w:rPr>
            </w:pPr>
            <w:r>
              <w:rPr>
                <w:rFonts w:hint="eastAsia" w:ascii="宋体" w:hAnsi="宋体" w:cs="宋体"/>
                <w:color w:val="auto"/>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9537" w:type="dxa"/>
            <w:gridSpan w:val="4"/>
          </w:tcPr>
          <w:p>
            <w:pPr>
              <w:spacing w:line="360" w:lineRule="exact"/>
              <w:rPr>
                <w:rFonts w:ascii="宋体" w:hAnsi="宋体" w:cs="宋体"/>
                <w:color w:val="auto"/>
                <w:szCs w:val="21"/>
              </w:rPr>
            </w:pPr>
            <w:r>
              <w:rPr>
                <w:rFonts w:hint="eastAsia" w:ascii="宋体" w:hAnsi="宋体" w:cs="宋体"/>
                <w:color w:val="auto"/>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779" w:type="dxa"/>
            <w:vAlign w:val="center"/>
          </w:tcPr>
          <w:p>
            <w:pPr>
              <w:kinsoku w:val="0"/>
              <w:overflowPunct w:val="0"/>
              <w:spacing w:after="120" w:line="360" w:lineRule="exact"/>
              <w:jc w:val="center"/>
              <w:rPr>
                <w:rFonts w:ascii="宋体" w:hAnsi="宋体" w:cs="宋体"/>
                <w:color w:val="auto"/>
                <w:szCs w:val="21"/>
              </w:rPr>
            </w:pPr>
            <w:r>
              <w:rPr>
                <w:rFonts w:hint="eastAsia" w:ascii="宋体" w:hAnsi="宋体" w:cs="宋体"/>
                <w:color w:val="auto"/>
                <w:szCs w:val="21"/>
              </w:rPr>
              <w:t>1.1</w:t>
            </w:r>
          </w:p>
        </w:tc>
        <w:tc>
          <w:tcPr>
            <w:tcW w:w="1332" w:type="dxa"/>
            <w:vAlign w:val="center"/>
          </w:tcPr>
          <w:p>
            <w:pPr>
              <w:kinsoku w:val="0"/>
              <w:overflowPunct w:val="0"/>
              <w:spacing w:after="120" w:line="360" w:lineRule="exact"/>
              <w:ind w:right="155"/>
              <w:jc w:val="center"/>
              <w:rPr>
                <w:rFonts w:ascii="宋体" w:hAnsi="宋体" w:cs="宋体"/>
                <w:color w:val="auto"/>
                <w:szCs w:val="21"/>
              </w:rPr>
            </w:pPr>
            <w:r>
              <w:rPr>
                <w:rFonts w:hint="eastAsia" w:ascii="宋体" w:hAnsi="宋体" w:cs="宋体"/>
                <w:color w:val="auto"/>
                <w:szCs w:val="21"/>
              </w:rPr>
              <w:t>投标报价</w:t>
            </w:r>
          </w:p>
        </w:tc>
        <w:tc>
          <w:tcPr>
            <w:tcW w:w="5330" w:type="dxa"/>
          </w:tcPr>
          <w:p>
            <w:pPr>
              <w:spacing w:line="320" w:lineRule="exact"/>
              <w:rPr>
                <w:rFonts w:ascii="宋体" w:hAnsi="宋体" w:cs="宋体"/>
                <w:color w:val="auto"/>
                <w:kern w:val="0"/>
                <w:szCs w:val="21"/>
              </w:rPr>
            </w:pPr>
            <w:r>
              <w:rPr>
                <w:rFonts w:hint="eastAsia" w:ascii="宋体" w:hAnsi="宋体" w:cs="宋体"/>
                <w:color w:val="auto"/>
                <w:kern w:val="0"/>
                <w:szCs w:val="21"/>
              </w:rPr>
              <w:t>价格分采用低价优先法计算，即满足招标文件要求且投标价格最低的投标报价为评标基准价，其价格分为满分30分。其他投标人的价格分按照下列公式计算：</w:t>
            </w:r>
          </w:p>
          <w:p>
            <w:pPr>
              <w:spacing w:line="320" w:lineRule="exact"/>
              <w:rPr>
                <w:rFonts w:ascii="宋体" w:hAnsi="宋体" w:cs="宋体"/>
                <w:color w:val="auto"/>
                <w:kern w:val="0"/>
                <w:szCs w:val="21"/>
              </w:rPr>
            </w:pPr>
            <w:r>
              <w:rPr>
                <w:rFonts w:hint="eastAsia" w:ascii="宋体" w:hAnsi="宋体" w:cs="宋体"/>
                <w:color w:val="auto"/>
                <w:kern w:val="0"/>
                <w:szCs w:val="21"/>
              </w:rPr>
              <w:t>投标报价得分=（评标基准价／投标报价）×30（精确到小数点后两位）</w:t>
            </w:r>
          </w:p>
        </w:tc>
        <w:tc>
          <w:tcPr>
            <w:tcW w:w="1096" w:type="dxa"/>
            <w:vAlign w:val="center"/>
          </w:tcPr>
          <w:p>
            <w:pPr>
              <w:spacing w:line="360" w:lineRule="exact"/>
              <w:jc w:val="center"/>
              <w:rPr>
                <w:rFonts w:ascii="宋体" w:hAnsi="宋体" w:cs="宋体"/>
                <w:color w:val="auto"/>
                <w:kern w:val="0"/>
                <w:szCs w:val="21"/>
              </w:rPr>
            </w:pPr>
            <w:r>
              <w:rPr>
                <w:rFonts w:hint="eastAsia" w:ascii="宋体" w:hAnsi="宋体" w:cs="宋体"/>
                <w:color w:val="auto"/>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9537" w:type="dxa"/>
            <w:gridSpan w:val="4"/>
          </w:tcPr>
          <w:p>
            <w:pPr>
              <w:spacing w:line="360" w:lineRule="exact"/>
              <w:rPr>
                <w:rFonts w:ascii="宋体" w:hAnsi="宋体" w:cs="宋体"/>
                <w:color w:val="auto"/>
                <w:kern w:val="0"/>
                <w:szCs w:val="21"/>
              </w:rPr>
            </w:pPr>
            <w:r>
              <w:rPr>
                <w:rFonts w:hint="eastAsia" w:ascii="宋体" w:hAnsi="宋体" w:cs="宋体"/>
                <w:color w:val="auto"/>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jc w:val="center"/>
        </w:trPr>
        <w:tc>
          <w:tcPr>
            <w:tcW w:w="1779" w:type="dxa"/>
            <w:vAlign w:val="center"/>
          </w:tcPr>
          <w:p>
            <w:pPr>
              <w:spacing w:line="360" w:lineRule="exact"/>
              <w:jc w:val="center"/>
              <w:rPr>
                <w:rFonts w:ascii="宋体" w:hAnsi="宋体" w:cs="宋体"/>
                <w:color w:val="auto"/>
                <w:kern w:val="0"/>
                <w:szCs w:val="21"/>
              </w:rPr>
            </w:pPr>
            <w:r>
              <w:rPr>
                <w:rFonts w:hint="eastAsia" w:ascii="宋体" w:hAnsi="宋体" w:cs="宋体"/>
                <w:color w:val="auto"/>
                <w:kern w:val="0"/>
                <w:szCs w:val="21"/>
              </w:rPr>
              <w:t>2.1</w:t>
            </w:r>
          </w:p>
        </w:tc>
        <w:tc>
          <w:tcPr>
            <w:tcW w:w="1332"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技术参数</w:t>
            </w:r>
          </w:p>
        </w:tc>
        <w:tc>
          <w:tcPr>
            <w:tcW w:w="5330" w:type="dxa"/>
          </w:tcPr>
          <w:p>
            <w:pPr>
              <w:spacing w:line="320" w:lineRule="exact"/>
              <w:rPr>
                <w:rFonts w:ascii="宋体" w:hAnsi="宋体" w:cs="宋体"/>
                <w:color w:val="auto"/>
                <w:kern w:val="0"/>
                <w:szCs w:val="21"/>
              </w:rPr>
            </w:pPr>
            <w:r>
              <w:rPr>
                <w:rFonts w:hint="eastAsia" w:ascii="宋体" w:hAnsi="宋体" w:cs="宋体"/>
                <w:color w:val="auto"/>
                <w:kern w:val="0"/>
                <w:szCs w:val="21"/>
              </w:rPr>
              <w:t>技术参数全部满足招标要求的得48分。打▲号指标为重要指标项，有一项负偏离此项不得分。非打▲号指标，如有一项负偏离扣3分（分值可以用户单位拟定），扣完为止。</w:t>
            </w:r>
          </w:p>
          <w:p>
            <w:pPr>
              <w:spacing w:line="320" w:lineRule="exact"/>
              <w:rPr>
                <w:color w:val="auto"/>
              </w:rPr>
            </w:pPr>
            <w:r>
              <w:rPr>
                <w:rFonts w:hint="eastAsia" w:ascii="宋体" w:hAnsi="宋体" w:cs="宋体"/>
                <w:color w:val="auto"/>
                <w:kern w:val="0"/>
                <w:szCs w:val="21"/>
              </w:rPr>
              <w:t>各投标单位应如实填写技术响应表，中标后产品经测试存在虚假应标，将取消中标资格。</w:t>
            </w:r>
          </w:p>
        </w:tc>
        <w:tc>
          <w:tcPr>
            <w:tcW w:w="1096" w:type="dxa"/>
            <w:vAlign w:val="center"/>
          </w:tcPr>
          <w:p>
            <w:pPr>
              <w:spacing w:line="360" w:lineRule="exact"/>
              <w:jc w:val="center"/>
              <w:rPr>
                <w:rFonts w:ascii="宋体" w:hAnsi="宋体" w:cs="宋体"/>
                <w:color w:val="auto"/>
                <w:kern w:val="0"/>
                <w:szCs w:val="21"/>
              </w:rPr>
            </w:pPr>
            <w:r>
              <w:rPr>
                <w:rFonts w:ascii="宋体" w:hAnsi="宋体" w:cs="宋体"/>
                <w:color w:val="auto"/>
                <w:kern w:val="0"/>
                <w:szCs w:val="21"/>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9537" w:type="dxa"/>
            <w:gridSpan w:val="4"/>
          </w:tcPr>
          <w:p>
            <w:pPr>
              <w:kinsoku w:val="0"/>
              <w:overflowPunct w:val="0"/>
              <w:spacing w:before="88" w:after="120" w:line="360" w:lineRule="exact"/>
              <w:rPr>
                <w:rFonts w:ascii="宋体" w:hAnsi="宋体" w:cs="宋体"/>
                <w:color w:val="auto"/>
                <w:szCs w:val="21"/>
              </w:rPr>
            </w:pPr>
            <w:r>
              <w:rPr>
                <w:rFonts w:hint="eastAsia" w:ascii="宋体" w:hAnsi="宋体" w:cs="宋体"/>
                <w:color w:val="auto"/>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1779" w:type="dxa"/>
            <w:vAlign w:val="center"/>
          </w:tcPr>
          <w:p>
            <w:pPr>
              <w:kinsoku w:val="0"/>
              <w:overflowPunct w:val="0"/>
              <w:spacing w:after="120" w:line="360" w:lineRule="exact"/>
              <w:jc w:val="center"/>
              <w:rPr>
                <w:rFonts w:ascii="宋体" w:hAnsi="宋体" w:cs="宋体"/>
                <w:color w:val="auto"/>
                <w:kern w:val="0"/>
                <w:szCs w:val="21"/>
              </w:rPr>
            </w:pPr>
            <w:r>
              <w:rPr>
                <w:rFonts w:hint="eastAsia" w:ascii="宋体" w:hAnsi="宋体" w:cs="宋体"/>
                <w:color w:val="auto"/>
                <w:szCs w:val="21"/>
              </w:rPr>
              <w:t>3.1</w:t>
            </w:r>
          </w:p>
        </w:tc>
        <w:tc>
          <w:tcPr>
            <w:tcW w:w="1332" w:type="dxa"/>
            <w:vAlign w:val="center"/>
          </w:tcPr>
          <w:p>
            <w:pPr>
              <w:kinsoku w:val="0"/>
              <w:overflowPunct w:val="0"/>
              <w:spacing w:after="120" w:line="360" w:lineRule="exact"/>
              <w:jc w:val="center"/>
              <w:rPr>
                <w:rFonts w:ascii="宋体" w:hAnsi="宋体" w:cs="宋体"/>
                <w:color w:val="auto"/>
                <w:szCs w:val="21"/>
              </w:rPr>
            </w:pPr>
            <w:r>
              <w:rPr>
                <w:rFonts w:hint="eastAsia" w:ascii="宋体" w:hAnsi="宋体" w:cs="宋体"/>
                <w:color w:val="auto"/>
                <w:szCs w:val="21"/>
              </w:rPr>
              <w:t>安装调试方案</w:t>
            </w:r>
          </w:p>
        </w:tc>
        <w:tc>
          <w:tcPr>
            <w:tcW w:w="5330" w:type="dxa"/>
            <w:vAlign w:val="center"/>
          </w:tcPr>
          <w:p>
            <w:pPr>
              <w:spacing w:line="320" w:lineRule="exact"/>
              <w:jc w:val="left"/>
              <w:rPr>
                <w:rFonts w:ascii="宋体" w:hAnsi="宋体" w:cs="宋体"/>
                <w:color w:val="auto"/>
                <w:kern w:val="0"/>
                <w:szCs w:val="21"/>
              </w:rPr>
            </w:pPr>
            <w:r>
              <w:rPr>
                <w:rFonts w:hint="eastAsia" w:ascii="宋体" w:hAnsi="宋体" w:cs="宋体"/>
                <w:color w:val="auto"/>
                <w:kern w:val="0"/>
                <w:szCs w:val="21"/>
              </w:rPr>
              <w:t>依据供应商提供的本次招标采购设备到校后的安装调试方案的完整性、合理性最优的得2分，一般得1分，其他不得分。</w:t>
            </w:r>
          </w:p>
        </w:tc>
        <w:tc>
          <w:tcPr>
            <w:tcW w:w="1096" w:type="dxa"/>
            <w:vAlign w:val="center"/>
          </w:tcPr>
          <w:p>
            <w:pPr>
              <w:spacing w:line="360" w:lineRule="exact"/>
              <w:jc w:val="center"/>
              <w:rPr>
                <w:rFonts w:ascii="宋体" w:hAnsi="宋体" w:cs="宋体"/>
                <w:color w:val="auto"/>
                <w:kern w:val="0"/>
                <w:szCs w:val="21"/>
              </w:rPr>
            </w:pPr>
            <w:r>
              <w:rPr>
                <w:rFonts w:ascii="宋体" w:hAnsi="宋体" w:cs="宋体"/>
                <w:color w:val="auto"/>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1779" w:type="dxa"/>
            <w:vAlign w:val="center"/>
          </w:tcPr>
          <w:p>
            <w:pPr>
              <w:spacing w:line="360" w:lineRule="exact"/>
              <w:jc w:val="center"/>
              <w:rPr>
                <w:rFonts w:ascii="宋体" w:hAnsi="宋体" w:cs="宋体"/>
                <w:color w:val="auto"/>
                <w:kern w:val="0"/>
                <w:szCs w:val="21"/>
              </w:rPr>
            </w:pPr>
            <w:r>
              <w:rPr>
                <w:rFonts w:hint="eastAsia" w:ascii="宋体" w:hAnsi="宋体" w:cs="宋体"/>
                <w:color w:val="auto"/>
                <w:kern w:val="0"/>
                <w:szCs w:val="21"/>
              </w:rPr>
              <w:t>3.2</w:t>
            </w:r>
          </w:p>
        </w:tc>
        <w:tc>
          <w:tcPr>
            <w:tcW w:w="1332" w:type="dxa"/>
            <w:vAlign w:val="center"/>
          </w:tcPr>
          <w:p>
            <w:pPr>
              <w:kinsoku w:val="0"/>
              <w:overflowPunct w:val="0"/>
              <w:spacing w:after="120" w:line="360" w:lineRule="exact"/>
              <w:jc w:val="center"/>
              <w:rPr>
                <w:rFonts w:ascii="宋体" w:hAnsi="宋体" w:cs="宋体"/>
                <w:color w:val="auto"/>
                <w:kern w:val="0"/>
                <w:szCs w:val="21"/>
              </w:rPr>
            </w:pPr>
            <w:r>
              <w:rPr>
                <w:rFonts w:hint="eastAsia" w:ascii="宋体" w:hAnsi="宋体" w:cs="宋体"/>
                <w:color w:val="auto"/>
                <w:szCs w:val="21"/>
              </w:rPr>
              <w:t>售后服务方案</w:t>
            </w:r>
          </w:p>
        </w:tc>
        <w:tc>
          <w:tcPr>
            <w:tcW w:w="5330" w:type="dxa"/>
            <w:vAlign w:val="center"/>
          </w:tcPr>
          <w:p>
            <w:pPr>
              <w:spacing w:line="320" w:lineRule="exact"/>
              <w:jc w:val="left"/>
              <w:rPr>
                <w:rFonts w:ascii="宋体" w:hAnsi="宋体" w:cs="宋体"/>
                <w:color w:val="auto"/>
                <w:kern w:val="0"/>
                <w:szCs w:val="21"/>
              </w:rPr>
            </w:pPr>
            <w:r>
              <w:rPr>
                <w:rFonts w:hint="eastAsia" w:ascii="宋体" w:hAnsi="宋体" w:cs="宋体"/>
                <w:color w:val="auto"/>
                <w:kern w:val="0"/>
                <w:szCs w:val="21"/>
              </w:rPr>
              <w:t>售后服务方案（服务体系、服务内容、故障解决方案、专业技术人员保障及服务电话）最优的得3分，一般得1分，其他不得分。</w:t>
            </w:r>
          </w:p>
        </w:tc>
        <w:tc>
          <w:tcPr>
            <w:tcW w:w="1096" w:type="dxa"/>
            <w:vAlign w:val="center"/>
          </w:tcPr>
          <w:p>
            <w:pPr>
              <w:spacing w:line="360" w:lineRule="exact"/>
              <w:jc w:val="center"/>
              <w:rPr>
                <w:rFonts w:ascii="宋体" w:hAnsi="宋体" w:cs="宋体"/>
                <w:color w:val="auto"/>
                <w:kern w:val="0"/>
                <w:szCs w:val="21"/>
              </w:rPr>
            </w:pPr>
            <w:r>
              <w:rPr>
                <w:rFonts w:hint="eastAsia" w:ascii="宋体" w:hAnsi="宋体" w:cs="宋体"/>
                <w:color w:val="auto"/>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37" w:type="dxa"/>
            <w:gridSpan w:val="4"/>
          </w:tcPr>
          <w:p>
            <w:pPr>
              <w:kinsoku w:val="0"/>
              <w:overflowPunct w:val="0"/>
              <w:spacing w:before="88" w:after="120" w:line="360" w:lineRule="exact"/>
              <w:ind w:left="123"/>
              <w:rPr>
                <w:rFonts w:ascii="宋体" w:hAnsi="宋体" w:cs="宋体"/>
                <w:color w:val="auto"/>
                <w:szCs w:val="21"/>
              </w:rPr>
            </w:pPr>
            <w:r>
              <w:rPr>
                <w:rFonts w:hint="eastAsia" w:ascii="宋体" w:hAnsi="宋体" w:cs="宋体"/>
                <w:color w:val="auto"/>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79" w:type="dxa"/>
            <w:vAlign w:val="center"/>
          </w:tcPr>
          <w:p>
            <w:pPr>
              <w:kinsoku w:val="0"/>
              <w:overflowPunct w:val="0"/>
              <w:spacing w:after="120" w:line="360" w:lineRule="exact"/>
              <w:ind w:left="213"/>
              <w:jc w:val="center"/>
              <w:rPr>
                <w:rFonts w:ascii="宋体" w:hAnsi="宋体" w:cs="宋体"/>
                <w:color w:val="auto"/>
                <w:szCs w:val="21"/>
              </w:rPr>
            </w:pPr>
            <w:r>
              <w:rPr>
                <w:rFonts w:hint="eastAsia" w:ascii="宋体" w:hAnsi="宋体" w:cs="宋体"/>
                <w:color w:val="auto"/>
                <w:szCs w:val="21"/>
              </w:rPr>
              <w:t>4.1</w:t>
            </w:r>
          </w:p>
        </w:tc>
        <w:tc>
          <w:tcPr>
            <w:tcW w:w="1332" w:type="dxa"/>
            <w:vAlign w:val="center"/>
          </w:tcPr>
          <w:p>
            <w:pPr>
              <w:kinsoku w:val="0"/>
              <w:overflowPunct w:val="0"/>
              <w:spacing w:after="120" w:line="360" w:lineRule="exact"/>
              <w:ind w:left="155" w:right="155"/>
              <w:jc w:val="center"/>
              <w:rPr>
                <w:rFonts w:ascii="宋体" w:hAnsi="宋体" w:cs="宋体"/>
                <w:color w:val="auto"/>
                <w:kern w:val="0"/>
                <w:szCs w:val="21"/>
              </w:rPr>
            </w:pPr>
            <w:r>
              <w:rPr>
                <w:rFonts w:hint="eastAsia" w:ascii="宋体" w:hAnsi="宋体" w:cs="宋体"/>
                <w:color w:val="auto"/>
                <w:szCs w:val="21"/>
              </w:rPr>
              <w:t>业绩</w:t>
            </w:r>
          </w:p>
        </w:tc>
        <w:tc>
          <w:tcPr>
            <w:tcW w:w="5330" w:type="dxa"/>
          </w:tcPr>
          <w:p>
            <w:pPr>
              <w:kinsoku w:val="0"/>
              <w:overflowPunct w:val="0"/>
              <w:spacing w:before="88" w:after="120" w:line="360" w:lineRule="exact"/>
              <w:ind w:right="155"/>
              <w:rPr>
                <w:rFonts w:ascii="宋体" w:hAnsi="宋体" w:cs="宋体"/>
                <w:color w:val="auto"/>
                <w:szCs w:val="21"/>
              </w:rPr>
            </w:pPr>
            <w:r>
              <w:rPr>
                <w:rFonts w:hint="eastAsia" w:ascii="宋体" w:hAnsi="宋体" w:cs="宋体"/>
                <w:color w:val="auto"/>
                <w:szCs w:val="21"/>
              </w:rPr>
              <w:t>依据投标人自201</w:t>
            </w:r>
            <w:r>
              <w:rPr>
                <w:rFonts w:ascii="宋体" w:hAnsi="宋体" w:cs="宋体"/>
                <w:color w:val="auto"/>
                <w:szCs w:val="21"/>
              </w:rPr>
              <w:t>9</w:t>
            </w:r>
            <w:r>
              <w:rPr>
                <w:rFonts w:hint="eastAsia" w:ascii="宋体" w:hAnsi="宋体" w:cs="宋体"/>
                <w:color w:val="auto"/>
                <w:szCs w:val="21"/>
              </w:rPr>
              <w:t>年</w:t>
            </w:r>
            <w:r>
              <w:rPr>
                <w:rFonts w:ascii="宋体" w:hAnsi="宋体" w:cs="宋体"/>
                <w:color w:val="auto"/>
                <w:szCs w:val="21"/>
              </w:rPr>
              <w:t>1</w:t>
            </w:r>
            <w:r>
              <w:rPr>
                <w:rFonts w:hint="eastAsia" w:ascii="宋体" w:hAnsi="宋体" w:cs="宋体"/>
                <w:color w:val="auto"/>
                <w:szCs w:val="21"/>
              </w:rPr>
              <w:t>月1日以来完成过同类项目案例，每提供一个得</w:t>
            </w:r>
            <w:r>
              <w:rPr>
                <w:rFonts w:ascii="宋体" w:hAnsi="宋体" w:cs="宋体"/>
                <w:color w:val="auto"/>
                <w:szCs w:val="21"/>
              </w:rPr>
              <w:t>1</w:t>
            </w:r>
            <w:r>
              <w:rPr>
                <w:rFonts w:hint="eastAsia" w:ascii="宋体" w:hAnsi="宋体" w:cs="宋体"/>
                <w:color w:val="auto"/>
                <w:szCs w:val="21"/>
              </w:rPr>
              <w:t>分，最多</w:t>
            </w:r>
            <w:r>
              <w:rPr>
                <w:rFonts w:ascii="宋体" w:hAnsi="宋体" w:cs="宋体"/>
                <w:color w:val="auto"/>
                <w:szCs w:val="21"/>
              </w:rPr>
              <w:t>5</w:t>
            </w:r>
            <w:r>
              <w:rPr>
                <w:rFonts w:hint="eastAsia" w:ascii="宋体" w:hAnsi="宋体" w:cs="宋体"/>
                <w:color w:val="auto"/>
                <w:szCs w:val="21"/>
              </w:rPr>
              <w:t>分。须提供有效的合同（时间以合同签订日期为准）。（复印件加盖公章，原件备查）。</w:t>
            </w:r>
          </w:p>
        </w:tc>
        <w:tc>
          <w:tcPr>
            <w:tcW w:w="1096" w:type="dxa"/>
            <w:vAlign w:val="center"/>
          </w:tcPr>
          <w:p>
            <w:pPr>
              <w:spacing w:line="360" w:lineRule="exact"/>
              <w:ind w:firstLine="210" w:firstLineChars="100"/>
              <w:jc w:val="center"/>
              <w:rPr>
                <w:rFonts w:ascii="宋体" w:hAnsi="宋体" w:cs="宋体"/>
                <w:color w:val="auto"/>
                <w:kern w:val="0"/>
                <w:szCs w:val="21"/>
              </w:rPr>
            </w:pPr>
            <w:r>
              <w:rPr>
                <w:rFonts w:ascii="宋体" w:hAnsi="宋体" w:cs="宋体"/>
                <w:color w:val="auto"/>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537" w:type="dxa"/>
            <w:gridSpan w:val="4"/>
          </w:tcPr>
          <w:p>
            <w:pPr>
              <w:kinsoku w:val="0"/>
              <w:overflowPunct w:val="0"/>
              <w:spacing w:before="88" w:after="120" w:line="360" w:lineRule="exact"/>
              <w:ind w:left="123"/>
              <w:rPr>
                <w:rFonts w:ascii="宋体" w:hAnsi="宋体" w:cs="宋体"/>
                <w:color w:val="auto"/>
                <w:szCs w:val="21"/>
              </w:rPr>
            </w:pPr>
            <w:r>
              <w:rPr>
                <w:rFonts w:hint="eastAsia" w:ascii="宋体" w:hAnsi="宋体" w:cs="宋体"/>
                <w:color w:val="auto"/>
                <w:szCs w:val="21"/>
              </w:rPr>
              <w:t>5、演示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779" w:type="dxa"/>
            <w:vAlign w:val="center"/>
          </w:tcPr>
          <w:p>
            <w:pPr>
              <w:kinsoku w:val="0"/>
              <w:overflowPunct w:val="0"/>
              <w:spacing w:after="120" w:line="360" w:lineRule="exact"/>
              <w:ind w:left="213"/>
              <w:jc w:val="center"/>
              <w:rPr>
                <w:rFonts w:ascii="宋体" w:hAnsi="宋体" w:cs="宋体"/>
                <w:color w:val="auto"/>
                <w:kern w:val="0"/>
                <w:szCs w:val="21"/>
              </w:rPr>
            </w:pPr>
            <w:r>
              <w:rPr>
                <w:rFonts w:hint="eastAsia" w:ascii="宋体" w:hAnsi="宋体" w:cs="宋体"/>
                <w:color w:val="auto"/>
                <w:szCs w:val="21"/>
              </w:rPr>
              <w:t>5.1</w:t>
            </w:r>
          </w:p>
        </w:tc>
        <w:tc>
          <w:tcPr>
            <w:tcW w:w="1332" w:type="dxa"/>
            <w:vAlign w:val="center"/>
          </w:tcPr>
          <w:p>
            <w:pPr>
              <w:kinsoku w:val="0"/>
              <w:overflowPunct w:val="0"/>
              <w:spacing w:after="120" w:line="360" w:lineRule="exact"/>
              <w:ind w:firstLine="210" w:firstLineChars="100"/>
              <w:jc w:val="center"/>
              <w:rPr>
                <w:rFonts w:ascii="宋体" w:hAnsi="宋体" w:cs="宋体"/>
                <w:color w:val="auto"/>
                <w:kern w:val="0"/>
                <w:szCs w:val="21"/>
              </w:rPr>
            </w:pPr>
            <w:r>
              <w:rPr>
                <w:rFonts w:hint="eastAsia"/>
                <w:color w:val="auto"/>
                <w:szCs w:val="21"/>
              </w:rPr>
              <w:t>演示</w:t>
            </w:r>
          </w:p>
        </w:tc>
        <w:tc>
          <w:tcPr>
            <w:tcW w:w="5330" w:type="dxa"/>
          </w:tcPr>
          <w:p>
            <w:pPr>
              <w:spacing w:line="320" w:lineRule="exact"/>
              <w:jc w:val="left"/>
              <w:rPr>
                <w:rFonts w:ascii="宋体" w:hAnsi="宋体" w:cs="宋体"/>
                <w:color w:val="auto"/>
                <w:kern w:val="0"/>
                <w:szCs w:val="21"/>
              </w:rPr>
            </w:pPr>
            <w:r>
              <w:rPr>
                <w:rFonts w:hint="eastAsia" w:ascii="宋体" w:hAnsi="宋体" w:cs="宋体"/>
                <w:color w:val="auto"/>
                <w:kern w:val="0"/>
                <w:szCs w:val="21"/>
              </w:rPr>
              <w:t>投标单位按要求对</w:t>
            </w:r>
            <w:r>
              <w:rPr>
                <w:rFonts w:hint="eastAsia" w:ascii="宋体" w:hAnsi="宋体" w:cs="宋体"/>
                <w:color w:val="auto"/>
                <w:szCs w:val="21"/>
              </w:rPr>
              <w:t>▲技术指标进行演示，</w:t>
            </w:r>
            <w:r>
              <w:rPr>
                <w:rFonts w:hint="eastAsia" w:ascii="宋体" w:hAnsi="宋体" w:cs="宋体"/>
                <w:color w:val="auto"/>
                <w:kern w:val="0"/>
                <w:szCs w:val="21"/>
              </w:rPr>
              <w:t>总时间不得超过5分钟，视频格式为</w:t>
            </w:r>
            <w:r>
              <w:rPr>
                <w:rFonts w:ascii="宋体" w:hAnsi="宋体" w:cs="宋体"/>
                <w:color w:val="auto"/>
                <w:kern w:val="0"/>
                <w:szCs w:val="21"/>
              </w:rPr>
              <w:t>mp</w:t>
            </w: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以</w:t>
            </w:r>
            <w:r>
              <w:rPr>
                <w:rFonts w:ascii="宋体" w:hAnsi="宋体" w:cs="宋体"/>
                <w:color w:val="auto"/>
                <w:kern w:val="0"/>
                <w:szCs w:val="21"/>
              </w:rPr>
              <w:t>U</w:t>
            </w:r>
            <w:r>
              <w:rPr>
                <w:rFonts w:hint="eastAsia" w:ascii="宋体" w:hAnsi="宋体" w:cs="宋体"/>
                <w:color w:val="auto"/>
                <w:kern w:val="0"/>
                <w:szCs w:val="21"/>
              </w:rPr>
              <w:t>盘储存提交。</w:t>
            </w:r>
          </w:p>
          <w:p>
            <w:pPr>
              <w:spacing w:line="320" w:lineRule="exact"/>
              <w:jc w:val="left"/>
              <w:rPr>
                <w:rFonts w:ascii="宋体" w:hAnsi="宋体" w:cs="宋体"/>
                <w:color w:val="auto"/>
                <w:szCs w:val="21"/>
              </w:rPr>
            </w:pPr>
            <w:r>
              <w:rPr>
                <w:rFonts w:hint="eastAsia" w:ascii="宋体" w:hAnsi="宋体" w:cs="宋体"/>
                <w:color w:val="auto"/>
                <w:kern w:val="0"/>
                <w:szCs w:val="21"/>
              </w:rPr>
              <w:t>演示内容功能齐全且符合项目要求的，按演示效果优异得10分，演示效果中等得5分，一般得2分。不演示不得分。</w:t>
            </w:r>
          </w:p>
        </w:tc>
        <w:tc>
          <w:tcPr>
            <w:tcW w:w="1096" w:type="dxa"/>
            <w:vAlign w:val="center"/>
          </w:tcPr>
          <w:p>
            <w:pPr>
              <w:spacing w:line="360" w:lineRule="exact"/>
              <w:ind w:firstLine="210" w:firstLineChars="100"/>
              <w:jc w:val="center"/>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9537" w:type="dxa"/>
            <w:gridSpan w:val="4"/>
            <w:vAlign w:val="center"/>
          </w:tcPr>
          <w:p>
            <w:pPr>
              <w:spacing w:line="360"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6</w:t>
            </w:r>
            <w:r>
              <w:rPr>
                <w:rFonts w:ascii="宋体" w:hAnsi="宋体" w:cs="宋体"/>
                <w:color w:val="auto"/>
                <w:kern w:val="0"/>
                <w:szCs w:val="21"/>
              </w:rPr>
              <w:t>.</w:t>
            </w:r>
            <w:r>
              <w:rPr>
                <w:rFonts w:hint="eastAsia" w:ascii="宋体" w:hAnsi="宋体" w:cs="宋体"/>
                <w:color w:val="auto"/>
                <w:kern w:val="0"/>
                <w:szCs w:val="21"/>
              </w:rPr>
              <w:t>投标文件制作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1779" w:type="dxa"/>
            <w:vAlign w:val="center"/>
          </w:tcPr>
          <w:p>
            <w:pPr>
              <w:kinsoku w:val="0"/>
              <w:overflowPunct w:val="0"/>
              <w:spacing w:after="120" w:line="360" w:lineRule="exact"/>
              <w:ind w:left="213"/>
              <w:jc w:val="center"/>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.1</w:t>
            </w:r>
          </w:p>
        </w:tc>
        <w:tc>
          <w:tcPr>
            <w:tcW w:w="1332" w:type="dxa"/>
            <w:vAlign w:val="center"/>
          </w:tcPr>
          <w:p>
            <w:pPr>
              <w:kinsoku w:val="0"/>
              <w:overflowPunct w:val="0"/>
              <w:spacing w:after="120" w:line="360" w:lineRule="exact"/>
              <w:ind w:firstLine="210" w:firstLineChars="100"/>
              <w:jc w:val="center"/>
              <w:rPr>
                <w:color w:val="auto"/>
                <w:szCs w:val="21"/>
              </w:rPr>
            </w:pPr>
            <w:r>
              <w:rPr>
                <w:rFonts w:hint="eastAsia" w:ascii="宋体" w:hAnsi="宋体" w:cs="宋体"/>
                <w:color w:val="auto"/>
                <w:kern w:val="0"/>
                <w:szCs w:val="21"/>
              </w:rPr>
              <w:t>投标文件便于评审</w:t>
            </w:r>
          </w:p>
        </w:tc>
        <w:tc>
          <w:tcPr>
            <w:tcW w:w="5330" w:type="dxa"/>
          </w:tcPr>
          <w:p>
            <w:pPr>
              <w:kinsoku w:val="0"/>
              <w:overflowPunct w:val="0"/>
              <w:spacing w:before="88" w:after="120" w:line="360" w:lineRule="exact"/>
              <w:ind w:right="155"/>
              <w:rPr>
                <w:rFonts w:ascii="宋体" w:hAnsi="宋体" w:cs="宋体"/>
                <w:color w:val="auto"/>
                <w:kern w:val="0"/>
                <w:szCs w:val="21"/>
              </w:rPr>
            </w:pPr>
            <w:r>
              <w:rPr>
                <w:rFonts w:hint="eastAsia" w:ascii="宋体" w:hAnsi="宋体" w:cs="宋体"/>
                <w:color w:val="auto"/>
                <w:kern w:val="0"/>
                <w:szCs w:val="21"/>
              </w:rPr>
              <w:t>文件内容完备，格式规范，封装整齐，满足招标文件要求得2分。未经胶封（如文件夹或订书机等）此项不得分。</w:t>
            </w:r>
          </w:p>
        </w:tc>
        <w:tc>
          <w:tcPr>
            <w:tcW w:w="1096" w:type="dxa"/>
            <w:vAlign w:val="center"/>
          </w:tcPr>
          <w:p>
            <w:pPr>
              <w:spacing w:line="360" w:lineRule="exact"/>
              <w:ind w:firstLine="210" w:firstLineChars="100"/>
              <w:jc w:val="center"/>
              <w:rPr>
                <w:rFonts w:ascii="宋体" w:hAnsi="宋体" w:cs="宋体"/>
                <w:color w:val="auto"/>
                <w:kern w:val="0"/>
                <w:szCs w:val="21"/>
              </w:rPr>
            </w:pPr>
            <w:r>
              <w:rPr>
                <w:rFonts w:hint="eastAsia" w:ascii="宋体" w:hAnsi="宋体" w:cs="宋体"/>
                <w:color w:val="auto"/>
                <w:kern w:val="0"/>
                <w:szCs w:val="21"/>
              </w:rPr>
              <w:t>2</w:t>
            </w:r>
          </w:p>
        </w:tc>
      </w:tr>
    </w:tbl>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r>
        <w:rPr>
          <w:rFonts w:hint="eastAsia" w:ascii="宋体"/>
          <w:b/>
          <w:bCs/>
          <w:color w:val="auto"/>
          <w:highlight w:val="none"/>
        </w:rPr>
        <w:t>（本部分内容由南京信息工程大学</w:t>
      </w:r>
      <w:r>
        <w:rPr>
          <w:rFonts w:hint="eastAsia" w:ascii="宋体"/>
          <w:b/>
          <w:bCs/>
          <w:color w:val="auto"/>
          <w:highlight w:val="none"/>
          <w:lang w:val="en-US" w:eastAsia="zh-CN"/>
        </w:rPr>
        <w:t>教务处</w:t>
      </w:r>
      <w:r>
        <w:rPr>
          <w:rFonts w:hint="eastAsia" w:ascii="宋体"/>
          <w:b/>
          <w:bCs/>
          <w:color w:val="auto"/>
          <w:highlight w:val="none"/>
        </w:rPr>
        <w:t>提供并负责）</w:t>
      </w: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widowControl/>
        <w:jc w:val="left"/>
        <w:rPr>
          <w:b/>
          <w:color w:val="auto"/>
          <w:sz w:val="28"/>
          <w:szCs w:val="28"/>
        </w:rPr>
      </w:pPr>
      <w:r>
        <w:rPr>
          <w:b/>
          <w:color w:val="auto"/>
          <w:sz w:val="28"/>
          <w:szCs w:val="28"/>
        </w:rPr>
        <w:br w:type="page"/>
      </w:r>
    </w:p>
    <w:p>
      <w:pPr>
        <w:spacing w:line="360" w:lineRule="auto"/>
        <w:rPr>
          <w:b/>
          <w:color w:val="auto"/>
          <w:sz w:val="28"/>
          <w:szCs w:val="28"/>
        </w:rPr>
      </w:pPr>
      <w:r>
        <w:rPr>
          <w:rFonts w:hint="eastAsia"/>
          <w:b/>
          <w:color w:val="auto"/>
          <w:sz w:val="28"/>
          <w:szCs w:val="28"/>
        </w:rPr>
        <w:t>附件</w:t>
      </w:r>
      <w:r>
        <w:rPr>
          <w:b/>
          <w:color w:val="auto"/>
          <w:sz w:val="28"/>
          <w:szCs w:val="28"/>
        </w:rPr>
        <w:t>6</w:t>
      </w:r>
      <w:r>
        <w:rPr>
          <w:rFonts w:hint="eastAsia"/>
          <w:b/>
          <w:color w:val="auto"/>
          <w:sz w:val="28"/>
          <w:szCs w:val="28"/>
        </w:rPr>
        <w:t>：</w:t>
      </w:r>
    </w:p>
    <w:p>
      <w:pPr>
        <w:adjustRightInd w:val="0"/>
        <w:snapToGrid w:val="0"/>
        <w:spacing w:before="156" w:beforeLines="50" w:after="156" w:afterLines="50" w:line="360" w:lineRule="auto"/>
        <w:jc w:val="center"/>
        <w:outlineLvl w:val="0"/>
        <w:rPr>
          <w:rFonts w:ascii="黑体" w:hAnsi="黑体" w:eastAsia="黑体"/>
          <w:b/>
          <w:bCs/>
          <w:color w:val="auto"/>
          <w:sz w:val="34"/>
        </w:rPr>
      </w:pPr>
      <w:r>
        <w:rPr>
          <w:rFonts w:hint="eastAsia" w:ascii="黑体" w:hAnsi="黑体" w:eastAsia="黑体"/>
          <w:b/>
          <w:color w:val="auto"/>
          <w:sz w:val="34"/>
        </w:rPr>
        <w:t>采购合同</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项目名称：</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项目编号：</w:t>
      </w:r>
    </w:p>
    <w:p>
      <w:pPr>
        <w:pStyle w:val="10"/>
        <w:adjustRightInd w:val="0"/>
        <w:snapToGrid w:val="0"/>
        <w:spacing w:before="120" w:after="120" w:line="360" w:lineRule="auto"/>
        <w:ind w:firstLine="658"/>
        <w:rPr>
          <w:rFonts w:hAnsi="宋体"/>
          <w:color w:val="auto"/>
          <w:sz w:val="24"/>
          <w:szCs w:val="24"/>
          <w:u w:val="single"/>
        </w:rPr>
      </w:pPr>
      <w:r>
        <w:rPr>
          <w:rFonts w:hint="eastAsia" w:hAnsi="宋体"/>
          <w:color w:val="auto"/>
          <w:sz w:val="24"/>
          <w:szCs w:val="24"/>
        </w:rPr>
        <w:t>甲方：（买方）</w:t>
      </w:r>
      <w:r>
        <w:rPr>
          <w:rFonts w:hAnsi="宋体"/>
          <w:color w:val="auto"/>
          <w:sz w:val="24"/>
          <w:szCs w:val="24"/>
        </w:rPr>
        <w:t>__________________</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乙方：（卖方）</w:t>
      </w:r>
      <w:r>
        <w:rPr>
          <w:rFonts w:hAnsi="宋体"/>
          <w:color w:val="auto"/>
          <w:sz w:val="24"/>
          <w:szCs w:val="24"/>
        </w:rPr>
        <w:t>__________________</w:t>
      </w:r>
    </w:p>
    <w:p>
      <w:pPr>
        <w:pStyle w:val="10"/>
        <w:adjustRightInd w:val="0"/>
        <w:snapToGrid w:val="0"/>
        <w:spacing w:before="120" w:after="120" w:line="360" w:lineRule="auto"/>
        <w:ind w:firstLine="658"/>
        <w:rPr>
          <w:rFonts w:hAnsi="宋体"/>
          <w:b/>
          <w:color w:val="auto"/>
          <w:sz w:val="24"/>
          <w:szCs w:val="24"/>
        </w:rPr>
      </w:pPr>
      <w:r>
        <w:rPr>
          <w:rFonts w:hint="eastAsia" w:hAnsi="宋体"/>
          <w:color w:val="auto"/>
          <w:sz w:val="24"/>
          <w:szCs w:val="24"/>
        </w:rPr>
        <w:t>甲、乙双方根据甲方项目采购谈判的结果，签署本合同。</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rPr>
            </w:pPr>
            <w:r>
              <w:rPr>
                <w:rFonts w:hint="eastAsia" w:ascii="宋体" w:hAnsi="宋体"/>
                <w:b/>
                <w:color w:val="auto"/>
                <w:sz w:val="24"/>
              </w:rPr>
              <w:t>分包号</w:t>
            </w:r>
          </w:p>
        </w:tc>
        <w:tc>
          <w:tcPr>
            <w:tcW w:w="1165" w:type="dxa"/>
            <w:vAlign w:val="center"/>
          </w:tcPr>
          <w:p>
            <w:pPr>
              <w:spacing w:line="360" w:lineRule="auto"/>
              <w:jc w:val="center"/>
              <w:rPr>
                <w:rFonts w:ascii="宋体"/>
                <w:b/>
                <w:color w:val="auto"/>
                <w:sz w:val="24"/>
              </w:rPr>
            </w:pPr>
            <w:r>
              <w:rPr>
                <w:rFonts w:hint="eastAsia" w:ascii="宋体" w:hAnsi="宋体"/>
                <w:b/>
                <w:color w:val="auto"/>
                <w:sz w:val="24"/>
              </w:rPr>
              <w:t>货物</w:t>
            </w:r>
          </w:p>
          <w:p>
            <w:pPr>
              <w:spacing w:line="360" w:lineRule="auto"/>
              <w:jc w:val="center"/>
              <w:rPr>
                <w:rFonts w:ascii="宋体"/>
                <w:b/>
                <w:color w:val="auto"/>
                <w:sz w:val="24"/>
              </w:rPr>
            </w:pPr>
            <w:r>
              <w:rPr>
                <w:rFonts w:hint="eastAsia" w:ascii="宋体" w:hAnsi="宋体"/>
                <w:b/>
                <w:color w:val="auto"/>
                <w:sz w:val="24"/>
              </w:rPr>
              <w:t>名称</w:t>
            </w:r>
          </w:p>
        </w:tc>
        <w:tc>
          <w:tcPr>
            <w:tcW w:w="1115" w:type="dxa"/>
            <w:vAlign w:val="center"/>
          </w:tcPr>
          <w:p>
            <w:pPr>
              <w:spacing w:line="360" w:lineRule="auto"/>
              <w:jc w:val="center"/>
              <w:rPr>
                <w:rFonts w:ascii="宋体"/>
                <w:b/>
                <w:color w:val="auto"/>
                <w:sz w:val="24"/>
              </w:rPr>
            </w:pPr>
            <w:r>
              <w:rPr>
                <w:rFonts w:hint="eastAsia" w:ascii="宋体" w:hAnsi="宋体"/>
                <w:b/>
                <w:color w:val="auto"/>
                <w:sz w:val="24"/>
              </w:rPr>
              <w:t>型号</w:t>
            </w:r>
            <w:r>
              <w:rPr>
                <w:rFonts w:ascii="宋体" w:hAnsi="宋体"/>
                <w:b/>
                <w:color w:val="auto"/>
                <w:sz w:val="24"/>
              </w:rPr>
              <w:t>/</w:t>
            </w:r>
          </w:p>
          <w:p>
            <w:pPr>
              <w:spacing w:line="360" w:lineRule="auto"/>
              <w:jc w:val="center"/>
              <w:rPr>
                <w:rFonts w:ascii="宋体"/>
                <w:b/>
                <w:color w:val="auto"/>
                <w:sz w:val="24"/>
              </w:rPr>
            </w:pPr>
            <w:r>
              <w:rPr>
                <w:rFonts w:hint="eastAsia" w:ascii="宋体" w:hAnsi="宋体"/>
                <w:b/>
                <w:color w:val="auto"/>
                <w:sz w:val="24"/>
              </w:rPr>
              <w:t>规格</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品牌</w:t>
            </w:r>
            <w:r>
              <w:rPr>
                <w:rFonts w:ascii="宋体" w:hAnsi="宋体"/>
                <w:b/>
                <w:color w:val="auto"/>
                <w:sz w:val="24"/>
              </w:rPr>
              <w:t>/</w:t>
            </w:r>
            <w:r>
              <w:rPr>
                <w:rFonts w:hint="eastAsia" w:ascii="宋体" w:hAnsi="宋体"/>
                <w:b/>
                <w:color w:val="auto"/>
                <w:sz w:val="24"/>
              </w:rPr>
              <w:t>生产厂家</w:t>
            </w:r>
            <w:r>
              <w:rPr>
                <w:rFonts w:ascii="宋体" w:hAnsi="宋体"/>
                <w:b/>
                <w:color w:val="auto"/>
                <w:sz w:val="24"/>
              </w:rPr>
              <w:t>/</w:t>
            </w:r>
            <w:r>
              <w:rPr>
                <w:rFonts w:hint="eastAsia" w:ascii="宋体" w:hAnsi="宋体"/>
                <w:b/>
                <w:color w:val="auto"/>
                <w:sz w:val="24"/>
              </w:rPr>
              <w:t>国别</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计量</w:t>
            </w:r>
          </w:p>
          <w:p>
            <w:pPr>
              <w:spacing w:line="360" w:lineRule="auto"/>
              <w:jc w:val="center"/>
              <w:rPr>
                <w:rFonts w:ascii="宋体"/>
                <w:b/>
                <w:color w:val="auto"/>
                <w:sz w:val="24"/>
              </w:rPr>
            </w:pPr>
            <w:r>
              <w:rPr>
                <w:rFonts w:hint="eastAsia" w:ascii="宋体" w:hAnsi="宋体"/>
                <w:b/>
                <w:color w:val="auto"/>
                <w:sz w:val="24"/>
              </w:rPr>
              <w:t>单位</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数量</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单价</w:t>
            </w:r>
          </w:p>
        </w:tc>
        <w:tc>
          <w:tcPr>
            <w:tcW w:w="1162" w:type="dxa"/>
            <w:vAlign w:val="center"/>
          </w:tcPr>
          <w:p>
            <w:pPr>
              <w:spacing w:line="360" w:lineRule="auto"/>
              <w:jc w:val="center"/>
              <w:rPr>
                <w:rFonts w:ascii="宋体"/>
                <w:b/>
                <w:color w:val="auto"/>
                <w:sz w:val="24"/>
              </w:rPr>
            </w:pPr>
            <w:r>
              <w:rPr>
                <w:rFonts w:hint="eastAsia" w:ascii="宋体" w:hAnsi="宋体"/>
                <w:b/>
                <w:color w:val="auto"/>
                <w:sz w:val="24"/>
              </w:rPr>
              <w:t>每项</w:t>
            </w:r>
          </w:p>
          <w:p>
            <w:pPr>
              <w:spacing w:line="360" w:lineRule="auto"/>
              <w:jc w:val="center"/>
              <w:rPr>
                <w:rFonts w:ascii="宋体"/>
                <w:b/>
                <w:color w:val="auto"/>
                <w:sz w:val="24"/>
              </w:rPr>
            </w:pPr>
            <w:r>
              <w:rPr>
                <w:rFonts w:hint="eastAsia" w:ascii="宋体" w:hAnsi="宋体"/>
                <w:b/>
                <w:color w:val="auto"/>
                <w:sz w:val="24"/>
              </w:rPr>
              <w:t>总价</w:t>
            </w:r>
          </w:p>
        </w:tc>
        <w:tc>
          <w:tcPr>
            <w:tcW w:w="1171" w:type="dxa"/>
            <w:vAlign w:val="center"/>
          </w:tcPr>
          <w:p>
            <w:pPr>
              <w:spacing w:line="360" w:lineRule="auto"/>
              <w:jc w:val="center"/>
              <w:rPr>
                <w:rFonts w:ascii="宋体"/>
                <w:b/>
                <w:color w:val="auto"/>
                <w:sz w:val="24"/>
              </w:rPr>
            </w:pPr>
            <w:r>
              <w:rPr>
                <w:rFonts w:hint="eastAsia" w:ascii="宋体" w:hAnsi="宋体"/>
                <w:b/>
                <w:color w:val="auto"/>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rPr>
            </w:pPr>
            <w:r>
              <w:rPr>
                <w:rFonts w:hint="eastAsia" w:ascii="宋体" w:hAnsi="宋体"/>
                <w:color w:val="auto"/>
                <w:sz w:val="24"/>
              </w:rPr>
              <w:t>合计总价</w:t>
            </w:r>
          </w:p>
        </w:tc>
        <w:tc>
          <w:tcPr>
            <w:tcW w:w="8088" w:type="dxa"/>
            <w:gridSpan w:val="7"/>
            <w:vAlign w:val="center"/>
          </w:tcPr>
          <w:p>
            <w:pPr>
              <w:spacing w:line="360" w:lineRule="auto"/>
              <w:rPr>
                <w:rFonts w:ascii="宋体"/>
                <w:color w:val="auto"/>
                <w:sz w:val="24"/>
                <w:u w:val="single"/>
              </w:rPr>
            </w:pPr>
            <w:r>
              <w:rPr>
                <w:rFonts w:hint="eastAsia" w:ascii="宋体" w:hAnsi="宋体"/>
                <w:color w:val="auto"/>
                <w:sz w:val="24"/>
              </w:rPr>
              <w:t>大写：      小写：      元</w:t>
            </w:r>
          </w:p>
        </w:tc>
      </w:tr>
    </w:tbl>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二、合同金额</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2.1 </w:t>
      </w:r>
      <w:r>
        <w:rPr>
          <w:rFonts w:hint="eastAsia" w:hAnsi="宋体"/>
          <w:color w:val="auto"/>
          <w:sz w:val="24"/>
          <w:szCs w:val="24"/>
        </w:rPr>
        <w:t>本合同金额为（大写）：</w:t>
      </w:r>
      <w:r>
        <w:rPr>
          <w:rFonts w:hAnsi="宋体"/>
          <w:color w:val="auto"/>
          <w:sz w:val="24"/>
          <w:szCs w:val="24"/>
        </w:rPr>
        <w:t>________________________</w:t>
      </w:r>
      <w:r>
        <w:rPr>
          <w:rFonts w:hint="eastAsia" w:hAnsi="宋体"/>
          <w:color w:val="auto"/>
          <w:sz w:val="24"/>
          <w:szCs w:val="24"/>
        </w:rPr>
        <w:t>元人民币。</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三、技术资料</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3.1</w:t>
      </w:r>
      <w:r>
        <w:rPr>
          <w:rFonts w:hint="eastAsia" w:hAnsi="宋体"/>
          <w:color w:val="auto"/>
          <w:sz w:val="24"/>
          <w:szCs w:val="24"/>
        </w:rPr>
        <w:t>乙方应按采购文件规定的时间向甲方提供使用货物的有关技术资料。</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3.2 </w:t>
      </w:r>
      <w:r>
        <w:rPr>
          <w:rFonts w:hint="eastAsia" w:hAnsi="宋体"/>
          <w:color w:val="auto"/>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color w:val="auto"/>
          <w:sz w:val="24"/>
          <w:szCs w:val="24"/>
        </w:rPr>
      </w:pPr>
      <w:r>
        <w:rPr>
          <w:rFonts w:hint="eastAsia" w:hAnsi="宋体"/>
          <w:b/>
          <w:color w:val="auto"/>
          <w:sz w:val="24"/>
          <w:szCs w:val="24"/>
        </w:rPr>
        <w:t>四、知识产权</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4.1</w:t>
      </w:r>
      <w:r>
        <w:rPr>
          <w:rFonts w:hint="eastAsia" w:hAnsi="宋体"/>
          <w:color w:val="auto"/>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color w:val="auto"/>
          <w:sz w:val="24"/>
          <w:szCs w:val="24"/>
          <w:u w:val="single"/>
        </w:rPr>
      </w:pPr>
      <w:r>
        <w:rPr>
          <w:rFonts w:hint="eastAsia" w:hAnsi="宋体"/>
          <w:b/>
          <w:color w:val="auto"/>
          <w:sz w:val="24"/>
          <w:szCs w:val="24"/>
        </w:rPr>
        <w:t>五、产权担保</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5.1 </w:t>
      </w:r>
      <w:r>
        <w:rPr>
          <w:rFonts w:hint="eastAsia" w:hAnsi="宋体"/>
          <w:color w:val="auto"/>
          <w:sz w:val="24"/>
          <w:szCs w:val="24"/>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六、履约保证金</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6.1 </w:t>
      </w:r>
      <w:r>
        <w:rPr>
          <w:rFonts w:hint="eastAsia" w:hAnsi="宋体"/>
          <w:color w:val="auto"/>
          <w:sz w:val="24"/>
          <w:szCs w:val="24"/>
        </w:rPr>
        <w:t>乙方交纳人民币</w:t>
      </w:r>
      <w:r>
        <w:rPr>
          <w:rFonts w:hAnsi="宋体"/>
          <w:color w:val="auto"/>
          <w:sz w:val="24"/>
          <w:szCs w:val="24"/>
        </w:rPr>
        <w:t>_____</w:t>
      </w:r>
      <w:r>
        <w:rPr>
          <w:rFonts w:hint="eastAsia" w:hAnsi="宋体"/>
          <w:color w:val="auto"/>
          <w:sz w:val="24"/>
          <w:szCs w:val="24"/>
        </w:rPr>
        <w:t>元作为本合同的履约保证金。</w:t>
      </w:r>
    </w:p>
    <w:p>
      <w:pPr>
        <w:adjustRightInd w:val="0"/>
        <w:snapToGrid w:val="0"/>
        <w:spacing w:before="156" w:beforeLines="50" w:after="156" w:afterLines="50" w:line="360" w:lineRule="auto"/>
        <w:ind w:firstLine="480"/>
        <w:rPr>
          <w:rFonts w:ascii="宋体" w:cs="Courier New"/>
          <w:b/>
          <w:color w:val="auto"/>
          <w:sz w:val="24"/>
        </w:rPr>
      </w:pPr>
      <w:r>
        <w:rPr>
          <w:rFonts w:hint="eastAsia" w:ascii="宋体" w:hAnsi="宋体" w:cs="Courier New"/>
          <w:b/>
          <w:color w:val="auto"/>
          <w:sz w:val="24"/>
        </w:rPr>
        <w:t>七</w:t>
      </w:r>
      <w:r>
        <w:rPr>
          <w:rFonts w:ascii="宋体" w:cs="Courier New"/>
          <w:b/>
          <w:color w:val="auto"/>
          <w:sz w:val="24"/>
        </w:rPr>
        <w:t>.</w:t>
      </w:r>
      <w:r>
        <w:rPr>
          <w:rFonts w:hint="eastAsia" w:ascii="宋体" w:hAnsi="宋体" w:cs="Courier New"/>
          <w:b/>
          <w:color w:val="auto"/>
          <w:sz w:val="24"/>
        </w:rPr>
        <w:t>转包或分包</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7.1</w:t>
      </w:r>
      <w:r>
        <w:rPr>
          <w:rFonts w:hint="eastAsia" w:hAnsi="宋体"/>
          <w:color w:val="auto"/>
          <w:sz w:val="24"/>
          <w:szCs w:val="24"/>
        </w:rPr>
        <w:t>本合同范围的货物，应由乙方直接供应，不得转让他人供应；</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7.2</w:t>
      </w:r>
      <w:r>
        <w:rPr>
          <w:rFonts w:hint="eastAsia" w:hAnsi="宋体"/>
          <w:color w:val="auto"/>
          <w:sz w:val="24"/>
          <w:szCs w:val="24"/>
        </w:rPr>
        <w:t>除非得到甲方的书面同意，乙方不得部分分包给他人供应。</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7.3</w:t>
      </w:r>
      <w:r>
        <w:rPr>
          <w:rFonts w:hint="eastAsia" w:hAnsi="宋体"/>
          <w:color w:val="auto"/>
          <w:sz w:val="24"/>
          <w:szCs w:val="24"/>
        </w:rPr>
        <w:t>如有转让和未经甲方同意的分包行为，甲方有权给予终止合同。</w:t>
      </w:r>
    </w:p>
    <w:p>
      <w:pPr>
        <w:pStyle w:val="10"/>
        <w:adjustRightInd w:val="0"/>
        <w:snapToGrid w:val="0"/>
        <w:spacing w:before="120" w:after="120" w:line="360" w:lineRule="auto"/>
        <w:ind w:firstLine="660"/>
        <w:rPr>
          <w:rFonts w:hAnsi="宋体"/>
          <w:color w:val="auto"/>
          <w:sz w:val="24"/>
          <w:szCs w:val="24"/>
        </w:rPr>
      </w:pPr>
      <w:r>
        <w:rPr>
          <w:rFonts w:hint="eastAsia" w:hAnsi="宋体"/>
          <w:b/>
          <w:color w:val="auto"/>
          <w:sz w:val="24"/>
          <w:szCs w:val="24"/>
        </w:rPr>
        <w:t>八、质保期</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8.1</w:t>
      </w:r>
      <w:r>
        <w:rPr>
          <w:rFonts w:hint="eastAsia" w:hAnsi="宋体"/>
          <w:color w:val="auto"/>
          <w:sz w:val="24"/>
          <w:szCs w:val="24"/>
        </w:rPr>
        <w:t>提供免费质保期年。（自交货验收合格之日起计）</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九、交货期、交货方式及交货地点</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9.1 </w:t>
      </w:r>
      <w:r>
        <w:rPr>
          <w:rFonts w:hint="eastAsia" w:hAnsi="宋体"/>
          <w:color w:val="auto"/>
          <w:sz w:val="24"/>
          <w:szCs w:val="24"/>
        </w:rPr>
        <w:t>交货期：</w:t>
      </w:r>
      <w:r>
        <w:rPr>
          <w:rFonts w:hAnsi="宋体"/>
          <w:color w:val="auto"/>
          <w:sz w:val="24"/>
          <w:szCs w:val="24"/>
        </w:rPr>
        <w:t>_________</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9.2 </w:t>
      </w:r>
      <w:r>
        <w:rPr>
          <w:rFonts w:hint="eastAsia" w:hAnsi="宋体"/>
          <w:color w:val="auto"/>
          <w:sz w:val="24"/>
          <w:szCs w:val="24"/>
        </w:rPr>
        <w:t>交货方式：</w:t>
      </w:r>
      <w:r>
        <w:rPr>
          <w:rFonts w:hAnsi="宋体"/>
          <w:color w:val="auto"/>
          <w:sz w:val="24"/>
          <w:szCs w:val="24"/>
        </w:rPr>
        <w:t>_________</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9.3 </w:t>
      </w:r>
      <w:r>
        <w:rPr>
          <w:rFonts w:hint="eastAsia" w:hAnsi="宋体"/>
          <w:color w:val="auto"/>
          <w:sz w:val="24"/>
          <w:szCs w:val="24"/>
        </w:rPr>
        <w:t>交货地点：用户单位地点或用户指定地点。</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十、货款支付</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10.1</w:t>
      </w:r>
      <w:r>
        <w:rPr>
          <w:rFonts w:hint="eastAsia" w:hAnsi="宋体"/>
          <w:color w:val="auto"/>
          <w:sz w:val="24"/>
          <w:szCs w:val="24"/>
        </w:rPr>
        <w:t>付款方式：针对国内供应货物，签订合同后，20日内预付合同金额的30%，全部货物交货并验收合格后，凭验收凭证和货物验收合格等文件20内支付至合同金额的100%，质量保证金质保期满后，</w:t>
      </w:r>
      <w:r>
        <w:rPr>
          <w:rFonts w:hAnsi="宋体"/>
          <w:color w:val="auto"/>
          <w:sz w:val="24"/>
          <w:szCs w:val="24"/>
        </w:rPr>
        <w:t>经有关单位确认无质量问题后，一次性</w:t>
      </w:r>
      <w:r>
        <w:rPr>
          <w:rFonts w:hint="eastAsia" w:hAnsi="宋体"/>
          <w:color w:val="auto"/>
          <w:sz w:val="24"/>
          <w:szCs w:val="24"/>
        </w:rPr>
        <w:t>无息付清</w:t>
      </w:r>
      <w:r>
        <w:rPr>
          <w:rFonts w:hAnsi="宋体"/>
          <w:color w:val="auto"/>
          <w:sz w:val="24"/>
          <w:szCs w:val="24"/>
        </w:rPr>
        <w:t>。具体内容以最终签署的合同约定为准。</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rPr>
      </w:pPr>
      <w:r>
        <w:rPr>
          <w:rFonts w:hint="eastAsia" w:ascii="宋体" w:hAnsi="宋体"/>
          <w:b/>
          <w:color w:val="auto"/>
          <w:sz w:val="24"/>
        </w:rPr>
        <w:t>十一、税</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11.1</w:t>
      </w:r>
      <w:r>
        <w:rPr>
          <w:rFonts w:hint="eastAsia" w:hAnsi="宋体"/>
          <w:color w:val="auto"/>
          <w:sz w:val="24"/>
          <w:szCs w:val="24"/>
        </w:rPr>
        <w:t>发票要求：针对国内供货的货物，乙方开具合同全额“增值税专用发票”。</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11.2</w:t>
      </w:r>
      <w:r>
        <w:rPr>
          <w:rFonts w:hint="eastAsia" w:hAnsi="宋体"/>
          <w:color w:val="auto"/>
          <w:sz w:val="24"/>
          <w:szCs w:val="24"/>
        </w:rPr>
        <w:t>本合同执行中相关的一切税费均由乙方负担。</w:t>
      </w:r>
    </w:p>
    <w:p>
      <w:pPr>
        <w:pStyle w:val="10"/>
        <w:adjustRightInd w:val="0"/>
        <w:snapToGrid w:val="0"/>
        <w:spacing w:before="120" w:after="120" w:line="360" w:lineRule="auto"/>
        <w:ind w:left="1" w:firstLine="660"/>
        <w:rPr>
          <w:rFonts w:hAnsi="宋体"/>
          <w:color w:val="auto"/>
          <w:sz w:val="24"/>
          <w:szCs w:val="24"/>
        </w:rPr>
      </w:pPr>
      <w:r>
        <w:rPr>
          <w:rFonts w:hint="eastAsia" w:hAnsi="宋体"/>
          <w:b/>
          <w:color w:val="auto"/>
          <w:sz w:val="24"/>
          <w:szCs w:val="24"/>
        </w:rPr>
        <w:t>十二、质量保证及售后服务</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12.1 </w:t>
      </w:r>
      <w:r>
        <w:rPr>
          <w:rFonts w:hint="eastAsia" w:hAnsi="宋体"/>
          <w:color w:val="auto"/>
          <w:sz w:val="24"/>
          <w:szCs w:val="24"/>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12.2 </w:t>
      </w:r>
      <w:r>
        <w:rPr>
          <w:rFonts w:hint="eastAsia" w:hAnsi="宋体"/>
          <w:color w:val="auto"/>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1</w:t>
      </w:r>
      <w:r>
        <w:rPr>
          <w:rFonts w:hint="eastAsia"/>
          <w:color w:val="auto"/>
          <w:sz w:val="24"/>
        </w:rPr>
        <w:t>）更换：由乙方承担所发生的全部费用。</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2</w:t>
      </w:r>
      <w:r>
        <w:rPr>
          <w:rFonts w:hint="eastAsia"/>
          <w:color w:val="auto"/>
          <w:sz w:val="24"/>
        </w:rPr>
        <w:t>）贬值处理：由甲乙双方合议定价。</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3</w:t>
      </w:r>
      <w:r>
        <w:rPr>
          <w:rFonts w:hint="eastAsia"/>
          <w:color w:val="auto"/>
          <w:sz w:val="24"/>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12.3 </w:t>
      </w:r>
      <w:r>
        <w:rPr>
          <w:rFonts w:hint="eastAsia" w:hAnsi="宋体"/>
          <w:color w:val="auto"/>
          <w:sz w:val="24"/>
          <w:szCs w:val="24"/>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12.4 </w:t>
      </w:r>
      <w:r>
        <w:rPr>
          <w:rFonts w:hint="eastAsia" w:hAnsi="宋体"/>
          <w:color w:val="auto"/>
          <w:sz w:val="24"/>
          <w:szCs w:val="24"/>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12.5</w:t>
      </w:r>
      <w:r>
        <w:rPr>
          <w:rFonts w:hint="eastAsia" w:hAnsi="宋体"/>
          <w:color w:val="auto"/>
          <w:sz w:val="24"/>
          <w:szCs w:val="24"/>
        </w:rPr>
        <w:t>上述的货物免费保修期为</w:t>
      </w:r>
      <w:r>
        <w:rPr>
          <w:rFonts w:hint="eastAsia" w:hAnsi="宋体"/>
          <w:color w:val="auto"/>
          <w:sz w:val="24"/>
          <w:szCs w:val="24"/>
          <w:u w:val="single"/>
        </w:rPr>
        <w:t xml:space="preserve">   </w:t>
      </w:r>
      <w:r>
        <w:rPr>
          <w:rFonts w:hint="eastAsia" w:hAnsi="宋体"/>
          <w:color w:val="auto"/>
          <w:sz w:val="24"/>
          <w:szCs w:val="24"/>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十三、调试和验收</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13.1 </w:t>
      </w:r>
      <w:r>
        <w:rPr>
          <w:rFonts w:hint="eastAsia" w:hAnsi="宋体"/>
          <w:color w:val="auto"/>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13.2 </w:t>
      </w:r>
      <w:r>
        <w:rPr>
          <w:rFonts w:hint="eastAsia" w:hAnsi="宋体"/>
          <w:color w:val="auto"/>
          <w:sz w:val="24"/>
          <w:szCs w:val="24"/>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13.3 </w:t>
      </w:r>
      <w:r>
        <w:rPr>
          <w:rFonts w:hint="eastAsia" w:hAnsi="宋体"/>
          <w:color w:val="auto"/>
          <w:sz w:val="24"/>
          <w:szCs w:val="24"/>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13.4 </w:t>
      </w:r>
      <w:r>
        <w:rPr>
          <w:rFonts w:hint="eastAsia" w:hAnsi="宋体"/>
          <w:color w:val="auto"/>
          <w:sz w:val="24"/>
          <w:szCs w:val="24"/>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13.5 </w:t>
      </w:r>
      <w:r>
        <w:rPr>
          <w:rFonts w:hint="eastAsia" w:hAnsi="宋体"/>
          <w:color w:val="auto"/>
          <w:sz w:val="24"/>
          <w:szCs w:val="24"/>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十四、货物包装、发运及运输</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14.1 </w:t>
      </w:r>
      <w:r>
        <w:rPr>
          <w:rFonts w:hint="eastAsia" w:hAnsi="宋体"/>
          <w:color w:val="auto"/>
          <w:sz w:val="24"/>
          <w:szCs w:val="24"/>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14.2 </w:t>
      </w:r>
      <w:r>
        <w:rPr>
          <w:rFonts w:hint="eastAsia" w:hAnsi="宋体"/>
          <w:color w:val="auto"/>
          <w:sz w:val="24"/>
          <w:szCs w:val="24"/>
        </w:rPr>
        <w:t>使用说明书、质量检验证明书、随配附件和工具以及清单一并附于货物内。</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14.3 </w:t>
      </w:r>
      <w:r>
        <w:rPr>
          <w:rFonts w:hint="eastAsia" w:hAnsi="宋体"/>
          <w:color w:val="auto"/>
          <w:sz w:val="24"/>
          <w:szCs w:val="24"/>
        </w:rPr>
        <w:t>乙方在货物发运手续办理完毕后</w:t>
      </w:r>
      <w:r>
        <w:rPr>
          <w:rFonts w:hAnsi="宋体"/>
          <w:color w:val="auto"/>
          <w:sz w:val="24"/>
          <w:szCs w:val="24"/>
        </w:rPr>
        <w:t>24</w:t>
      </w:r>
      <w:r>
        <w:rPr>
          <w:rFonts w:hint="eastAsia" w:hAnsi="宋体"/>
          <w:color w:val="auto"/>
          <w:sz w:val="24"/>
          <w:szCs w:val="24"/>
        </w:rPr>
        <w:t>小时内或货到甲方</w:t>
      </w:r>
      <w:r>
        <w:rPr>
          <w:rFonts w:hAnsi="宋体"/>
          <w:color w:val="auto"/>
          <w:sz w:val="24"/>
          <w:szCs w:val="24"/>
        </w:rPr>
        <w:t>48</w:t>
      </w:r>
      <w:r>
        <w:rPr>
          <w:rFonts w:hint="eastAsia" w:hAnsi="宋体"/>
          <w:color w:val="auto"/>
          <w:sz w:val="24"/>
          <w:szCs w:val="24"/>
        </w:rPr>
        <w:t>小时前通知甲方，以准备接货。</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14.4 </w:t>
      </w:r>
      <w:r>
        <w:rPr>
          <w:rFonts w:hint="eastAsia" w:hAnsi="宋体"/>
          <w:color w:val="auto"/>
          <w:sz w:val="24"/>
          <w:szCs w:val="24"/>
        </w:rPr>
        <w:t>货物在交付甲方前发生的风险均由乙方负责。</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14.5 </w:t>
      </w:r>
      <w:r>
        <w:rPr>
          <w:rFonts w:hint="eastAsia" w:hAnsi="宋体"/>
          <w:color w:val="auto"/>
          <w:sz w:val="24"/>
          <w:szCs w:val="24"/>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十五、违约责任</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15.1</w:t>
      </w:r>
      <w:r>
        <w:rPr>
          <w:rFonts w:hint="eastAsia" w:hAnsi="宋体"/>
          <w:color w:val="auto"/>
          <w:sz w:val="24"/>
          <w:szCs w:val="24"/>
        </w:rPr>
        <w:t>乙方逾期交付货物的，乙方应按逾期交货总额每日千分之六向甲方支付违约金，由甲方从待付货款中扣除。逾期超过约定日期</w:t>
      </w:r>
      <w:r>
        <w:rPr>
          <w:rFonts w:hAnsi="宋体"/>
          <w:color w:val="auto"/>
          <w:sz w:val="24"/>
          <w:szCs w:val="24"/>
        </w:rPr>
        <w:t>10</w:t>
      </w:r>
      <w:r>
        <w:rPr>
          <w:rFonts w:hint="eastAsia" w:hAnsi="宋体"/>
          <w:color w:val="auto"/>
          <w:sz w:val="24"/>
          <w:szCs w:val="24"/>
        </w:rPr>
        <w:t>个工作日不能交货的，甲方可解除本合同。乙方因逾期交货或因其他违约行为导致甲方解除合同的，乙方应向甲方支付合同总值</w:t>
      </w:r>
      <w:r>
        <w:rPr>
          <w:rFonts w:hAnsi="宋体"/>
          <w:color w:val="auto"/>
          <w:sz w:val="24"/>
          <w:szCs w:val="24"/>
        </w:rPr>
        <w:t>5%</w:t>
      </w:r>
      <w:r>
        <w:rPr>
          <w:rFonts w:hint="eastAsia" w:hAnsi="宋体"/>
          <w:color w:val="auto"/>
          <w:sz w:val="24"/>
          <w:szCs w:val="24"/>
        </w:rPr>
        <w:t>的违约金，如造成甲方损失超过违约金的，超出部分由乙方继续承担赔偿责任。</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15.2</w:t>
      </w:r>
      <w:r>
        <w:rPr>
          <w:rFonts w:hint="eastAsia" w:hAnsi="宋体"/>
          <w:color w:val="auto"/>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十六、廉政条款</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16.1</w:t>
      </w:r>
      <w:r>
        <w:rPr>
          <w:rFonts w:hint="eastAsia" w:hAnsi="宋体"/>
          <w:color w:val="auto"/>
          <w:sz w:val="24"/>
          <w:szCs w:val="24"/>
        </w:rPr>
        <w:t>乙方必须支持甲方的廉政建设，不得向甲方相关人员提供金钱和物质上的好处，一经发现处以合同金额</w:t>
      </w:r>
      <w:r>
        <w:rPr>
          <w:rFonts w:hAnsi="宋体"/>
          <w:color w:val="auto"/>
          <w:sz w:val="24"/>
          <w:szCs w:val="24"/>
        </w:rPr>
        <w:t>20%</w:t>
      </w:r>
      <w:r>
        <w:rPr>
          <w:rFonts w:hint="eastAsia" w:hAnsi="宋体"/>
          <w:color w:val="auto"/>
          <w:sz w:val="24"/>
          <w:szCs w:val="24"/>
        </w:rPr>
        <w:t>的罚款。</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十七、不可抗力事件处理</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17.1 </w:t>
      </w:r>
      <w:r>
        <w:rPr>
          <w:rFonts w:hint="eastAsia" w:hAnsi="宋体"/>
          <w:color w:val="auto"/>
          <w:sz w:val="24"/>
          <w:szCs w:val="24"/>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17.2 </w:t>
      </w:r>
      <w:r>
        <w:rPr>
          <w:rFonts w:hint="eastAsia" w:hAnsi="宋体"/>
          <w:color w:val="auto"/>
          <w:sz w:val="24"/>
          <w:szCs w:val="24"/>
        </w:rPr>
        <w:t>不可抗力事件发生后，应立即通知对方，并寄送有关权威机构出具的证明。</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17.3 </w:t>
      </w:r>
      <w:r>
        <w:rPr>
          <w:rFonts w:hint="eastAsia" w:hAnsi="宋体"/>
          <w:color w:val="auto"/>
          <w:sz w:val="24"/>
          <w:szCs w:val="24"/>
        </w:rPr>
        <w:t>不可抗力事件延续</w:t>
      </w:r>
      <w:r>
        <w:rPr>
          <w:rFonts w:hAnsi="宋体"/>
          <w:color w:val="auto"/>
          <w:sz w:val="24"/>
          <w:szCs w:val="24"/>
        </w:rPr>
        <w:t>30</w:t>
      </w:r>
      <w:r>
        <w:rPr>
          <w:rFonts w:hint="eastAsia" w:hAnsi="宋体"/>
          <w:color w:val="auto"/>
          <w:sz w:val="24"/>
          <w:szCs w:val="24"/>
        </w:rPr>
        <w:t>天以上，双方应通过友好协商，确定是否继续履行合同。</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十八、诉讼</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18.1 </w:t>
      </w:r>
      <w:r>
        <w:rPr>
          <w:rFonts w:hint="eastAsia" w:hAnsi="宋体"/>
          <w:color w:val="auto"/>
          <w:sz w:val="24"/>
          <w:szCs w:val="24"/>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十九、合同文件的优先顺序</w:t>
      </w:r>
      <w:r>
        <w:rPr>
          <w:rFonts w:hint="eastAsia" w:hAnsi="宋体"/>
          <w:color w:val="auto"/>
          <w:sz w:val="24"/>
          <w:szCs w:val="24"/>
        </w:rPr>
        <w:t xml:space="preserve">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（1）合同协议书；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（2）中标通知书；</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（3）招标文件；</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（4）投标函及其附录（如果有）；</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（5）专用合同条款及其附件；</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（6）通用合同条款；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（7）技术标准和要求；</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（8）其他合同文件。</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二十、合同生效及其它</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19.1 </w:t>
      </w:r>
      <w:r>
        <w:rPr>
          <w:rFonts w:hint="eastAsia" w:hAnsi="宋体"/>
          <w:color w:val="auto"/>
          <w:sz w:val="24"/>
          <w:szCs w:val="24"/>
        </w:rPr>
        <w:t>合同经双方法定代表人或授权委托代表人签字并加盖单位公章后生效。</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19.2</w:t>
      </w:r>
      <w:r>
        <w:rPr>
          <w:rFonts w:hint="eastAsia" w:hAnsi="宋体"/>
          <w:color w:val="auto"/>
          <w:sz w:val="24"/>
          <w:szCs w:val="24"/>
        </w:rPr>
        <w:t>本合同未尽事宜，遵照《合同法》有关条文执行。</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19.3 </w:t>
      </w:r>
      <w:r>
        <w:rPr>
          <w:rFonts w:hint="eastAsia" w:hAnsi="宋体"/>
          <w:color w:val="auto"/>
          <w:sz w:val="24"/>
          <w:szCs w:val="24"/>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color w:val="auto"/>
          <w:sz w:val="24"/>
          <w:szCs w:val="24"/>
        </w:rPr>
      </w:pPr>
      <w:r>
        <w:rPr>
          <w:rFonts w:hint="eastAsia" w:hAnsi="宋体"/>
          <w:color w:val="auto"/>
          <w:sz w:val="24"/>
          <w:szCs w:val="24"/>
        </w:rPr>
        <w:t>甲方：乙方：</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地址：地址：</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法定代表人或授权代表：</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项目负责人</w:t>
      </w:r>
      <w:r>
        <w:rPr>
          <w:rFonts w:hAnsi="宋体"/>
          <w:color w:val="auto"/>
          <w:sz w:val="24"/>
          <w:szCs w:val="24"/>
        </w:rPr>
        <w:t xml:space="preserve">:                              </w:t>
      </w:r>
      <w:r>
        <w:rPr>
          <w:rFonts w:hint="eastAsia" w:hAnsi="宋体"/>
          <w:color w:val="auto"/>
          <w:sz w:val="24"/>
          <w:szCs w:val="24"/>
        </w:rPr>
        <w:t>法定代表人或授权代表：</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项目联系人</w:t>
      </w:r>
      <w:r>
        <w:rPr>
          <w:rFonts w:hAnsi="宋体"/>
          <w:color w:val="auto"/>
          <w:sz w:val="24"/>
          <w:szCs w:val="24"/>
        </w:rPr>
        <w:t>:</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联系电话：联系电话：</w:t>
      </w:r>
    </w:p>
    <w:p>
      <w:pPr>
        <w:pStyle w:val="10"/>
        <w:adjustRightInd w:val="0"/>
        <w:snapToGrid w:val="0"/>
        <w:spacing w:before="120" w:after="120" w:line="360" w:lineRule="auto"/>
        <w:ind w:firstLine="767"/>
        <w:rPr>
          <w:color w:val="auto"/>
          <w:sz w:val="28"/>
          <w:szCs w:val="28"/>
        </w:rPr>
      </w:pPr>
      <w:r>
        <w:rPr>
          <w:rFonts w:hint="eastAsia"/>
          <w:color w:val="auto"/>
          <w:sz w:val="28"/>
          <w:szCs w:val="28"/>
        </w:rPr>
        <w:t>签订日期：      年   月   日</w:t>
      </w:r>
    </w:p>
    <w:p>
      <w:pPr>
        <w:pStyle w:val="10"/>
        <w:adjustRightInd w:val="0"/>
        <w:snapToGrid w:val="0"/>
        <w:spacing w:before="120" w:after="120" w:line="360" w:lineRule="auto"/>
        <w:ind w:firstLine="767"/>
        <w:rPr>
          <w:rFonts w:hint="eastAsia" w:cs="仿宋"/>
          <w:color w:val="auto"/>
          <w:sz w:val="24"/>
        </w:rPr>
      </w:pPr>
      <w:r>
        <w:rPr>
          <w:rFonts w:hint="eastAsia" w:cs="仿宋"/>
          <w:color w:val="auto"/>
          <w:sz w:val="24"/>
        </w:rPr>
        <w:t>注：上述格式及内容仅供参考，具体以采购人签订合同时内容为准。</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30</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22</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1977"/>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0C6"/>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3F00"/>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3E29"/>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6C38"/>
    <w:rsid w:val="002270A5"/>
    <w:rsid w:val="002274A2"/>
    <w:rsid w:val="00230145"/>
    <w:rsid w:val="00230940"/>
    <w:rsid w:val="0023249E"/>
    <w:rsid w:val="002346F4"/>
    <w:rsid w:val="00235A05"/>
    <w:rsid w:val="0023749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670F2"/>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BF"/>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5A38"/>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60D0"/>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15A2"/>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143C"/>
    <w:rsid w:val="004220ED"/>
    <w:rsid w:val="00422573"/>
    <w:rsid w:val="00422B6A"/>
    <w:rsid w:val="004255E2"/>
    <w:rsid w:val="00425843"/>
    <w:rsid w:val="00425C30"/>
    <w:rsid w:val="0043026A"/>
    <w:rsid w:val="004311A5"/>
    <w:rsid w:val="00432842"/>
    <w:rsid w:val="004356B0"/>
    <w:rsid w:val="00435B13"/>
    <w:rsid w:val="00437796"/>
    <w:rsid w:val="00437C24"/>
    <w:rsid w:val="00437F7A"/>
    <w:rsid w:val="004409C2"/>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0ABA"/>
    <w:rsid w:val="004A5555"/>
    <w:rsid w:val="004A5C8B"/>
    <w:rsid w:val="004A7B18"/>
    <w:rsid w:val="004A7D2B"/>
    <w:rsid w:val="004A7E23"/>
    <w:rsid w:val="004A7F50"/>
    <w:rsid w:val="004B001D"/>
    <w:rsid w:val="004B1B72"/>
    <w:rsid w:val="004B4A76"/>
    <w:rsid w:val="004B504A"/>
    <w:rsid w:val="004B67DB"/>
    <w:rsid w:val="004B6A11"/>
    <w:rsid w:val="004B747F"/>
    <w:rsid w:val="004B7B1E"/>
    <w:rsid w:val="004C10BB"/>
    <w:rsid w:val="004C2E0A"/>
    <w:rsid w:val="004C37AF"/>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801"/>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234B"/>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0526"/>
    <w:rsid w:val="00571649"/>
    <w:rsid w:val="005724E4"/>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500"/>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1F8C"/>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1A8B"/>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3792"/>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6310"/>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D8"/>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07EDA"/>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1E7A"/>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32BA"/>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A41"/>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45C3"/>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4FF7"/>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3CC"/>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1A1E"/>
    <w:rsid w:val="00D336D3"/>
    <w:rsid w:val="00D34FD3"/>
    <w:rsid w:val="00D35E01"/>
    <w:rsid w:val="00D36556"/>
    <w:rsid w:val="00D377DE"/>
    <w:rsid w:val="00D40F46"/>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24F4"/>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1D1"/>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201D"/>
    <w:rsid w:val="00DE3399"/>
    <w:rsid w:val="00DE41DB"/>
    <w:rsid w:val="00DE67EA"/>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47D"/>
    <w:rsid w:val="00E4494C"/>
    <w:rsid w:val="00E45B25"/>
    <w:rsid w:val="00E502BA"/>
    <w:rsid w:val="00E50F08"/>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1268"/>
    <w:rsid w:val="00EC402D"/>
    <w:rsid w:val="00EC4EF1"/>
    <w:rsid w:val="00EC6BAE"/>
    <w:rsid w:val="00ED041C"/>
    <w:rsid w:val="00ED0447"/>
    <w:rsid w:val="00ED287D"/>
    <w:rsid w:val="00ED3295"/>
    <w:rsid w:val="00ED514E"/>
    <w:rsid w:val="00ED7113"/>
    <w:rsid w:val="00ED7B5A"/>
    <w:rsid w:val="00EE1004"/>
    <w:rsid w:val="00EE2E38"/>
    <w:rsid w:val="00EE3EA2"/>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3203"/>
    <w:rsid w:val="00F905AB"/>
    <w:rsid w:val="00F969CF"/>
    <w:rsid w:val="00FA0486"/>
    <w:rsid w:val="00FA27FD"/>
    <w:rsid w:val="00FA3E55"/>
    <w:rsid w:val="00FA5295"/>
    <w:rsid w:val="00FA5FDC"/>
    <w:rsid w:val="00FA660A"/>
    <w:rsid w:val="00FA6CDD"/>
    <w:rsid w:val="00FB0B9B"/>
    <w:rsid w:val="00FB0C6B"/>
    <w:rsid w:val="00FB1117"/>
    <w:rsid w:val="00FB3B75"/>
    <w:rsid w:val="00FB4D67"/>
    <w:rsid w:val="00FB51BB"/>
    <w:rsid w:val="00FB63CD"/>
    <w:rsid w:val="00FB6AF9"/>
    <w:rsid w:val="00FB6CA7"/>
    <w:rsid w:val="00FC03EC"/>
    <w:rsid w:val="00FC2280"/>
    <w:rsid w:val="00FC2322"/>
    <w:rsid w:val="00FC2877"/>
    <w:rsid w:val="00FC2DC3"/>
    <w:rsid w:val="00FC4F3C"/>
    <w:rsid w:val="00FC558C"/>
    <w:rsid w:val="00FC5BEC"/>
    <w:rsid w:val="00FC624B"/>
    <w:rsid w:val="00FC6C4A"/>
    <w:rsid w:val="00FD013C"/>
    <w:rsid w:val="00FD14D6"/>
    <w:rsid w:val="00FD2B3C"/>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36159EE"/>
    <w:rsid w:val="03962305"/>
    <w:rsid w:val="03B528A5"/>
    <w:rsid w:val="03F80CEA"/>
    <w:rsid w:val="05B517B2"/>
    <w:rsid w:val="06500874"/>
    <w:rsid w:val="0666393D"/>
    <w:rsid w:val="078D73D6"/>
    <w:rsid w:val="07D33D16"/>
    <w:rsid w:val="09637941"/>
    <w:rsid w:val="0B675B31"/>
    <w:rsid w:val="0BDF51D7"/>
    <w:rsid w:val="0C3615C8"/>
    <w:rsid w:val="0C4861BD"/>
    <w:rsid w:val="0C7E7AA1"/>
    <w:rsid w:val="0CFE3A2E"/>
    <w:rsid w:val="0D873213"/>
    <w:rsid w:val="0D9425DE"/>
    <w:rsid w:val="0D99361C"/>
    <w:rsid w:val="0E6C1F07"/>
    <w:rsid w:val="107D340A"/>
    <w:rsid w:val="10EB4170"/>
    <w:rsid w:val="10F05838"/>
    <w:rsid w:val="113C24CA"/>
    <w:rsid w:val="119D0D41"/>
    <w:rsid w:val="11D57EAE"/>
    <w:rsid w:val="12162C3B"/>
    <w:rsid w:val="130F1D58"/>
    <w:rsid w:val="13C46A1B"/>
    <w:rsid w:val="145263CB"/>
    <w:rsid w:val="146723C1"/>
    <w:rsid w:val="14896182"/>
    <w:rsid w:val="150426E8"/>
    <w:rsid w:val="155010AB"/>
    <w:rsid w:val="15572C10"/>
    <w:rsid w:val="15737A45"/>
    <w:rsid w:val="1584594C"/>
    <w:rsid w:val="15907301"/>
    <w:rsid w:val="15A069B5"/>
    <w:rsid w:val="15A90346"/>
    <w:rsid w:val="15B24E31"/>
    <w:rsid w:val="167C04F3"/>
    <w:rsid w:val="16AA09BD"/>
    <w:rsid w:val="17652C65"/>
    <w:rsid w:val="17833DE3"/>
    <w:rsid w:val="19775424"/>
    <w:rsid w:val="1A241EC0"/>
    <w:rsid w:val="1AE96A89"/>
    <w:rsid w:val="1C121D57"/>
    <w:rsid w:val="1C4A137C"/>
    <w:rsid w:val="1C8F1DE9"/>
    <w:rsid w:val="1DA871CA"/>
    <w:rsid w:val="1F11313D"/>
    <w:rsid w:val="1F956998"/>
    <w:rsid w:val="1FA31BDA"/>
    <w:rsid w:val="20DC5C02"/>
    <w:rsid w:val="20DE7ECC"/>
    <w:rsid w:val="20FE711F"/>
    <w:rsid w:val="21241474"/>
    <w:rsid w:val="21A70E96"/>
    <w:rsid w:val="225E4DAF"/>
    <w:rsid w:val="22891E2D"/>
    <w:rsid w:val="228C4BA7"/>
    <w:rsid w:val="22A743B8"/>
    <w:rsid w:val="22D33607"/>
    <w:rsid w:val="23FD2509"/>
    <w:rsid w:val="243943F8"/>
    <w:rsid w:val="24E05430"/>
    <w:rsid w:val="257D7799"/>
    <w:rsid w:val="267A7579"/>
    <w:rsid w:val="272231F7"/>
    <w:rsid w:val="27961F1E"/>
    <w:rsid w:val="27AD7C03"/>
    <w:rsid w:val="27F21951"/>
    <w:rsid w:val="28C46277"/>
    <w:rsid w:val="29062B05"/>
    <w:rsid w:val="29127A38"/>
    <w:rsid w:val="2AAA7342"/>
    <w:rsid w:val="2AB43BC5"/>
    <w:rsid w:val="2B556F15"/>
    <w:rsid w:val="2B7F4BC3"/>
    <w:rsid w:val="2CE81BAF"/>
    <w:rsid w:val="2DAC05D8"/>
    <w:rsid w:val="2DE728EA"/>
    <w:rsid w:val="2E726843"/>
    <w:rsid w:val="2EDC02FF"/>
    <w:rsid w:val="2EE87C86"/>
    <w:rsid w:val="2EEC5388"/>
    <w:rsid w:val="3172033E"/>
    <w:rsid w:val="3227588C"/>
    <w:rsid w:val="325F6558"/>
    <w:rsid w:val="331653E5"/>
    <w:rsid w:val="34030A42"/>
    <w:rsid w:val="341C30A3"/>
    <w:rsid w:val="351529A9"/>
    <w:rsid w:val="355A74E9"/>
    <w:rsid w:val="35FD1F7A"/>
    <w:rsid w:val="36194686"/>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DF32FC8"/>
    <w:rsid w:val="3E495BEB"/>
    <w:rsid w:val="3E5E0082"/>
    <w:rsid w:val="3ECC012B"/>
    <w:rsid w:val="3EDB4EA4"/>
    <w:rsid w:val="3F9F3463"/>
    <w:rsid w:val="3FC31914"/>
    <w:rsid w:val="405D6728"/>
    <w:rsid w:val="40FD6FDA"/>
    <w:rsid w:val="41110191"/>
    <w:rsid w:val="414A37BB"/>
    <w:rsid w:val="41B45A04"/>
    <w:rsid w:val="42643A73"/>
    <w:rsid w:val="428A2851"/>
    <w:rsid w:val="42AA1012"/>
    <w:rsid w:val="43FB66E3"/>
    <w:rsid w:val="44DC7F4B"/>
    <w:rsid w:val="45651876"/>
    <w:rsid w:val="45CC523B"/>
    <w:rsid w:val="466F6CEB"/>
    <w:rsid w:val="46AA377D"/>
    <w:rsid w:val="48BD520B"/>
    <w:rsid w:val="49363676"/>
    <w:rsid w:val="49713AA7"/>
    <w:rsid w:val="499A2688"/>
    <w:rsid w:val="49D47D5A"/>
    <w:rsid w:val="49EB2377"/>
    <w:rsid w:val="49F62026"/>
    <w:rsid w:val="4A4B48E3"/>
    <w:rsid w:val="4AF173EE"/>
    <w:rsid w:val="4B1A7369"/>
    <w:rsid w:val="4B5137BF"/>
    <w:rsid w:val="4D774E55"/>
    <w:rsid w:val="4DA86B45"/>
    <w:rsid w:val="4E3720DD"/>
    <w:rsid w:val="4EE64717"/>
    <w:rsid w:val="4F510F39"/>
    <w:rsid w:val="4FAF38AA"/>
    <w:rsid w:val="51497070"/>
    <w:rsid w:val="51E025FE"/>
    <w:rsid w:val="52922F88"/>
    <w:rsid w:val="52AA4A52"/>
    <w:rsid w:val="52EF1B5A"/>
    <w:rsid w:val="52FD675A"/>
    <w:rsid w:val="532B7AD5"/>
    <w:rsid w:val="53D80FA7"/>
    <w:rsid w:val="54196C13"/>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FE3555"/>
    <w:rsid w:val="63D7368B"/>
    <w:rsid w:val="63EA24F1"/>
    <w:rsid w:val="657A0549"/>
    <w:rsid w:val="665A104A"/>
    <w:rsid w:val="66ED444E"/>
    <w:rsid w:val="67484273"/>
    <w:rsid w:val="68A603CF"/>
    <w:rsid w:val="69D32689"/>
    <w:rsid w:val="69E27B06"/>
    <w:rsid w:val="69EA623B"/>
    <w:rsid w:val="6A0F3694"/>
    <w:rsid w:val="6A5445FC"/>
    <w:rsid w:val="6A5C1E75"/>
    <w:rsid w:val="6AB76CFB"/>
    <w:rsid w:val="6ABA08C1"/>
    <w:rsid w:val="6BC1702A"/>
    <w:rsid w:val="6C282248"/>
    <w:rsid w:val="6CBD55AC"/>
    <w:rsid w:val="6DE636A7"/>
    <w:rsid w:val="6DE86594"/>
    <w:rsid w:val="6E5C2511"/>
    <w:rsid w:val="6EBE7228"/>
    <w:rsid w:val="6EC4170A"/>
    <w:rsid w:val="6ED90C38"/>
    <w:rsid w:val="7089415E"/>
    <w:rsid w:val="70CF6E8C"/>
    <w:rsid w:val="718764FD"/>
    <w:rsid w:val="725831A5"/>
    <w:rsid w:val="72B86A43"/>
    <w:rsid w:val="73607DE9"/>
    <w:rsid w:val="73711235"/>
    <w:rsid w:val="74370A71"/>
    <w:rsid w:val="753E278B"/>
    <w:rsid w:val="75BE6EB5"/>
    <w:rsid w:val="7815375E"/>
    <w:rsid w:val="790D6252"/>
    <w:rsid w:val="7AE40810"/>
    <w:rsid w:val="7B0749C7"/>
    <w:rsid w:val="7BBB6C68"/>
    <w:rsid w:val="7C574749"/>
    <w:rsid w:val="7C8E2CF6"/>
    <w:rsid w:val="7C967B8B"/>
    <w:rsid w:val="7CD015B7"/>
    <w:rsid w:val="7E4931C0"/>
    <w:rsid w:val="7E7248EE"/>
    <w:rsid w:val="7EEF6C2A"/>
    <w:rsid w:val="7F074C20"/>
    <w:rsid w:val="7F363A3A"/>
    <w:rsid w:val="7F7C3876"/>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30"/>
    <w:qFormat/>
    <w:uiPriority w:val="99"/>
    <w:pPr>
      <w:jc w:val="left"/>
    </w:pPr>
    <w:rPr>
      <w:sz w:val="24"/>
      <w:szCs w:val="20"/>
    </w:rPr>
  </w:style>
  <w:style w:type="paragraph" w:styleId="6">
    <w:name w:val="Body Text"/>
    <w:basedOn w:val="1"/>
    <w:link w:val="49"/>
    <w:unhideWhenUsed/>
    <w:qFormat/>
    <w:locked/>
    <w:uiPriority w:val="99"/>
    <w:pPr>
      <w:spacing w:after="120"/>
    </w:pPr>
  </w:style>
  <w:style w:type="paragraph" w:styleId="7">
    <w:name w:val="Body Text Indent"/>
    <w:basedOn w:val="1"/>
    <w:link w:val="31"/>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2"/>
    <w:qFormat/>
    <w:uiPriority w:val="0"/>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7"/>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locked/>
    <w:uiPriority w:val="0"/>
  </w:style>
  <w:style w:type="character" w:styleId="22">
    <w:name w:val="FollowedHyperlink"/>
    <w:basedOn w:val="19"/>
    <w:semiHidden/>
    <w:unhideWhenUsed/>
    <w:locked/>
    <w:uiPriority w:val="99"/>
    <w:rPr>
      <w:color w:val="4D7AD8"/>
      <w:u w:val="none"/>
    </w:rPr>
  </w:style>
  <w:style w:type="character" w:styleId="23">
    <w:name w:val="HTML Definition"/>
    <w:basedOn w:val="19"/>
    <w:semiHidden/>
    <w:unhideWhenUsed/>
    <w:locked/>
    <w:uiPriority w:val="99"/>
    <w:rPr>
      <w:i/>
      <w:iCs/>
    </w:rPr>
  </w:style>
  <w:style w:type="character" w:styleId="24">
    <w:name w:val="Hyperlink"/>
    <w:qFormat/>
    <w:uiPriority w:val="99"/>
    <w:rPr>
      <w:rFonts w:cs="Times New Roman"/>
      <w:color w:val="0563C1"/>
      <w:u w:val="single"/>
    </w:rPr>
  </w:style>
  <w:style w:type="character" w:styleId="25">
    <w:name w:val="HTML Code"/>
    <w:basedOn w:val="19"/>
    <w:semiHidden/>
    <w:unhideWhenUsed/>
    <w:locked/>
    <w:uiPriority w:val="99"/>
    <w:rPr>
      <w:rFonts w:hint="default" w:ascii="Consolas" w:hAnsi="Consolas" w:eastAsia="Consolas" w:cs="Consolas"/>
      <w:sz w:val="21"/>
      <w:szCs w:val="21"/>
    </w:rPr>
  </w:style>
  <w:style w:type="character" w:styleId="26">
    <w:name w:val="annotation reference"/>
    <w:basedOn w:val="19"/>
    <w:qFormat/>
    <w:uiPriority w:val="99"/>
    <w:rPr>
      <w:rFonts w:cs="Times New Roman"/>
      <w:sz w:val="21"/>
    </w:rPr>
  </w:style>
  <w:style w:type="character" w:styleId="27">
    <w:name w:val="HTML Keyboard"/>
    <w:basedOn w:val="19"/>
    <w:semiHidden/>
    <w:unhideWhenUsed/>
    <w:locked/>
    <w:uiPriority w:val="99"/>
    <w:rPr>
      <w:rFonts w:ascii="Consolas" w:hAnsi="Consolas" w:eastAsia="Consolas" w:cs="Consolas"/>
      <w:sz w:val="21"/>
      <w:szCs w:val="21"/>
    </w:rPr>
  </w:style>
  <w:style w:type="character" w:styleId="28">
    <w:name w:val="HTML Sample"/>
    <w:basedOn w:val="19"/>
    <w:semiHidden/>
    <w:unhideWhenUsed/>
    <w:locked/>
    <w:uiPriority w:val="99"/>
    <w:rPr>
      <w:rFonts w:hint="default" w:ascii="Consolas" w:hAnsi="Consolas" w:eastAsia="Consolas" w:cs="Consolas"/>
      <w:sz w:val="21"/>
      <w:szCs w:val="21"/>
    </w:rPr>
  </w:style>
  <w:style w:type="character" w:customStyle="1" w:styleId="29">
    <w:name w:val="标题 1 字符"/>
    <w:link w:val="3"/>
    <w:qFormat/>
    <w:locked/>
    <w:uiPriority w:val="99"/>
    <w:rPr>
      <w:rFonts w:cs="Times New Roman"/>
      <w:b/>
      <w:kern w:val="44"/>
      <w:sz w:val="44"/>
    </w:rPr>
  </w:style>
  <w:style w:type="character" w:customStyle="1" w:styleId="30">
    <w:name w:val="批注文字 字符"/>
    <w:link w:val="5"/>
    <w:qFormat/>
    <w:locked/>
    <w:uiPriority w:val="99"/>
    <w:rPr>
      <w:rFonts w:cs="Times New Roman"/>
      <w:kern w:val="2"/>
      <w:sz w:val="24"/>
    </w:rPr>
  </w:style>
  <w:style w:type="character" w:customStyle="1" w:styleId="31">
    <w:name w:val="正文文本缩进 字符"/>
    <w:link w:val="7"/>
    <w:qFormat/>
    <w:locked/>
    <w:uiPriority w:val="99"/>
    <w:rPr>
      <w:rFonts w:ascii="等线" w:eastAsia="等线" w:cs="Times New Roman"/>
      <w:kern w:val="2"/>
      <w:sz w:val="22"/>
    </w:rPr>
  </w:style>
  <w:style w:type="character" w:customStyle="1" w:styleId="32">
    <w:name w:val="纯文本 字符"/>
    <w:link w:val="10"/>
    <w:qFormat/>
    <w:locked/>
    <w:uiPriority w:val="0"/>
    <w:rPr>
      <w:rFonts w:ascii="宋体" w:hAnsi="Courier New" w:cs="Times New Roman"/>
      <w:kern w:val="2"/>
      <w:sz w:val="21"/>
    </w:rPr>
  </w:style>
  <w:style w:type="character" w:customStyle="1" w:styleId="33">
    <w:name w:val="日期 字符"/>
    <w:link w:val="11"/>
    <w:qFormat/>
    <w:locked/>
    <w:uiPriority w:val="99"/>
    <w:rPr>
      <w:rFonts w:cs="Times New Roman"/>
      <w:kern w:val="2"/>
      <w:sz w:val="24"/>
    </w:rPr>
  </w:style>
  <w:style w:type="character" w:customStyle="1" w:styleId="34">
    <w:name w:val="批注框文本 字符"/>
    <w:link w:val="12"/>
    <w:semiHidden/>
    <w:qFormat/>
    <w:locked/>
    <w:uiPriority w:val="99"/>
    <w:rPr>
      <w:rFonts w:cs="Times New Roman"/>
      <w:sz w:val="2"/>
    </w:rPr>
  </w:style>
  <w:style w:type="character" w:customStyle="1" w:styleId="35">
    <w:name w:val="页脚 字符"/>
    <w:link w:val="13"/>
    <w:semiHidden/>
    <w:qFormat/>
    <w:locked/>
    <w:uiPriority w:val="99"/>
    <w:rPr>
      <w:rFonts w:cs="Times New Roman"/>
      <w:sz w:val="18"/>
      <w:szCs w:val="18"/>
    </w:rPr>
  </w:style>
  <w:style w:type="character" w:customStyle="1" w:styleId="36">
    <w:name w:val="页眉 字符"/>
    <w:link w:val="14"/>
    <w:qFormat/>
    <w:locked/>
    <w:uiPriority w:val="99"/>
    <w:rPr>
      <w:rFonts w:cs="Times New Roman"/>
      <w:kern w:val="2"/>
      <w:sz w:val="18"/>
    </w:rPr>
  </w:style>
  <w:style w:type="character" w:customStyle="1" w:styleId="37">
    <w:name w:val="批注主题 字符"/>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表段落 字符"/>
    <w:link w:val="40"/>
    <w:qFormat/>
    <w:locked/>
    <w:uiPriority w:val="0"/>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字符"/>
    <w:link w:val="6"/>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6"/>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8">
    <w:name w:val="标准文本"/>
    <w:basedOn w:val="1"/>
    <w:qFormat/>
    <w:uiPriority w:val="0"/>
    <w:pPr>
      <w:spacing w:line="360" w:lineRule="auto"/>
      <w:ind w:firstLine="480" w:firstLineChars="200"/>
    </w:pPr>
    <w:rPr>
      <w:sz w:val="24"/>
      <w:szCs w:val="20"/>
    </w:rPr>
  </w:style>
  <w:style w:type="paragraph" w:customStyle="1" w:styleId="59">
    <w:name w:val="Char Char Char1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60">
    <w:name w:val="isrevision"/>
    <w:basedOn w:val="19"/>
    <w:uiPriority w:val="0"/>
    <w:rPr>
      <w:color w:val="000000"/>
      <w:sz w:val="18"/>
      <w:szCs w:val="18"/>
      <w:bdr w:val="single" w:color="E9E9E9" w:sz="6" w:space="0"/>
      <w:shd w:val="clear" w:fill="FFFFFF"/>
    </w:rPr>
  </w:style>
  <w:style w:type="character" w:customStyle="1" w:styleId="61">
    <w:name w:val="wea-dropdown-triangle"/>
    <w:basedOn w:val="19"/>
    <w:uiPriority w:val="0"/>
  </w:style>
  <w:style w:type="character" w:customStyle="1" w:styleId="62">
    <w:name w:val="disabled"/>
    <w:basedOn w:val="19"/>
    <w:qFormat/>
    <w:uiPriority w:val="0"/>
    <w:rPr>
      <w:color w:val="AAAAAA"/>
      <w:shd w:val="clear" w:fill="F7F7F7"/>
    </w:rPr>
  </w:style>
  <w:style w:type="character" w:customStyle="1" w:styleId="63">
    <w:name w:val="cke_notification_progress"/>
    <w:basedOn w:val="19"/>
    <w:qFormat/>
    <w:uiPriority w:val="0"/>
    <w:rPr>
      <w:shd w:val="clear" w:fill="0F74A8"/>
    </w:rPr>
  </w:style>
  <w:style w:type="character" w:customStyle="1" w:styleId="64">
    <w:name w:val="cke_colorbox1"/>
    <w:basedOn w:val="19"/>
    <w:uiPriority w:val="0"/>
  </w:style>
  <w:style w:type="character" w:customStyle="1" w:styleId="65">
    <w:name w:val="cke_colorbox2"/>
    <w:basedOn w:val="19"/>
    <w:uiPriority w:val="0"/>
  </w:style>
  <w:style w:type="character" w:customStyle="1" w:styleId="66">
    <w:name w:val="cke_colorbox3"/>
    <w:basedOn w:val="19"/>
    <w:uiPriority w:val="0"/>
    <w:rPr>
      <w:bdr w:val="single" w:color="808080" w:sz="6" w:space="0"/>
    </w:rPr>
  </w:style>
  <w:style w:type="character" w:customStyle="1" w:styleId="67">
    <w:name w:val="cke_colorbox4"/>
    <w:basedOn w:val="19"/>
    <w:uiPriority w:val="0"/>
  </w:style>
  <w:style w:type="character" w:customStyle="1" w:styleId="68">
    <w:name w:val="passed-node"/>
    <w:basedOn w:val="19"/>
    <w:uiPriority w:val="0"/>
    <w:rPr>
      <w:bdr w:val="single" w:color="49A8D4" w:sz="6" w:space="0"/>
      <w:shd w:val="clear" w:fill="A9E3FF"/>
    </w:rPr>
  </w:style>
  <w:style w:type="character" w:customStyle="1" w:styleId="69">
    <w:name w:val="button"/>
    <w:basedOn w:val="19"/>
    <w:uiPriority w:val="0"/>
  </w:style>
  <w:style w:type="character" w:customStyle="1" w:styleId="70">
    <w:name w:val="button1"/>
    <w:basedOn w:val="19"/>
    <w:uiPriority w:val="0"/>
    <w:rPr>
      <w:color w:val="000000"/>
      <w:bdr w:val="single" w:color="FFB951" w:sz="6" w:space="0"/>
      <w:shd w:val="clear" w:fill="FFE6B0"/>
    </w:rPr>
  </w:style>
  <w:style w:type="character" w:customStyle="1" w:styleId="71">
    <w:name w:val="cke_dialog_ui_button2"/>
    <w:basedOn w:val="19"/>
    <w:uiPriority w:val="0"/>
  </w:style>
  <w:style w:type="character" w:customStyle="1" w:styleId="72">
    <w:name w:val="ant-select-tree-iconele"/>
    <w:basedOn w:val="19"/>
    <w:uiPriority w:val="0"/>
  </w:style>
  <w:style w:type="character" w:customStyle="1" w:styleId="73">
    <w:name w:val="ant-select-tree-checkbox"/>
    <w:basedOn w:val="19"/>
    <w:uiPriority w:val="0"/>
  </w:style>
  <w:style w:type="character" w:customStyle="1" w:styleId="74">
    <w:name w:val="first-of-type"/>
    <w:basedOn w:val="19"/>
    <w:uiPriority w:val="0"/>
    <w:rPr>
      <w:color w:val="FF0000"/>
    </w:rPr>
  </w:style>
  <w:style w:type="character" w:customStyle="1" w:styleId="75">
    <w:name w:val="first-of-type1"/>
    <w:basedOn w:val="19"/>
    <w:uiPriority w:val="0"/>
    <w:rPr>
      <w:color w:val="FF0000"/>
    </w:rPr>
  </w:style>
  <w:style w:type="character" w:customStyle="1" w:styleId="76">
    <w:name w:val="first-of-type2"/>
    <w:basedOn w:val="19"/>
    <w:qFormat/>
    <w:uiPriority w:val="0"/>
    <w:rPr>
      <w:color w:val="FF0000"/>
    </w:rPr>
  </w:style>
  <w:style w:type="character" w:customStyle="1" w:styleId="77">
    <w:name w:val="ant-radio+*"/>
    <w:basedOn w:val="19"/>
    <w:uiPriority w:val="0"/>
  </w:style>
  <w:style w:type="character" w:customStyle="1" w:styleId="78">
    <w:name w:val="tmpztreemove_arrow"/>
    <w:basedOn w:val="19"/>
    <w:uiPriority w:val="0"/>
  </w:style>
  <w:style w:type="character" w:customStyle="1" w:styleId="79">
    <w:name w:val="current-node"/>
    <w:basedOn w:val="19"/>
    <w:qFormat/>
    <w:uiPriority w:val="0"/>
    <w:rPr>
      <w:bdr w:val="single" w:color="F5B87B" w:sz="6" w:space="0"/>
      <w:shd w:val="clear" w:fill="FFE8CC"/>
    </w:rPr>
  </w:style>
  <w:style w:type="character" w:customStyle="1" w:styleId="80">
    <w:name w:val="auto-pass-node"/>
    <w:basedOn w:val="19"/>
    <w:qFormat/>
    <w:uiPriority w:val="0"/>
    <w:rPr>
      <w:bdr w:val="single" w:color="DC4446" w:sz="6" w:space="0"/>
      <w:shd w:val="clear" w:fill="A9E2FF"/>
    </w:rPr>
  </w:style>
  <w:style w:type="character" w:customStyle="1" w:styleId="81">
    <w:name w:val="ant-select-tree-switcher"/>
    <w:basedOn w:val="19"/>
    <w:qFormat/>
    <w:uiPriority w:val="0"/>
  </w:style>
  <w:style w:type="character" w:customStyle="1" w:styleId="82">
    <w:name w:val="ant-tree-iconele"/>
    <w:basedOn w:val="19"/>
    <w:qFormat/>
    <w:uiPriority w:val="0"/>
  </w:style>
  <w:style w:type="character" w:customStyle="1" w:styleId="83">
    <w:name w:val="ant-tree-checkbox7"/>
    <w:basedOn w:val="19"/>
    <w:uiPriority w:val="0"/>
  </w:style>
  <w:style w:type="character" w:customStyle="1" w:styleId="84">
    <w:name w:val="ant-tree-switcher"/>
    <w:basedOn w:val="19"/>
    <w:qFormat/>
    <w:uiPriority w:val="0"/>
  </w:style>
  <w:style w:type="character" w:customStyle="1" w:styleId="85">
    <w:name w:val="hover37"/>
    <w:basedOn w:val="19"/>
    <w:qFormat/>
    <w:uiPriority w:val="0"/>
    <w:rPr>
      <w:color w:val="009DFF"/>
    </w:rPr>
  </w:style>
  <w:style w:type="character" w:customStyle="1" w:styleId="86">
    <w:name w:val="hover38"/>
    <w:basedOn w:val="19"/>
    <w:qFormat/>
    <w:uiPriority w:val="0"/>
    <w:rPr>
      <w:color w:val="009DFF"/>
    </w:rPr>
  </w:style>
  <w:style w:type="character" w:customStyle="1" w:styleId="87">
    <w:name w:val="wea-thumbnails-doc-content-subtitle"/>
    <w:basedOn w:val="19"/>
    <w:uiPriority w:val="0"/>
    <w:rPr>
      <w:color w:val="9A9A9A"/>
    </w:rPr>
  </w:style>
  <w:style w:type="character" w:customStyle="1" w:styleId="88">
    <w:name w:val="ant-table-row-expand-icon4"/>
    <w:basedOn w:val="19"/>
    <w:qFormat/>
    <w:uiPriority w:val="0"/>
    <w:rPr>
      <w:vanish/>
    </w:rPr>
  </w:style>
  <w:style w:type="character" w:customStyle="1" w:styleId="89">
    <w:name w:val="not-pass-node"/>
    <w:basedOn w:val="19"/>
    <w:uiPriority w:val="0"/>
    <w:rPr>
      <w:bdr w:val="single" w:color="5ABD6B" w:sz="6" w:space="0"/>
      <w:shd w:val="clear" w:fill="BFF3C3"/>
    </w:rPr>
  </w:style>
  <w:style w:type="character" w:customStyle="1" w:styleId="90">
    <w:name w:val="cke_path_empty2"/>
    <w:basedOn w:val="19"/>
    <w:uiPriority w:val="0"/>
    <w:rPr>
      <w:b/>
      <w:bCs/>
      <w:color w:val="484848"/>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E111D-7270-4781-B73D-438D940A3B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18294</Words>
  <Characters>18991</Characters>
  <Lines>141</Lines>
  <Paragraphs>39</Paragraphs>
  <TotalTime>9</TotalTime>
  <ScaleCrop>false</ScaleCrop>
  <LinksUpToDate>false</LinksUpToDate>
  <CharactersWithSpaces>19148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2022-03-31T01:27:00Z</dcterms:created>
  <dc:creator>微软用户</dc:creator>
  <cp:lastModifiedBy>Administrator</cp:lastModifiedBy>
  <cp:lastPrinted>2019-11-22T01:53:00Z</cp:lastPrinted>
  <dcterms:modified xsi:type="dcterms:W3CDTF">2022-03-31T06:35:57Z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7FBDF63D27554338BB8BC1E9614956A8</vt:lpwstr>
  </property>
</Properties>
</file>