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highlight w:val="none"/>
        </w:rPr>
      </w:pPr>
      <w:bookmarkStart w:id="0" w:name="OLE_LINK2"/>
      <w:bookmarkStart w:id="1" w:name="OLE_LINK1"/>
      <w:r>
        <w:rPr>
          <w:b/>
          <w:sz w:val="44"/>
          <w:szCs w:val="44"/>
          <w:highlight w:val="none"/>
        </w:rPr>
        <w:t>南京信息工程大学</w:t>
      </w:r>
      <w:bookmarkEnd w:id="0"/>
      <w:bookmarkEnd w:id="1"/>
      <w:r>
        <w:rPr>
          <w:rFonts w:hint="eastAsia"/>
          <w:b/>
          <w:sz w:val="44"/>
          <w:szCs w:val="44"/>
          <w:highlight w:val="none"/>
        </w:rPr>
        <w:t>信息科技大楼机房数据安全</w:t>
      </w:r>
    </w:p>
    <w:p>
      <w:pPr>
        <w:jc w:val="center"/>
        <w:rPr>
          <w:b/>
          <w:sz w:val="44"/>
          <w:szCs w:val="44"/>
          <w:highlight w:val="none"/>
        </w:rPr>
      </w:pPr>
      <w:bookmarkStart w:id="30" w:name="_GoBack"/>
      <w:bookmarkEnd w:id="30"/>
      <w:r>
        <w:rPr>
          <w:rFonts w:hint="eastAsia"/>
          <w:b/>
          <w:sz w:val="44"/>
          <w:szCs w:val="44"/>
          <w:highlight w:val="none"/>
        </w:rPr>
        <w:t>网关</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8"/>
        <w:ind w:left="1470" w:right="1470"/>
        <w:rPr>
          <w:highlight w:val="none"/>
        </w:rPr>
      </w:pPr>
    </w:p>
    <w:p>
      <w:pPr>
        <w:widowControl/>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JZCG-2022-00103</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年0</w:t>
      </w:r>
      <w:r>
        <w:rPr>
          <w:rFonts w:hint="eastAsia" w:ascii="宋体" w:hAnsi="宋体" w:cs="仿宋"/>
          <w:sz w:val="28"/>
          <w:szCs w:val="28"/>
          <w:highlight w:val="none"/>
          <w:u w:val="single"/>
          <w:lang w:val="en-US" w:eastAsia="zh-CN"/>
        </w:rPr>
        <w:t>9</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22</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4</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信息化建设</w:t>
      </w:r>
      <w:r>
        <w:rPr>
          <w:rFonts w:ascii="宋体" w:hAnsi="宋体"/>
          <w:sz w:val="28"/>
          <w:szCs w:val="28"/>
          <w:highlight w:val="none"/>
        </w:rPr>
        <w:t>与管理处委托，就</w:t>
      </w:r>
      <w:r>
        <w:rPr>
          <w:rFonts w:hint="eastAsia" w:ascii="宋体" w:hAnsi="宋体"/>
          <w:sz w:val="28"/>
          <w:szCs w:val="28"/>
          <w:highlight w:val="none"/>
        </w:rPr>
        <w:t>信息科技大楼机房数据安全网关项目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5"/>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5"/>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rPr>
        <w:t>信息科技大楼机房数据安全网关</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2"/>
          <w:b/>
          <w:color w:val="auto"/>
          <w:sz w:val="24"/>
          <w:highlight w:val="none"/>
        </w:rPr>
        <w:t>https://bulletin.nuist.edu.cn/779/lis</w:t>
      </w:r>
      <w:r>
        <w:rPr>
          <w:rStyle w:val="22"/>
          <w:color w:val="auto"/>
          <w:sz w:val="24"/>
          <w:highlight w:val="none"/>
        </w:rPr>
        <w:t>t.htm</w:t>
      </w:r>
      <w:r>
        <w:rPr>
          <w:rStyle w:val="22"/>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六、本项目预算价为3</w:t>
      </w:r>
      <w:r>
        <w:rPr>
          <w:rFonts w:ascii="宋体" w:hAnsi="宋体" w:cs="宋体"/>
          <w:sz w:val="28"/>
          <w:szCs w:val="28"/>
          <w:highlight w:val="none"/>
        </w:rPr>
        <w:t>8</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widowControl/>
        <w:jc w:val="left"/>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“JZCG-2022-00103资料费”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w:t>
      </w:r>
      <w:r>
        <w:rPr>
          <w:rFonts w:ascii="宋体" w:hAnsi="宋体" w:cs="宋体"/>
          <w:sz w:val="28"/>
          <w:szCs w:val="28"/>
          <w:highlight w:val="none"/>
        </w:rPr>
        <w:t>5</w:t>
      </w:r>
      <w:r>
        <w:rPr>
          <w:rFonts w:hint="eastAsia" w:ascii="宋体" w:hAnsi="宋体" w:cs="宋体"/>
          <w:sz w:val="28"/>
          <w:szCs w:val="28"/>
          <w:highlight w:val="none"/>
        </w:rPr>
        <w:t>%作为履约保证金并前来我校领取《中标通知书》（一式二份）。</w:t>
      </w:r>
      <w:bookmarkStart w:id="6" w:name="_Hlk114041285"/>
      <w:r>
        <w:rPr>
          <w:rFonts w:hint="eastAsia" w:ascii="宋体" w:hAnsi="宋体" w:cs="宋体"/>
          <w:sz w:val="28"/>
          <w:szCs w:val="28"/>
          <w:highlight w:val="none"/>
        </w:rPr>
        <w:t>服务完成履约保证金转为质量保证金。</w:t>
      </w:r>
    </w:p>
    <w:bookmarkEnd w:id="6"/>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全部货物交货并最终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widowControl/>
        <w:jc w:val="left"/>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“JZCG-2022-00103资料费”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履约保证金：中标价</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7"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年0</w:t>
      </w:r>
      <w:r>
        <w:rPr>
          <w:rFonts w:hint="eastAsia" w:ascii="宋体" w:hAnsi="宋体"/>
          <w:b/>
          <w:sz w:val="28"/>
          <w:szCs w:val="28"/>
          <w:highlight w:val="none"/>
          <w:u w:val="single"/>
          <w:lang w:val="en-US" w:eastAsia="zh-CN"/>
        </w:rPr>
        <w:t>9</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29</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r>
        <w:rPr>
          <w:rFonts w:hint="eastAsia" w:ascii="宋体" w:hAnsi="宋体"/>
          <w:sz w:val="28"/>
          <w:szCs w:val="28"/>
          <w:highlight w:val="none"/>
          <w:lang w:val="en-US" w:eastAsia="zh-CN"/>
        </w:rPr>
        <w:t>13</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bookmarkStart w:id="8" w:name="_Hlk32349437"/>
    </w:p>
    <w:bookmarkEnd w:id="8"/>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r>
        <w:rPr>
          <w:rFonts w:hint="eastAsia" w:ascii="宋体" w:hAnsi="宋体"/>
          <w:sz w:val="28"/>
          <w:szCs w:val="28"/>
          <w:highlight w:val="none"/>
          <w:lang w:val="en-US" w:eastAsia="zh-CN"/>
        </w:rPr>
        <w:t>13</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7"/>
      <w:r>
        <w:rPr>
          <w:rFonts w:hint="eastAsia" w:ascii="宋体" w:hAnsi="宋体"/>
          <w:sz w:val="28"/>
          <w:szCs w:val="28"/>
          <w:highlight w:val="none"/>
        </w:rPr>
        <w:t>用户单位联系电话：0</w:t>
      </w:r>
      <w:r>
        <w:rPr>
          <w:rFonts w:ascii="宋体" w:hAnsi="宋体"/>
          <w:sz w:val="28"/>
          <w:szCs w:val="28"/>
          <w:highlight w:val="none"/>
        </w:rPr>
        <w:t>25-58731440</w:t>
      </w:r>
      <w:r>
        <w:rPr>
          <w:rFonts w:hint="eastAsia" w:ascii="宋体" w:hAnsi="宋体"/>
          <w:sz w:val="28"/>
          <w:szCs w:val="28"/>
          <w:highlight w:val="none"/>
        </w:rPr>
        <w:t>，联系人：谢老师</w:t>
      </w:r>
      <w:r>
        <w:rPr>
          <w:rFonts w:hint="eastAsia" w:ascii="宋体" w:hAnsi="宋体"/>
          <w:sz w:val="28"/>
          <w:szCs w:val="28"/>
          <w:highlight w:val="none"/>
          <w:lang w:eastAsia="zh-CN"/>
        </w:rPr>
        <w:t>、</w:t>
      </w:r>
      <w:r>
        <w:rPr>
          <w:rFonts w:hint="eastAsia" w:ascii="宋体" w:hAnsi="宋体"/>
          <w:sz w:val="28"/>
          <w:szCs w:val="28"/>
          <w:highlight w:val="none"/>
        </w:rPr>
        <w:t>管老师。</w:t>
      </w:r>
    </w:p>
    <w:p>
      <w:pPr>
        <w:pStyle w:val="8"/>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jc w:val="right"/>
        <w:rPr>
          <w:rFonts w:ascii="宋体"/>
          <w:b/>
          <w:sz w:val="28"/>
          <w:szCs w:val="28"/>
          <w:highlight w:val="none"/>
        </w:rPr>
      </w:pPr>
      <w:bookmarkStart w:id="9" w:name="_Hlk9866962"/>
      <w:r>
        <w:rPr>
          <w:rFonts w:hint="eastAsia" w:ascii="宋体" w:hAnsi="宋体"/>
          <w:b/>
          <w:sz w:val="28"/>
          <w:szCs w:val="28"/>
          <w:highlight w:val="none"/>
        </w:rPr>
        <w:t>南京信息工程大学招标办</w:t>
      </w:r>
    </w:p>
    <w:p>
      <w:pPr>
        <w:pStyle w:val="11"/>
        <w:spacing w:line="360" w:lineRule="auto"/>
        <w:ind w:left="99" w:leftChars="47" w:firstLine="4919" w:firstLineChars="1750"/>
        <w:jc w:val="right"/>
        <w:rPr>
          <w:rStyle w:val="42"/>
          <w:rFonts w:ascii="宋体" w:hAnsi="Times New Roman" w:eastAsia="宋体"/>
          <w:sz w:val="28"/>
          <w:szCs w:val="28"/>
          <w:highlight w:val="none"/>
        </w:rPr>
      </w:pPr>
      <w:r>
        <w:rPr>
          <w:rStyle w:val="42"/>
          <w:rFonts w:ascii="宋体" w:hAnsi="宋体" w:eastAsia="宋体"/>
          <w:sz w:val="28"/>
          <w:szCs w:val="28"/>
          <w:highlight w:val="none"/>
        </w:rPr>
        <w:t>20</w:t>
      </w:r>
      <w:r>
        <w:rPr>
          <w:rStyle w:val="42"/>
          <w:rFonts w:hint="eastAsia" w:ascii="宋体" w:hAnsi="宋体" w:eastAsia="宋体"/>
          <w:sz w:val="28"/>
          <w:szCs w:val="28"/>
          <w:highlight w:val="none"/>
        </w:rPr>
        <w:t>2</w:t>
      </w:r>
      <w:r>
        <w:rPr>
          <w:rStyle w:val="42"/>
          <w:rFonts w:hint="eastAsia" w:ascii="宋体" w:hAnsi="宋体"/>
          <w:sz w:val="28"/>
          <w:szCs w:val="28"/>
          <w:highlight w:val="none"/>
          <w:lang w:val="en-US"/>
        </w:rPr>
        <w:t>2</w:t>
      </w:r>
      <w:r>
        <w:rPr>
          <w:rStyle w:val="42"/>
          <w:rFonts w:hint="eastAsia" w:ascii="宋体" w:hAnsi="宋体" w:eastAsia="宋体"/>
          <w:sz w:val="28"/>
          <w:szCs w:val="28"/>
          <w:highlight w:val="none"/>
        </w:rPr>
        <w:t>年</w:t>
      </w:r>
      <w:r>
        <w:rPr>
          <w:rStyle w:val="42"/>
          <w:rFonts w:hint="eastAsia" w:ascii="宋体" w:hAnsi="宋体"/>
          <w:sz w:val="28"/>
          <w:szCs w:val="28"/>
          <w:highlight w:val="none"/>
        </w:rPr>
        <w:t>0</w:t>
      </w:r>
      <w:r>
        <w:rPr>
          <w:rStyle w:val="42"/>
          <w:rFonts w:hint="eastAsia" w:ascii="宋体" w:hAnsi="宋体"/>
          <w:sz w:val="28"/>
          <w:szCs w:val="28"/>
          <w:highlight w:val="none"/>
          <w:lang w:val="en-US"/>
        </w:rPr>
        <w:t>9</w:t>
      </w:r>
      <w:r>
        <w:rPr>
          <w:rStyle w:val="42"/>
          <w:rFonts w:hint="eastAsia" w:ascii="宋体" w:hAnsi="宋体" w:eastAsia="宋体"/>
          <w:sz w:val="28"/>
          <w:szCs w:val="28"/>
          <w:highlight w:val="none"/>
        </w:rPr>
        <w:t>月</w:t>
      </w:r>
      <w:r>
        <w:rPr>
          <w:rStyle w:val="42"/>
          <w:rFonts w:hint="eastAsia" w:ascii="宋体" w:hAnsi="宋体"/>
          <w:sz w:val="28"/>
          <w:szCs w:val="28"/>
          <w:highlight w:val="none"/>
          <w:lang w:val="en-US"/>
        </w:rPr>
        <w:t>22</w:t>
      </w:r>
      <w:r>
        <w:rPr>
          <w:rStyle w:val="42"/>
          <w:rFonts w:hint="eastAsia" w:ascii="宋体" w:hAnsi="宋体" w:eastAsia="宋体"/>
          <w:sz w:val="28"/>
          <w:szCs w:val="28"/>
          <w:highlight w:val="none"/>
        </w:rPr>
        <w:t>日</w:t>
      </w:r>
    </w:p>
    <w:bookmarkEnd w:id="9"/>
    <w:p>
      <w:pPr>
        <w:pStyle w:val="10"/>
        <w:adjustRightInd w:val="0"/>
        <w:snapToGrid w:val="0"/>
        <w:spacing w:before="120" w:after="120" w:line="360" w:lineRule="auto"/>
        <w:rPr>
          <w:rStyle w:val="42"/>
          <w:rFonts w:ascii="宋体" w:hAnsi="宋体" w:eastAsia="宋体"/>
          <w:b w:val="0"/>
          <w:sz w:val="28"/>
          <w:szCs w:val="28"/>
          <w:highlight w:val="none"/>
        </w:rPr>
      </w:pPr>
      <w:r>
        <w:rPr>
          <w:rStyle w:val="42"/>
          <w:rFonts w:ascii="宋体" w:hAnsi="Times New Roman" w:eastAsia="宋体"/>
          <w:b w:val="0"/>
          <w:sz w:val="28"/>
          <w:szCs w:val="28"/>
          <w:highlight w:val="none"/>
        </w:rPr>
        <w:br w:type="page"/>
      </w:r>
      <w:bookmarkStart w:id="10"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spacing w:line="240" w:lineRule="atLeast"/>
        <w:ind w:firstLine="420" w:firstLineChars="200"/>
        <w:rPr>
          <w:rFonts w:ascii="宋体" w:hAnsi="宋体"/>
          <w:szCs w:val="21"/>
          <w:highlight w:val="none"/>
        </w:rPr>
      </w:pPr>
      <w:r>
        <w:rPr>
          <w:rFonts w:hint="eastAsia" w:ascii="宋体" w:hAnsi="宋体"/>
          <w:szCs w:val="21"/>
          <w:highlight w:val="none"/>
        </w:rPr>
        <w:t>为加强IPv4和IPv6网络的安全管理，提高IPS安全防御能力，保障网络出口高效运行，现购置一台机房数据安全网关，具体要求如下：</w:t>
      </w:r>
    </w:p>
    <w:p>
      <w:pPr>
        <w:spacing w:line="240" w:lineRule="atLeast"/>
        <w:ind w:firstLine="422" w:firstLineChars="200"/>
        <w:rPr>
          <w:rFonts w:ascii="宋体" w:hAnsi="宋体"/>
          <w:b/>
          <w:bCs/>
          <w:sz w:val="24"/>
          <w:highlight w:val="none"/>
        </w:rPr>
      </w:pPr>
      <w:r>
        <w:rPr>
          <w:rFonts w:hint="eastAsia" w:ascii="宋体" w:hAnsi="宋体"/>
          <w:b/>
          <w:szCs w:val="21"/>
          <w:highlight w:val="none"/>
        </w:rPr>
        <w:t>一、</w:t>
      </w:r>
      <w:r>
        <w:rPr>
          <w:rFonts w:hint="eastAsia" w:ascii="宋体" w:hAnsi="宋体"/>
          <w:b/>
          <w:sz w:val="24"/>
          <w:highlight w:val="none"/>
        </w:rPr>
        <w:t>招标文件要求：</w:t>
      </w:r>
    </w:p>
    <w:tbl>
      <w:tblPr>
        <w:tblStyle w:val="18"/>
        <w:tblW w:w="8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7" w:hRule="atLeast"/>
          <w:jc w:val="center"/>
        </w:trPr>
        <w:tc>
          <w:tcPr>
            <w:tcW w:w="1086" w:type="dxa"/>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性能</w:t>
            </w:r>
          </w:p>
        </w:tc>
        <w:tc>
          <w:tcPr>
            <w:tcW w:w="6924" w:type="dxa"/>
            <w:vAlign w:val="center"/>
          </w:tcPr>
          <w:p>
            <w:pPr>
              <w:pStyle w:val="54"/>
              <w:spacing w:before="0" w:beforeAutospacing="0" w:after="0" w:afterAutospacing="0" w:line="360" w:lineRule="auto"/>
              <w:jc w:val="both"/>
              <w:rPr>
                <w:highlight w:val="none"/>
              </w:rPr>
            </w:pPr>
            <w:bookmarkStart w:id="11" w:name="OLE_LINK94"/>
            <w:bookmarkStart w:id="12" w:name="OLE_LINK93"/>
            <w:r>
              <w:rPr>
                <w:rFonts w:hint="eastAsia"/>
                <w:sz w:val="21"/>
                <w:szCs w:val="21"/>
                <w:highlight w:val="none"/>
              </w:rPr>
              <w:t>1、</w:t>
            </w:r>
            <w:bookmarkStart w:id="13" w:name="OLE_LINK138"/>
            <w:bookmarkStart w:id="14" w:name="OLE_LINK139"/>
            <w:r>
              <w:rPr>
                <w:rFonts w:hint="eastAsia"/>
                <w:sz w:val="21"/>
                <w:szCs w:val="21"/>
                <w:highlight w:val="none"/>
              </w:rPr>
              <w:t>★</w:t>
            </w:r>
            <w:bookmarkEnd w:id="13"/>
            <w:bookmarkEnd w:id="14"/>
            <w:r>
              <w:rPr>
                <w:rFonts w:hint="eastAsia"/>
                <w:sz w:val="21"/>
                <w:szCs w:val="21"/>
                <w:highlight w:val="none"/>
              </w:rPr>
              <w:t>硬件架构、1+1冗余电源，接口配置≥8个千兆SFP，≥</w:t>
            </w:r>
            <w:r>
              <w:rPr>
                <w:sz w:val="21"/>
                <w:szCs w:val="21"/>
                <w:highlight w:val="none"/>
              </w:rPr>
              <w:t>12</w:t>
            </w:r>
            <w:r>
              <w:rPr>
                <w:rFonts w:hint="eastAsia"/>
                <w:sz w:val="21"/>
                <w:szCs w:val="21"/>
                <w:highlight w:val="none"/>
              </w:rPr>
              <w:t>个万兆SFP+，最大可以配置≥</w:t>
            </w:r>
            <w:r>
              <w:rPr>
                <w:sz w:val="21"/>
                <w:szCs w:val="21"/>
                <w:highlight w:val="none"/>
              </w:rPr>
              <w:t>16</w:t>
            </w:r>
            <w:r>
              <w:rPr>
                <w:rFonts w:hint="eastAsia"/>
                <w:sz w:val="21"/>
                <w:szCs w:val="21"/>
                <w:highlight w:val="none"/>
              </w:rPr>
              <w:t>个万兆口；性能最小≥40Gbps，并发数1000万；</w:t>
            </w:r>
          </w:p>
          <w:p>
            <w:pPr>
              <w:pStyle w:val="53"/>
              <w:adjustRightInd w:val="0"/>
              <w:snapToGrid w:val="0"/>
              <w:spacing w:line="360" w:lineRule="auto"/>
              <w:ind w:firstLine="0" w:firstLineChars="0"/>
              <w:rPr>
                <w:rFonts w:ascii="宋体" w:hAnsi="宋体" w:eastAsia="宋体"/>
                <w:sz w:val="21"/>
                <w:szCs w:val="21"/>
                <w:highlight w:val="none"/>
                <w:lang w:val="en-US"/>
              </w:rPr>
            </w:pPr>
            <w:r>
              <w:rPr>
                <w:rFonts w:hint="eastAsia" w:ascii="宋体" w:hAnsi="宋体" w:eastAsia="宋体"/>
                <w:sz w:val="21"/>
                <w:szCs w:val="21"/>
                <w:highlight w:val="none"/>
                <w:lang w:val="en-US"/>
              </w:rPr>
              <w:t>2、设备开机到正常工作启动时间小于45秒，故障快速恢复；</w:t>
            </w:r>
          </w:p>
          <w:p>
            <w:pPr>
              <w:pStyle w:val="53"/>
              <w:adjustRightInd w:val="0"/>
              <w:snapToGrid w:val="0"/>
              <w:spacing w:line="360" w:lineRule="auto"/>
              <w:ind w:firstLine="0" w:firstLineChars="0"/>
              <w:rPr>
                <w:rFonts w:ascii="宋体" w:hAnsi="宋体" w:eastAsia="宋体"/>
                <w:sz w:val="21"/>
                <w:szCs w:val="21"/>
                <w:highlight w:val="none"/>
                <w:lang w:val="en-US"/>
              </w:rPr>
            </w:pPr>
            <w:r>
              <w:rPr>
                <w:rFonts w:hint="eastAsia" w:ascii="宋体" w:hAnsi="宋体" w:eastAsia="宋体"/>
                <w:sz w:val="21"/>
                <w:szCs w:val="21"/>
                <w:highlight w:val="none"/>
                <w:lang w:val="en-US"/>
              </w:rPr>
              <w:t>3、支持DHCP、DHCPv6、DHCP中继；</w:t>
            </w:r>
          </w:p>
          <w:p>
            <w:pPr>
              <w:pStyle w:val="53"/>
              <w:adjustRightInd w:val="0"/>
              <w:snapToGrid w:val="0"/>
              <w:spacing w:line="360" w:lineRule="auto"/>
              <w:ind w:firstLine="0" w:firstLineChars="0"/>
              <w:rPr>
                <w:rFonts w:ascii="宋体" w:hAnsi="宋体" w:eastAsia="宋体"/>
                <w:sz w:val="21"/>
                <w:szCs w:val="21"/>
                <w:highlight w:val="none"/>
                <w:lang w:val="en-US"/>
              </w:rPr>
            </w:pPr>
            <w:r>
              <w:rPr>
                <w:rFonts w:hint="eastAsia" w:ascii="宋体" w:hAnsi="宋体" w:eastAsia="宋体"/>
                <w:sz w:val="21"/>
                <w:szCs w:val="21"/>
                <w:highlight w:val="none"/>
                <w:lang w:val="en-US"/>
              </w:rPr>
              <w:t xml:space="preserve">4、支持多链路接入策略路由，使用多个路由表实现多个不同的出口，通过路由规则实现数据包的路径选择。规则支持源接口、源地址、目标接口、目标地址、服务及时间表等配置； </w:t>
            </w:r>
          </w:p>
          <w:p>
            <w:pPr>
              <w:pStyle w:val="53"/>
              <w:adjustRightInd w:val="0"/>
              <w:snapToGrid w:val="0"/>
              <w:spacing w:line="360" w:lineRule="auto"/>
              <w:ind w:firstLine="0" w:firstLineChars="0"/>
              <w:rPr>
                <w:rFonts w:ascii="宋体" w:hAnsi="宋体" w:eastAsia="宋体"/>
                <w:sz w:val="21"/>
                <w:szCs w:val="21"/>
                <w:highlight w:val="none"/>
                <w:lang w:val="en-US"/>
              </w:rPr>
            </w:pPr>
            <w:r>
              <w:rPr>
                <w:rFonts w:hint="eastAsia" w:ascii="宋体" w:hAnsi="宋体" w:eastAsia="宋体"/>
                <w:sz w:val="21"/>
                <w:szCs w:val="21"/>
                <w:highlight w:val="none"/>
                <w:lang w:val="en-US"/>
              </w:rPr>
              <w:t>5、</w:t>
            </w:r>
            <w:r>
              <w:rPr>
                <w:rFonts w:hint="eastAsia" w:ascii="微软雅黑" w:hAnsi="微软雅黑" w:eastAsia="微软雅黑"/>
                <w:color w:val="333333"/>
                <w:sz w:val="21"/>
                <w:szCs w:val="21"/>
                <w:highlight w:val="none"/>
                <w:shd w:val="clear" w:color="auto" w:fill="F7F7F7"/>
              </w:rPr>
              <w:t>▲</w:t>
            </w:r>
            <w:r>
              <w:rPr>
                <w:rFonts w:hint="eastAsia" w:ascii="宋体" w:hAnsi="宋体" w:eastAsia="宋体"/>
                <w:sz w:val="21"/>
                <w:szCs w:val="21"/>
                <w:highlight w:val="none"/>
                <w:lang w:val="en-US"/>
              </w:rPr>
              <w:t>支持链路备份，链路状态支持接口状态检测、ARP接口、ICMP主机检测、TCP检测及HTTP检测等多种手段；</w:t>
            </w:r>
          </w:p>
          <w:p>
            <w:pPr>
              <w:pStyle w:val="53"/>
              <w:adjustRightInd w:val="0"/>
              <w:snapToGrid w:val="0"/>
              <w:spacing w:line="360" w:lineRule="auto"/>
              <w:ind w:firstLine="0" w:firstLineChars="0"/>
              <w:rPr>
                <w:rFonts w:ascii="宋体" w:hAnsi="宋体" w:eastAsia="宋体"/>
                <w:sz w:val="21"/>
                <w:szCs w:val="21"/>
                <w:highlight w:val="none"/>
                <w:lang w:val="en-US"/>
              </w:rPr>
            </w:pPr>
            <w:r>
              <w:rPr>
                <w:rFonts w:hint="eastAsia" w:ascii="宋体" w:hAnsi="宋体" w:eastAsia="宋体"/>
                <w:sz w:val="21"/>
                <w:szCs w:val="21"/>
                <w:highlight w:val="none"/>
                <w:lang w:val="en-US"/>
              </w:rPr>
              <w:t>6、链路均衡支持轮询、目标地址及带宽溢出等算法，链路均衡可与策略路由混合使用，服务器负载均衡支持IP/NET循环和延时检测算法，可以通ICMP、TCP端口侦测等服务器在线检测机制；</w:t>
            </w:r>
          </w:p>
          <w:bookmarkEnd w:id="11"/>
          <w:bookmarkEnd w:id="12"/>
          <w:p>
            <w:pPr>
              <w:adjustRightInd w:val="0"/>
              <w:snapToGrid w:val="0"/>
              <w:spacing w:line="360" w:lineRule="auto"/>
              <w:jc w:val="left"/>
              <w:rPr>
                <w:rFonts w:ascii="宋体" w:hAnsi="宋体"/>
                <w:szCs w:val="21"/>
                <w:highlight w:val="none"/>
              </w:rPr>
            </w:pPr>
            <w:r>
              <w:rPr>
                <w:rFonts w:hint="eastAsia"/>
                <w:szCs w:val="21"/>
                <w:highlight w:val="none"/>
              </w:rPr>
              <w:t>8、</w:t>
            </w:r>
            <w:bookmarkStart w:id="15" w:name="OLE_LINK143"/>
            <w:bookmarkStart w:id="16" w:name="OLE_LINK142"/>
            <w:r>
              <w:rPr>
                <w:rFonts w:hint="eastAsia" w:ascii="微软雅黑" w:hAnsi="微软雅黑" w:eastAsia="微软雅黑"/>
                <w:color w:val="333333"/>
                <w:szCs w:val="21"/>
                <w:highlight w:val="none"/>
                <w:shd w:val="clear" w:color="auto" w:fill="F7F7F7"/>
              </w:rPr>
              <w:t>▲</w:t>
            </w:r>
            <w:bookmarkEnd w:id="15"/>
            <w:bookmarkEnd w:id="16"/>
            <w:r>
              <w:rPr>
                <w:rFonts w:hint="eastAsia" w:ascii="宋体" w:hAnsi="宋体"/>
                <w:szCs w:val="21"/>
                <w:highlight w:val="none"/>
              </w:rPr>
              <w:t>支持IPv</w:t>
            </w:r>
            <w:r>
              <w:rPr>
                <w:rFonts w:ascii="宋体" w:hAnsi="宋体"/>
                <w:szCs w:val="21"/>
                <w:highlight w:val="none"/>
              </w:rPr>
              <w:t>6</w:t>
            </w:r>
            <w:r>
              <w:rPr>
                <w:rFonts w:hint="eastAsia" w:ascii="宋体" w:hAnsi="宋体"/>
                <w:szCs w:val="21"/>
                <w:highlight w:val="none"/>
              </w:rPr>
              <w:t>多链路出口，支持有状态协议转换，通过IPv</w:t>
            </w:r>
            <w:r>
              <w:rPr>
                <w:rFonts w:ascii="宋体" w:hAnsi="宋体"/>
                <w:szCs w:val="21"/>
                <w:highlight w:val="none"/>
              </w:rPr>
              <w:t>6</w:t>
            </w:r>
            <w:r>
              <w:rPr>
                <w:rFonts w:hint="eastAsia" w:ascii="宋体" w:hAnsi="宋体"/>
                <w:szCs w:val="21"/>
                <w:highlight w:val="none"/>
              </w:rPr>
              <w:t>前缀转换</w:t>
            </w:r>
          </w:p>
          <w:p>
            <w:pPr>
              <w:adjustRightInd w:val="0"/>
              <w:snapToGrid w:val="0"/>
              <w:spacing w:line="360" w:lineRule="auto"/>
              <w:jc w:val="left"/>
              <w:rPr>
                <w:rFonts w:ascii="宋体" w:hAnsi="宋体"/>
                <w:szCs w:val="21"/>
                <w:highlight w:val="none"/>
              </w:rPr>
            </w:pPr>
            <w:r>
              <w:rPr>
                <w:rFonts w:hint="eastAsia" w:ascii="宋体" w:hAnsi="宋体"/>
                <w:szCs w:val="21"/>
                <w:highlight w:val="none"/>
              </w:rPr>
              <w:t>实现多运营商IPv</w:t>
            </w:r>
            <w:r>
              <w:rPr>
                <w:rFonts w:ascii="宋体" w:hAnsi="宋体"/>
                <w:szCs w:val="21"/>
                <w:highlight w:val="none"/>
              </w:rPr>
              <w:t>6</w:t>
            </w:r>
            <w:r>
              <w:rPr>
                <w:rFonts w:hint="eastAsia" w:ascii="宋体" w:hAnsi="宋体"/>
                <w:szCs w:val="21"/>
                <w:highlight w:val="none"/>
              </w:rPr>
              <w:t>链路均衡；</w:t>
            </w:r>
          </w:p>
          <w:p>
            <w:pPr>
              <w:adjustRightInd w:val="0"/>
              <w:snapToGrid w:val="0"/>
              <w:spacing w:line="360" w:lineRule="auto"/>
              <w:jc w:val="left"/>
              <w:rPr>
                <w:rFonts w:ascii="宋体" w:hAnsi="宋体"/>
                <w:szCs w:val="21"/>
                <w:highlight w:val="none"/>
              </w:rPr>
            </w:pPr>
            <w:r>
              <w:rPr>
                <w:rFonts w:hint="eastAsia" w:ascii="宋体" w:hAnsi="宋体"/>
                <w:szCs w:val="21"/>
                <w:highlight w:val="none"/>
              </w:rPr>
              <w:t>9、支持无状态协议转换（SIIT）IPv</w:t>
            </w:r>
            <w:r>
              <w:rPr>
                <w:rFonts w:ascii="宋体" w:hAnsi="宋体"/>
                <w:szCs w:val="21"/>
                <w:highlight w:val="none"/>
              </w:rPr>
              <w:t>4</w:t>
            </w:r>
            <w:r>
              <w:rPr>
                <w:rFonts w:hint="eastAsia" w:ascii="宋体" w:hAnsi="宋体"/>
                <w:szCs w:val="21"/>
                <w:highlight w:val="none"/>
              </w:rPr>
              <w:t>到IPv</w:t>
            </w:r>
            <w:r>
              <w:rPr>
                <w:rFonts w:ascii="宋体" w:hAnsi="宋体"/>
                <w:szCs w:val="21"/>
                <w:highlight w:val="none"/>
              </w:rPr>
              <w:t>6</w:t>
            </w:r>
            <w:r>
              <w:rPr>
                <w:rFonts w:hint="eastAsia" w:ascii="宋体" w:hAnsi="宋体"/>
                <w:szCs w:val="21"/>
                <w:highlight w:val="none"/>
              </w:rPr>
              <w:t>转换及IPv</w:t>
            </w:r>
            <w:r>
              <w:rPr>
                <w:rFonts w:ascii="宋体" w:hAnsi="宋体"/>
                <w:szCs w:val="21"/>
                <w:highlight w:val="none"/>
              </w:rPr>
              <w:t>6</w:t>
            </w:r>
            <w:r>
              <w:rPr>
                <w:rFonts w:hint="eastAsia" w:ascii="宋体" w:hAnsi="宋体"/>
                <w:szCs w:val="21"/>
                <w:highlight w:val="none"/>
              </w:rPr>
              <w:t>到IPv</w:t>
            </w:r>
            <w:r>
              <w:rPr>
                <w:rFonts w:ascii="宋体" w:hAnsi="宋体"/>
                <w:szCs w:val="21"/>
                <w:highlight w:val="none"/>
              </w:rPr>
              <w:t>4</w:t>
            </w:r>
            <w:r>
              <w:rPr>
                <w:rFonts w:hint="eastAsia" w:ascii="宋体" w:hAnsi="宋体"/>
                <w:szCs w:val="21"/>
                <w:highlight w:val="none"/>
              </w:rPr>
              <w:t>转换；</w:t>
            </w:r>
          </w:p>
          <w:p>
            <w:pPr>
              <w:adjustRightInd w:val="0"/>
              <w:snapToGrid w:val="0"/>
              <w:spacing w:line="360" w:lineRule="auto"/>
              <w:jc w:val="left"/>
              <w:rPr>
                <w:rFonts w:ascii="宋体" w:hAnsi="宋体"/>
                <w:szCs w:val="21"/>
                <w:highlight w:val="none"/>
              </w:rPr>
            </w:pPr>
            <w:r>
              <w:rPr>
                <w:rFonts w:ascii="宋体" w:hAnsi="宋体"/>
                <w:szCs w:val="21"/>
                <w:highlight w:val="none"/>
              </w:rPr>
              <w:t>10</w:t>
            </w:r>
            <w:r>
              <w:rPr>
                <w:rFonts w:hint="eastAsia" w:ascii="宋体" w:hAnsi="宋体"/>
                <w:szCs w:val="21"/>
                <w:highlight w:val="none"/>
              </w:rPr>
              <w:t>、支持NAT</w:t>
            </w:r>
            <w:r>
              <w:rPr>
                <w:rFonts w:ascii="宋体" w:hAnsi="宋体"/>
                <w:szCs w:val="21"/>
                <w:highlight w:val="none"/>
              </w:rPr>
              <w:t>64</w:t>
            </w:r>
            <w:r>
              <w:rPr>
                <w:rFonts w:hint="eastAsia" w:ascii="宋体" w:hAnsi="宋体"/>
                <w:szCs w:val="21"/>
                <w:highlight w:val="none"/>
              </w:rPr>
              <w:t>及CGNAT配置。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1086" w:type="dxa"/>
            <w:vAlign w:val="center"/>
          </w:tcPr>
          <w:p>
            <w:pPr>
              <w:widowControl/>
              <w:adjustRightInd w:val="0"/>
              <w:snapToGrid w:val="0"/>
              <w:spacing w:line="360" w:lineRule="auto"/>
              <w:jc w:val="center"/>
              <w:rPr>
                <w:rFonts w:ascii="宋体" w:hAnsi="宋体"/>
                <w:szCs w:val="21"/>
                <w:highlight w:val="none"/>
              </w:rPr>
            </w:pPr>
            <w:r>
              <w:rPr>
                <w:rFonts w:hint="eastAsia" w:ascii="宋体" w:hAnsi="宋体"/>
                <w:szCs w:val="21"/>
                <w:highlight w:val="none"/>
              </w:rPr>
              <w:t>远程访问功能</w:t>
            </w:r>
          </w:p>
        </w:tc>
        <w:tc>
          <w:tcPr>
            <w:tcW w:w="6924" w:type="dxa"/>
            <w:vAlign w:val="center"/>
          </w:tcPr>
          <w:p>
            <w:pPr>
              <w:pStyle w:val="35"/>
              <w:numPr>
                <w:ilvl w:val="0"/>
                <w:numId w:val="1"/>
              </w:numPr>
              <w:adjustRightInd w:val="0"/>
              <w:snapToGrid w:val="0"/>
              <w:spacing w:line="360" w:lineRule="auto"/>
              <w:ind w:firstLineChars="0"/>
              <w:rPr>
                <w:rFonts w:ascii="宋体" w:hAnsi="宋体"/>
                <w:szCs w:val="21"/>
                <w:highlight w:val="none"/>
              </w:rPr>
            </w:pPr>
            <w:bookmarkStart w:id="17" w:name="OLE_LINK101"/>
            <w:bookmarkStart w:id="18" w:name="OLE_LINK102"/>
            <w:r>
              <w:rPr>
                <w:rFonts w:hint="eastAsia" w:ascii="微软雅黑" w:hAnsi="微软雅黑" w:eastAsia="微软雅黑"/>
                <w:color w:val="333333"/>
                <w:sz w:val="21"/>
                <w:szCs w:val="21"/>
                <w:highlight w:val="none"/>
                <w:shd w:val="clear" w:color="auto" w:fill="F7F7F7"/>
              </w:rPr>
              <w:t>▲</w:t>
            </w:r>
            <w:r>
              <w:rPr>
                <w:rFonts w:hint="eastAsia" w:ascii="宋体" w:hAnsi="宋体"/>
                <w:szCs w:val="21"/>
                <w:highlight w:val="none"/>
              </w:rPr>
              <w:t>远程访问通道的协议支持IPSec、PPTP、L2TP、GRE、L2TP 、SSLVPN，VPN接口；</w:t>
            </w:r>
          </w:p>
          <w:p>
            <w:pPr>
              <w:pStyle w:val="35"/>
              <w:numPr>
                <w:ilvl w:val="0"/>
                <w:numId w:val="1"/>
              </w:numPr>
              <w:adjustRightInd w:val="0"/>
              <w:snapToGrid w:val="0"/>
              <w:spacing w:line="360" w:lineRule="auto"/>
              <w:ind w:firstLineChars="0"/>
              <w:rPr>
                <w:rFonts w:ascii="宋体" w:hAnsi="宋体"/>
                <w:szCs w:val="21"/>
                <w:highlight w:val="none"/>
              </w:rPr>
            </w:pPr>
            <w:r>
              <w:rPr>
                <w:rFonts w:hint="eastAsia" w:ascii="宋体" w:hAnsi="宋体"/>
                <w:szCs w:val="21"/>
                <w:highlight w:val="none"/>
              </w:rPr>
              <w:t>IP</w:t>
            </w:r>
            <w:r>
              <w:rPr>
                <w:rFonts w:ascii="宋体" w:hAnsi="宋体"/>
                <w:szCs w:val="21"/>
                <w:highlight w:val="none"/>
              </w:rPr>
              <w:t>Sec</w:t>
            </w:r>
            <w:r>
              <w:rPr>
                <w:rFonts w:hint="eastAsia" w:ascii="宋体" w:hAnsi="宋体"/>
                <w:szCs w:val="21"/>
                <w:highlight w:val="none"/>
              </w:rPr>
              <w:t>支持IKEv</w:t>
            </w:r>
            <w:r>
              <w:rPr>
                <w:rFonts w:ascii="宋体" w:hAnsi="宋体"/>
                <w:szCs w:val="21"/>
                <w:highlight w:val="none"/>
              </w:rPr>
              <w:t>1</w:t>
            </w:r>
            <w:r>
              <w:rPr>
                <w:rFonts w:hint="eastAsia" w:ascii="宋体" w:hAnsi="宋体"/>
                <w:szCs w:val="21"/>
                <w:highlight w:val="none"/>
              </w:rPr>
              <w:t>和IKEv</w:t>
            </w:r>
            <w:r>
              <w:rPr>
                <w:rFonts w:ascii="宋体" w:hAnsi="宋体"/>
                <w:szCs w:val="21"/>
                <w:highlight w:val="none"/>
              </w:rPr>
              <w:t>2</w:t>
            </w:r>
            <w:r>
              <w:rPr>
                <w:rFonts w:hint="eastAsia" w:ascii="宋体" w:hAnsi="宋体"/>
                <w:szCs w:val="21"/>
                <w:highlight w:val="none"/>
              </w:rPr>
              <w:t>，支持EAP</w:t>
            </w:r>
            <w:r>
              <w:rPr>
                <w:rFonts w:ascii="宋体" w:hAnsi="宋体"/>
                <w:szCs w:val="21"/>
                <w:highlight w:val="none"/>
              </w:rPr>
              <w:t>-</w:t>
            </w:r>
            <w:r>
              <w:rPr>
                <w:rFonts w:hint="eastAsia" w:ascii="宋体" w:hAnsi="宋体"/>
                <w:szCs w:val="21"/>
                <w:highlight w:val="none"/>
              </w:rPr>
              <w:t>AKA协议</w:t>
            </w:r>
          </w:p>
          <w:p>
            <w:pPr>
              <w:pStyle w:val="53"/>
              <w:adjustRightInd w:val="0"/>
              <w:snapToGrid w:val="0"/>
              <w:spacing w:line="360" w:lineRule="auto"/>
              <w:ind w:firstLine="0" w:firstLineChars="0"/>
              <w:rPr>
                <w:rFonts w:ascii="宋体" w:hAnsi="宋体" w:eastAsia="宋体"/>
                <w:sz w:val="21"/>
                <w:szCs w:val="21"/>
                <w:highlight w:val="none"/>
                <w:lang w:val="en-US"/>
              </w:rPr>
            </w:pPr>
            <w:r>
              <w:rPr>
                <w:rFonts w:hint="eastAsia"/>
                <w:sz w:val="21"/>
                <w:szCs w:val="21"/>
                <w:highlight w:val="none"/>
              </w:rPr>
              <w:t>★</w:t>
            </w:r>
            <w:r>
              <w:rPr>
                <w:rFonts w:ascii="宋体" w:hAnsi="宋体" w:eastAsia="宋体"/>
                <w:sz w:val="21"/>
                <w:szCs w:val="21"/>
                <w:highlight w:val="none"/>
                <w:lang w:val="en-US"/>
              </w:rPr>
              <w:t>4</w:t>
            </w:r>
            <w:r>
              <w:rPr>
                <w:rFonts w:hint="eastAsia" w:ascii="宋体" w:hAnsi="宋体" w:eastAsia="宋体"/>
                <w:sz w:val="21"/>
                <w:szCs w:val="21"/>
                <w:highlight w:val="none"/>
                <w:lang w:val="en-US"/>
              </w:rPr>
              <w:t>、本次配置不少于</w:t>
            </w:r>
            <w:r>
              <w:rPr>
                <w:rFonts w:ascii="宋体" w:hAnsi="宋体" w:eastAsia="宋体"/>
                <w:sz w:val="21"/>
                <w:szCs w:val="21"/>
                <w:highlight w:val="none"/>
                <w:lang w:val="en-US"/>
              </w:rPr>
              <w:t>2</w:t>
            </w:r>
            <w:r>
              <w:rPr>
                <w:rFonts w:hint="eastAsia" w:ascii="宋体" w:hAnsi="宋体" w:eastAsia="宋体"/>
                <w:sz w:val="21"/>
                <w:szCs w:val="21"/>
                <w:highlight w:val="none"/>
                <w:lang w:val="en-US"/>
              </w:rPr>
              <w:t>000个SSLVPN许可；</w:t>
            </w:r>
          </w:p>
          <w:p>
            <w:pPr>
              <w:pStyle w:val="53"/>
              <w:adjustRightInd w:val="0"/>
              <w:snapToGrid w:val="0"/>
              <w:spacing w:line="360" w:lineRule="auto"/>
              <w:ind w:firstLine="0" w:firstLineChars="0"/>
              <w:rPr>
                <w:rFonts w:ascii="宋体" w:hAnsi="宋体" w:eastAsia="宋体"/>
                <w:sz w:val="21"/>
                <w:szCs w:val="21"/>
                <w:highlight w:val="none"/>
                <w:lang w:val="en-US"/>
              </w:rPr>
            </w:pPr>
            <w:r>
              <w:rPr>
                <w:rFonts w:ascii="宋体" w:hAnsi="宋体" w:eastAsia="宋体"/>
                <w:sz w:val="21"/>
                <w:szCs w:val="21"/>
                <w:highlight w:val="none"/>
                <w:lang w:val="en-US"/>
              </w:rPr>
              <w:t>5</w:t>
            </w:r>
            <w:r>
              <w:rPr>
                <w:rFonts w:hint="eastAsia" w:ascii="宋体" w:hAnsi="宋体" w:eastAsia="宋体"/>
                <w:sz w:val="21"/>
                <w:szCs w:val="21"/>
                <w:highlight w:val="none"/>
                <w:lang w:val="en-US"/>
              </w:rPr>
              <w:t>、支持基于VPN接口的流量重定向及VPN每用户的会话数控制。</w:t>
            </w:r>
            <w:bookmarkEnd w:id="17"/>
            <w:bookmarkEnd w:id="18"/>
          </w:p>
          <w:p>
            <w:pPr>
              <w:pStyle w:val="53"/>
              <w:adjustRightInd w:val="0"/>
              <w:snapToGrid w:val="0"/>
              <w:spacing w:line="360" w:lineRule="auto"/>
              <w:ind w:firstLine="0" w:firstLineChars="0"/>
              <w:rPr>
                <w:rFonts w:ascii="宋体" w:hAnsi="宋体" w:eastAsia="宋体"/>
                <w:sz w:val="21"/>
                <w:szCs w:val="21"/>
                <w:highlight w:val="none"/>
                <w:lang w:val="en-US"/>
              </w:rPr>
            </w:pPr>
            <w:r>
              <w:rPr>
                <w:rFonts w:hint="eastAsia"/>
                <w:szCs w:val="21"/>
                <w:highlight w:val="none"/>
              </w:rPr>
              <w:t>6</w:t>
            </w:r>
            <w:r>
              <w:rPr>
                <w:rFonts w:hint="eastAsia" w:ascii="微软雅黑" w:hAnsi="微软雅黑" w:eastAsia="微软雅黑" w:cs="微软雅黑"/>
                <w:szCs w:val="21"/>
                <w:highlight w:val="none"/>
              </w:rPr>
              <w:t>、</w:t>
            </w:r>
            <w:r>
              <w:rPr>
                <w:rFonts w:hint="eastAsia"/>
                <w:szCs w:val="21"/>
                <w:highlight w:val="none"/>
              </w:rPr>
              <w:t>支持物理设备划分若干个逻辑设备虚拟系统，互不干扰；自带≥</w:t>
            </w:r>
            <w:r>
              <w:rPr>
                <w:szCs w:val="21"/>
                <w:highlight w:val="none"/>
              </w:rPr>
              <w:t>20</w:t>
            </w:r>
            <w:r>
              <w:rPr>
                <w:rFonts w:hint="eastAsia"/>
                <w:szCs w:val="21"/>
                <w:highlight w:val="none"/>
              </w:rPr>
              <w:t>个虚拟系</w:t>
            </w:r>
            <w:r>
              <w:rPr>
                <w:rFonts w:hint="eastAsia" w:ascii="宋体" w:hAnsi="宋体" w:eastAsia="宋体"/>
                <w:sz w:val="21"/>
                <w:szCs w:val="21"/>
                <w:highlight w:val="none"/>
                <w:lang w:val="en-US"/>
              </w:rPr>
              <w:t>统许可。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6" w:type="dxa"/>
            <w:vAlign w:val="center"/>
          </w:tcPr>
          <w:p>
            <w:pPr>
              <w:widowControl/>
              <w:adjustRightInd w:val="0"/>
              <w:snapToGrid w:val="0"/>
              <w:spacing w:line="360" w:lineRule="auto"/>
              <w:jc w:val="center"/>
              <w:rPr>
                <w:rFonts w:ascii="宋体" w:hAnsi="宋体"/>
                <w:szCs w:val="21"/>
                <w:highlight w:val="none"/>
              </w:rPr>
            </w:pPr>
            <w:r>
              <w:rPr>
                <w:rFonts w:hint="eastAsia" w:ascii="宋体" w:hAnsi="宋体"/>
                <w:szCs w:val="21"/>
                <w:highlight w:val="none"/>
              </w:rPr>
              <w:t>防御功能</w:t>
            </w:r>
          </w:p>
        </w:tc>
        <w:tc>
          <w:tcPr>
            <w:tcW w:w="6924" w:type="dxa"/>
            <w:vAlign w:val="center"/>
          </w:tcPr>
          <w:p>
            <w:pPr>
              <w:pStyle w:val="53"/>
              <w:adjustRightInd w:val="0"/>
              <w:snapToGrid w:val="0"/>
              <w:spacing w:line="360" w:lineRule="auto"/>
              <w:ind w:firstLine="0" w:firstLineChars="0"/>
              <w:rPr>
                <w:rFonts w:ascii="宋体" w:hAnsi="宋体" w:eastAsia="宋体"/>
                <w:sz w:val="21"/>
                <w:szCs w:val="21"/>
                <w:highlight w:val="none"/>
                <w:lang w:val="en-US"/>
              </w:rPr>
            </w:pPr>
            <w:bookmarkStart w:id="19" w:name="OLE_LINK103"/>
            <w:bookmarkStart w:id="20" w:name="OLE_LINK104"/>
            <w:r>
              <w:rPr>
                <w:rFonts w:ascii="宋体" w:hAnsi="宋体" w:eastAsia="宋体"/>
                <w:sz w:val="21"/>
                <w:szCs w:val="21"/>
                <w:highlight w:val="none"/>
                <w:lang w:val="en-US"/>
              </w:rPr>
              <w:t>1</w:t>
            </w:r>
            <w:r>
              <w:rPr>
                <w:rFonts w:hint="eastAsia" w:ascii="宋体" w:hAnsi="宋体" w:eastAsia="宋体"/>
                <w:sz w:val="21"/>
                <w:szCs w:val="21"/>
                <w:highlight w:val="none"/>
                <w:lang w:val="en-US"/>
              </w:rPr>
              <w:t>、</w:t>
            </w:r>
            <w:bookmarkStart w:id="21" w:name="OLE_LINK96"/>
            <w:bookmarkStart w:id="22" w:name="OLE_LINK95"/>
            <w:r>
              <w:rPr>
                <w:rFonts w:hint="eastAsia" w:ascii="宋体" w:hAnsi="宋体" w:eastAsia="宋体"/>
                <w:sz w:val="21"/>
                <w:szCs w:val="21"/>
                <w:highlight w:val="none"/>
                <w:lang w:val="en-US"/>
              </w:rPr>
              <w:t>本次项目须提供不低于三年的IPS特征库实时升级服务</w:t>
            </w:r>
            <w:bookmarkEnd w:id="21"/>
            <w:bookmarkEnd w:id="22"/>
            <w:r>
              <w:rPr>
                <w:rFonts w:hint="eastAsia" w:ascii="宋体" w:hAnsi="宋体" w:eastAsia="宋体"/>
                <w:sz w:val="21"/>
                <w:szCs w:val="21"/>
                <w:highlight w:val="none"/>
                <w:lang w:val="en-US"/>
              </w:rPr>
              <w:t>；</w:t>
            </w:r>
          </w:p>
          <w:p>
            <w:pPr>
              <w:pStyle w:val="53"/>
              <w:adjustRightInd w:val="0"/>
              <w:snapToGrid w:val="0"/>
              <w:spacing w:line="360" w:lineRule="auto"/>
              <w:ind w:firstLine="0" w:firstLineChars="0"/>
              <w:rPr>
                <w:rFonts w:ascii="宋体" w:hAnsi="宋体" w:eastAsia="宋体"/>
                <w:sz w:val="21"/>
                <w:szCs w:val="21"/>
                <w:highlight w:val="none"/>
                <w:lang w:val="en-US"/>
              </w:rPr>
            </w:pPr>
            <w:r>
              <w:rPr>
                <w:rFonts w:ascii="宋体" w:hAnsi="宋体" w:eastAsia="宋体"/>
                <w:sz w:val="21"/>
                <w:szCs w:val="21"/>
                <w:highlight w:val="none"/>
                <w:lang w:val="en-US"/>
              </w:rPr>
              <w:t>2</w:t>
            </w:r>
            <w:r>
              <w:rPr>
                <w:rFonts w:hint="eastAsia" w:ascii="宋体" w:hAnsi="宋体" w:eastAsia="宋体"/>
                <w:sz w:val="21"/>
                <w:szCs w:val="21"/>
                <w:highlight w:val="none"/>
                <w:lang w:val="en-US"/>
              </w:rPr>
              <w:t>、每个IP新建连接控制及IP总连接数控制，可以对TCP/UDP分别控制，动态添加黑名单；</w:t>
            </w:r>
          </w:p>
          <w:p>
            <w:pPr>
              <w:pStyle w:val="53"/>
              <w:adjustRightInd w:val="0"/>
              <w:snapToGrid w:val="0"/>
              <w:spacing w:line="360" w:lineRule="auto"/>
              <w:ind w:firstLine="0" w:firstLineChars="0"/>
              <w:rPr>
                <w:rFonts w:ascii="宋体" w:hAnsi="宋体" w:eastAsia="宋体"/>
                <w:sz w:val="21"/>
                <w:szCs w:val="21"/>
                <w:highlight w:val="none"/>
                <w:lang w:val="en-US"/>
              </w:rPr>
            </w:pPr>
            <w:r>
              <w:rPr>
                <w:rFonts w:hint="eastAsia" w:ascii="宋体" w:hAnsi="宋体" w:eastAsia="宋体"/>
                <w:sz w:val="21"/>
                <w:szCs w:val="21"/>
                <w:highlight w:val="none"/>
                <w:lang w:val="en-US"/>
              </w:rPr>
              <w:t>3、提供InCenter集中管理平台可自动备份每一次配置，并可以对每个配置进行注释说明；可以根据需求快速恢复到之前任意一次正确的配置；</w:t>
            </w:r>
          </w:p>
          <w:p>
            <w:pPr>
              <w:pStyle w:val="53"/>
              <w:adjustRightInd w:val="0"/>
              <w:snapToGrid w:val="0"/>
              <w:spacing w:line="360" w:lineRule="auto"/>
              <w:ind w:firstLine="0" w:firstLineChars="0"/>
              <w:rPr>
                <w:rFonts w:ascii="宋体" w:hAnsi="宋体" w:eastAsia="宋体"/>
                <w:sz w:val="21"/>
                <w:szCs w:val="21"/>
                <w:highlight w:val="none"/>
                <w:lang w:val="en-US"/>
              </w:rPr>
            </w:pPr>
            <w:r>
              <w:rPr>
                <w:rFonts w:hint="eastAsia" w:ascii="宋体" w:hAnsi="宋体" w:eastAsia="宋体"/>
                <w:sz w:val="21"/>
                <w:szCs w:val="21"/>
                <w:highlight w:val="none"/>
                <w:lang w:val="en-US"/>
              </w:rPr>
              <w:t>4、支持虚拟Ping的功能，可以支持路由表、端口、接口、IP、协议类型、TOS及长度等参数，能返回此数据通过的该路由及规则。</w:t>
            </w:r>
            <w:bookmarkEnd w:id="19"/>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086" w:type="dxa"/>
            <w:vAlign w:val="center"/>
          </w:tcPr>
          <w:p>
            <w:pPr>
              <w:widowControl/>
              <w:adjustRightInd w:val="0"/>
              <w:snapToGrid w:val="0"/>
              <w:spacing w:line="360" w:lineRule="auto"/>
              <w:jc w:val="center"/>
              <w:rPr>
                <w:rFonts w:ascii="宋体" w:hAnsi="宋体"/>
                <w:szCs w:val="21"/>
                <w:highlight w:val="none"/>
              </w:rPr>
            </w:pPr>
            <w:r>
              <w:rPr>
                <w:rFonts w:hint="eastAsia" w:ascii="宋体" w:hAnsi="宋体"/>
                <w:szCs w:val="21"/>
                <w:highlight w:val="none"/>
              </w:rPr>
              <w:t>高可用性</w:t>
            </w:r>
          </w:p>
        </w:tc>
        <w:tc>
          <w:tcPr>
            <w:tcW w:w="6924" w:type="dxa"/>
            <w:vAlign w:val="center"/>
          </w:tcPr>
          <w:p>
            <w:pPr>
              <w:pStyle w:val="53"/>
              <w:adjustRightInd w:val="0"/>
              <w:snapToGrid w:val="0"/>
              <w:spacing w:line="360" w:lineRule="auto"/>
              <w:ind w:firstLine="0" w:firstLineChars="0"/>
              <w:rPr>
                <w:rFonts w:ascii="宋体" w:hAnsi="宋体" w:eastAsia="宋体"/>
                <w:sz w:val="21"/>
                <w:szCs w:val="21"/>
                <w:highlight w:val="none"/>
                <w:lang w:val="en-US"/>
              </w:rPr>
            </w:pPr>
            <w:bookmarkStart w:id="23" w:name="OLE_LINK106"/>
            <w:bookmarkStart w:id="24" w:name="OLE_LINK105"/>
            <w:r>
              <w:rPr>
                <w:rFonts w:hint="eastAsia"/>
                <w:sz w:val="21"/>
                <w:szCs w:val="21"/>
                <w:highlight w:val="none"/>
              </w:rPr>
              <w:t>★1</w:t>
            </w:r>
            <w:r>
              <w:rPr>
                <w:rFonts w:hint="eastAsia" w:ascii="微软雅黑" w:hAnsi="微软雅黑" w:eastAsia="微软雅黑" w:cs="微软雅黑"/>
                <w:sz w:val="21"/>
                <w:szCs w:val="21"/>
                <w:highlight w:val="none"/>
              </w:rPr>
              <w:t>、</w:t>
            </w:r>
            <w:r>
              <w:rPr>
                <w:rFonts w:hint="eastAsia" w:ascii="宋体" w:hAnsi="宋体" w:eastAsia="宋体"/>
                <w:sz w:val="21"/>
                <w:szCs w:val="21"/>
                <w:highlight w:val="none"/>
                <w:lang w:val="en-US"/>
              </w:rPr>
              <w:t>与现有出口设备系统能够互相兼容，做到无缝对接，支持SD-WAN和现有设备进行对接，自动分流特征识别平台数据流量；</w:t>
            </w:r>
          </w:p>
          <w:p>
            <w:pPr>
              <w:pStyle w:val="53"/>
              <w:adjustRightInd w:val="0"/>
              <w:snapToGrid w:val="0"/>
              <w:spacing w:line="360" w:lineRule="auto"/>
              <w:ind w:firstLine="0" w:firstLineChars="0"/>
              <w:rPr>
                <w:rFonts w:ascii="宋体" w:hAnsi="宋体" w:eastAsia="宋体"/>
                <w:sz w:val="21"/>
                <w:szCs w:val="21"/>
                <w:highlight w:val="none"/>
                <w:lang w:val="en-US"/>
              </w:rPr>
            </w:pPr>
            <w:r>
              <w:rPr>
                <w:rFonts w:ascii="宋体" w:hAnsi="宋体" w:eastAsia="宋体"/>
                <w:sz w:val="21"/>
                <w:szCs w:val="21"/>
                <w:highlight w:val="none"/>
                <w:lang w:val="en-US"/>
              </w:rPr>
              <w:t>2</w:t>
            </w:r>
            <w:r>
              <w:rPr>
                <w:rFonts w:hint="eastAsia" w:ascii="宋体" w:hAnsi="宋体" w:eastAsia="宋体"/>
                <w:sz w:val="21"/>
                <w:szCs w:val="21"/>
                <w:highlight w:val="none"/>
                <w:lang w:val="en-US"/>
              </w:rPr>
              <w:t>、支持HA功能，可进行链路监控，检测到某条链路中断，自动切换。</w:t>
            </w:r>
            <w:bookmarkEnd w:id="23"/>
            <w:bookmarkEnd w:id="24"/>
          </w:p>
          <w:p>
            <w:pPr>
              <w:pStyle w:val="53"/>
              <w:adjustRightInd w:val="0"/>
              <w:snapToGrid w:val="0"/>
              <w:spacing w:line="360" w:lineRule="auto"/>
              <w:ind w:firstLine="0" w:firstLineChars="0"/>
              <w:rPr>
                <w:rFonts w:ascii="宋体" w:hAnsi="宋体" w:eastAsia="宋体"/>
                <w:sz w:val="21"/>
                <w:szCs w:val="21"/>
                <w:highlight w:val="none"/>
                <w:lang w:val="en-US"/>
              </w:rPr>
            </w:pPr>
            <w:r>
              <w:rPr>
                <w:rFonts w:hint="eastAsia" w:ascii="宋体" w:hAnsi="宋体" w:eastAsia="宋体"/>
                <w:sz w:val="21"/>
                <w:szCs w:val="21"/>
                <w:highlight w:val="none"/>
                <w:lang w:val="en-US"/>
              </w:rPr>
              <w:t>3、与现有出口能够互相兼容互为备份，增加出口的可靠性。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86" w:type="dxa"/>
            <w:vAlign w:val="center"/>
          </w:tcPr>
          <w:p>
            <w:pPr>
              <w:widowControl/>
              <w:adjustRightInd w:val="0"/>
              <w:snapToGrid w:val="0"/>
              <w:spacing w:line="360" w:lineRule="auto"/>
              <w:jc w:val="center"/>
              <w:rPr>
                <w:rFonts w:ascii="宋体" w:hAnsi="宋体"/>
                <w:szCs w:val="21"/>
                <w:highlight w:val="none"/>
              </w:rPr>
            </w:pPr>
            <w:r>
              <w:rPr>
                <w:rFonts w:hint="eastAsia" w:ascii="宋体" w:hAnsi="宋体"/>
                <w:szCs w:val="21"/>
                <w:highlight w:val="none"/>
              </w:rPr>
              <w:t>日志审计和报表功能</w:t>
            </w:r>
          </w:p>
        </w:tc>
        <w:tc>
          <w:tcPr>
            <w:tcW w:w="6924" w:type="dxa"/>
            <w:vAlign w:val="center"/>
          </w:tcPr>
          <w:p>
            <w:pPr>
              <w:adjustRightInd w:val="0"/>
              <w:snapToGrid w:val="0"/>
              <w:spacing w:line="360" w:lineRule="auto"/>
              <w:jc w:val="left"/>
              <w:rPr>
                <w:rFonts w:ascii="宋体" w:hAnsi="宋体"/>
                <w:szCs w:val="21"/>
                <w:highlight w:val="none"/>
              </w:rPr>
            </w:pPr>
            <w:bookmarkStart w:id="25" w:name="OLE_LINK107"/>
            <w:bookmarkStart w:id="26" w:name="OLE_LINK108"/>
            <w:r>
              <w:rPr>
                <w:rFonts w:hint="eastAsia" w:ascii="宋体" w:hAnsi="宋体"/>
                <w:szCs w:val="21"/>
                <w:highlight w:val="none"/>
              </w:rPr>
              <w:t>日志种类支持系统状态、安全策略、通讯日志、访问日志、VPN日志等，提供日志分析报表；</w:t>
            </w:r>
            <w:bookmarkEnd w:id="25"/>
            <w:bookmarkEnd w:id="26"/>
          </w:p>
        </w:tc>
      </w:tr>
    </w:tbl>
    <w:p>
      <w:pPr>
        <w:pStyle w:val="2"/>
        <w:rPr>
          <w:highlight w:val="none"/>
          <w:lang w:val="zh-CN"/>
        </w:rPr>
      </w:pPr>
      <w:r>
        <w:rPr>
          <w:rFonts w:hint="eastAsia" w:hAnsi="宋体"/>
          <w:b/>
          <w:sz w:val="28"/>
          <w:szCs w:val="28"/>
          <w:highlight w:val="none"/>
        </w:rPr>
        <w:t xml:space="preserve">  </w:t>
      </w:r>
      <w:r>
        <w:rPr>
          <w:rFonts w:hAnsi="宋体"/>
          <w:b/>
          <w:sz w:val="28"/>
          <w:szCs w:val="28"/>
          <w:highlight w:val="none"/>
        </w:rPr>
        <w:br w:type="textWrapping"/>
      </w:r>
      <w:r>
        <w:rPr>
          <w:rFonts w:hint="eastAsia" w:ascii="宋体" w:hAnsi="宋体"/>
          <w:sz w:val="24"/>
          <w:highlight w:val="none"/>
        </w:rPr>
        <w:t xml:space="preserve">    </w:t>
      </w:r>
      <w:r>
        <w:rPr>
          <w:rFonts w:hint="eastAsia" w:ascii="宋体" w:eastAsia="宋体"/>
          <w:b/>
          <w:bCs/>
          <w:color w:val="auto"/>
          <w:sz w:val="24"/>
          <w:szCs w:val="24"/>
          <w:highlight w:val="none"/>
        </w:rPr>
        <w:t>（本部分内容由南京信息工程大学信息化建设与管理处提供并负责）</w:t>
      </w:r>
    </w:p>
    <w:p>
      <w:pPr>
        <w:spacing w:line="360" w:lineRule="auto"/>
        <w:outlineLvl w:val="0"/>
        <w:rPr>
          <w:rFonts w:ascii="宋体" w:hAnsi="宋体"/>
          <w:sz w:val="24"/>
          <w:highlight w:val="none"/>
        </w:rPr>
      </w:pPr>
    </w:p>
    <w:p>
      <w:pPr>
        <w:snapToGrid w:val="0"/>
        <w:spacing w:line="360" w:lineRule="auto"/>
        <w:rPr>
          <w:rFonts w:hAnsi="宋体"/>
          <w:b/>
          <w:sz w:val="28"/>
          <w:szCs w:val="28"/>
          <w:highlight w:val="none"/>
        </w:rPr>
      </w:pPr>
      <w:r>
        <w:rPr>
          <w:rFonts w:hint="eastAsia" w:ascii="宋体" w:hAnsi="宋体"/>
          <w:sz w:val="24"/>
          <w:highlight w:val="none"/>
        </w:rPr>
        <w:br w:type="textWrapping"/>
      </w:r>
      <w:r>
        <w:rPr>
          <w:rFonts w:hint="eastAsia" w:ascii="宋体" w:hAnsi="宋体"/>
          <w:sz w:val="24"/>
          <w:highlight w:val="none"/>
        </w:rPr>
        <w:br w:type="textWrapping"/>
      </w:r>
      <w:r>
        <w:rPr>
          <w:rFonts w:hint="eastAsia" w:ascii="宋体" w:hAnsi="宋体"/>
          <w:sz w:val="24"/>
          <w:highlight w:val="none"/>
        </w:rPr>
        <w:br w:type="textWrapping"/>
      </w:r>
      <w:r>
        <w:rPr>
          <w:rFonts w:hint="eastAsia" w:ascii="宋体" w:hAnsi="宋体"/>
          <w:sz w:val="24"/>
          <w:highlight w:val="none"/>
        </w:rPr>
        <w:br w:type="textWrapping"/>
      </w:r>
      <w:r>
        <w:rPr>
          <w:rFonts w:hint="eastAsia" w:ascii="宋体" w:hAnsi="宋体"/>
          <w:sz w:val="24"/>
          <w:highlight w:val="none"/>
        </w:rPr>
        <w:br w:type="textWrapping"/>
      </w: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pStyle w:val="2"/>
        <w:rPr>
          <w:highlight w:val="none"/>
        </w:rPr>
      </w:pPr>
    </w:p>
    <w:p>
      <w:pPr>
        <w:rPr>
          <w:highlight w:val="none"/>
        </w:rPr>
      </w:pPr>
    </w:p>
    <w:p>
      <w:pPr>
        <w:pStyle w:val="2"/>
        <w:rPr>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27"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10"/>
    <w:bookmarkEnd w:id="27"/>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jc w:val="left"/>
        <w:rPr>
          <w:b/>
          <w:sz w:val="28"/>
          <w:szCs w:val="28"/>
          <w:highlight w:val="none"/>
        </w:rPr>
      </w:pPr>
      <w:r>
        <w:rPr>
          <w:rFonts w:hint="eastAsia" w:ascii="宋体" w:hAnsi="宋体"/>
          <w:sz w:val="24"/>
          <w:highlight w:val="none"/>
        </w:rPr>
        <w:t xml:space="preserve"> 1.项目工期要求：合同签订后</w:t>
      </w:r>
      <w:r>
        <w:rPr>
          <w:rFonts w:ascii="宋体" w:hAnsi="宋体"/>
          <w:sz w:val="24"/>
          <w:highlight w:val="none"/>
        </w:rPr>
        <w:t>20</w:t>
      </w:r>
      <w:r>
        <w:rPr>
          <w:rFonts w:hint="eastAsia" w:ascii="宋体" w:hAnsi="宋体"/>
          <w:sz w:val="24"/>
          <w:highlight w:val="none"/>
        </w:rPr>
        <w:t xml:space="preserve">个工作日内完成设备安装和调试工作。 </w:t>
      </w:r>
    </w:p>
    <w:p>
      <w:pPr>
        <w:jc w:val="left"/>
        <w:rPr>
          <w:rFonts w:ascii="宋体" w:hAnsi="宋体"/>
          <w:sz w:val="24"/>
          <w:highlight w:val="none"/>
        </w:rPr>
      </w:pPr>
      <w:r>
        <w:rPr>
          <w:rFonts w:hint="eastAsia" w:ascii="宋体" w:hAnsi="宋体"/>
          <w:sz w:val="24"/>
          <w:highlight w:val="none"/>
        </w:rPr>
        <w:t>2.质保期为</w:t>
      </w:r>
      <w:r>
        <w:rPr>
          <w:rFonts w:ascii="宋体" w:hAnsi="宋体"/>
          <w:sz w:val="24"/>
          <w:highlight w:val="none"/>
        </w:rPr>
        <w:t>3</w:t>
      </w:r>
      <w:r>
        <w:rPr>
          <w:rFonts w:hint="eastAsia" w:ascii="宋体" w:hAnsi="宋体"/>
          <w:sz w:val="24"/>
          <w:highlight w:val="none"/>
        </w:rPr>
        <w:t>年，从验收合格之日起计算，</w:t>
      </w:r>
      <w:r>
        <w:rPr>
          <w:rFonts w:ascii="宋体" w:hAnsi="宋体"/>
          <w:sz w:val="24"/>
          <w:highlight w:val="none"/>
        </w:rPr>
        <w:t>在质保期内，供应商有责任解决所提供的系统产品的任何问题</w:t>
      </w:r>
      <w:r>
        <w:rPr>
          <w:rFonts w:hint="eastAsia" w:ascii="宋体" w:hAnsi="宋体"/>
          <w:sz w:val="24"/>
          <w:highlight w:val="none"/>
        </w:rPr>
        <w:t>。</w:t>
      </w:r>
    </w:p>
    <w:p>
      <w:pPr>
        <w:jc w:val="left"/>
        <w:rPr>
          <w:b/>
          <w:sz w:val="28"/>
          <w:szCs w:val="28"/>
          <w:highlight w:val="none"/>
        </w:rPr>
      </w:pPr>
      <w:r>
        <w:rPr>
          <w:rFonts w:hint="eastAsia" w:ascii="宋体" w:hAnsi="宋体"/>
          <w:sz w:val="24"/>
          <w:highlight w:val="none"/>
        </w:rPr>
        <w:t xml:space="preserve"> 3.项目验收之前提供原厂培训，</w:t>
      </w:r>
      <w:r>
        <w:rPr>
          <w:rFonts w:ascii="宋体" w:hAnsi="宋体"/>
          <w:sz w:val="24"/>
          <w:highlight w:val="none"/>
        </w:rPr>
        <w:t>技术培训费用应包含在投标总价中。</w:t>
      </w:r>
      <w:r>
        <w:rPr>
          <w:rFonts w:ascii="宋体" w:hAnsi="宋体"/>
          <w:sz w:val="24"/>
          <w:highlight w:val="none"/>
        </w:rPr>
        <w:br w:type="textWrapping"/>
      </w:r>
      <w:r>
        <w:rPr>
          <w:rFonts w:ascii="宋体" w:hAnsi="宋体"/>
          <w:sz w:val="24"/>
          <w:highlight w:val="none"/>
        </w:rPr>
        <w:br w:type="textWrapping"/>
      </w: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pStyle w:val="8"/>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r>
        <w:rPr>
          <w:rFonts w:hint="eastAsia" w:ascii="宋体" w:hAnsi="宋体"/>
          <w:sz w:val="24"/>
          <w:highlight w:val="none"/>
        </w:rPr>
        <w:br w:type="textWrapping"/>
      </w:r>
    </w:p>
    <w:tbl>
      <w:tblPr>
        <w:tblStyle w:val="1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63"/>
        <w:gridCol w:w="4507"/>
        <w:gridCol w:w="1163"/>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szCs w:val="21"/>
                <w:highlight w:val="none"/>
              </w:rPr>
            </w:pPr>
            <w:r>
              <w:rPr>
                <w:rFonts w:ascii="宋体" w:hAnsi="宋体"/>
                <w:szCs w:val="21"/>
                <w:highlight w:val="none"/>
              </w:rPr>
              <w:t>项  目</w:t>
            </w:r>
          </w:p>
        </w:tc>
        <w:tc>
          <w:tcPr>
            <w:tcW w:w="5770" w:type="dxa"/>
            <w:gridSpan w:val="2"/>
            <w:tcBorders>
              <w:left w:val="nil"/>
            </w:tcBorders>
            <w:vAlign w:val="center"/>
          </w:tcPr>
          <w:p>
            <w:pPr>
              <w:adjustRightInd w:val="0"/>
              <w:snapToGrid w:val="0"/>
              <w:spacing w:line="360" w:lineRule="auto"/>
              <w:ind w:firstLine="420" w:firstLineChars="200"/>
              <w:jc w:val="center"/>
              <w:rPr>
                <w:rFonts w:ascii="宋体" w:hAnsi="宋体"/>
                <w:szCs w:val="21"/>
                <w:highlight w:val="none"/>
              </w:rPr>
            </w:pPr>
            <w:r>
              <w:rPr>
                <w:rFonts w:ascii="宋体" w:hAnsi="宋体"/>
                <w:szCs w:val="21"/>
                <w:highlight w:val="none"/>
              </w:rPr>
              <w:t>内  容</w:t>
            </w:r>
          </w:p>
        </w:tc>
        <w:tc>
          <w:tcPr>
            <w:tcW w:w="1176" w:type="dxa"/>
            <w:gridSpan w:val="2"/>
            <w:vAlign w:val="center"/>
          </w:tcPr>
          <w:p>
            <w:pPr>
              <w:adjustRightInd w:val="0"/>
              <w:snapToGrid w:val="0"/>
              <w:spacing w:line="360" w:lineRule="auto"/>
              <w:jc w:val="center"/>
              <w:rPr>
                <w:rFonts w:ascii="宋体" w:hAnsi="宋体"/>
                <w:szCs w:val="21"/>
                <w:highlight w:val="none"/>
              </w:rPr>
            </w:pPr>
            <w:r>
              <w:rPr>
                <w:rFonts w:ascii="宋体" w:hAnsi="宋体"/>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276" w:type="dxa"/>
            <w:tcBorders>
              <w:top w:val="nil"/>
              <w:bottom w:val="single" w:color="auto" w:sz="4" w:space="0"/>
            </w:tcBorders>
            <w:vAlign w:val="center"/>
          </w:tcPr>
          <w:p>
            <w:pPr>
              <w:adjustRightInd w:val="0"/>
              <w:snapToGrid w:val="0"/>
              <w:rPr>
                <w:rFonts w:ascii="宋体" w:hAnsi="宋体"/>
                <w:szCs w:val="21"/>
                <w:highlight w:val="none"/>
              </w:rPr>
            </w:pPr>
            <w:r>
              <w:rPr>
                <w:rFonts w:ascii="宋体" w:hAnsi="宋体"/>
                <w:szCs w:val="21"/>
                <w:highlight w:val="none"/>
              </w:rPr>
              <w:t>1、报价得分（总分</w:t>
            </w:r>
            <w:r>
              <w:rPr>
                <w:rFonts w:hint="eastAsia" w:ascii="宋体" w:hAnsi="宋体"/>
                <w:szCs w:val="21"/>
                <w:highlight w:val="none"/>
              </w:rPr>
              <w:t>4</w:t>
            </w:r>
            <w:r>
              <w:rPr>
                <w:rFonts w:ascii="宋体" w:hAnsi="宋体"/>
                <w:szCs w:val="21"/>
                <w:highlight w:val="none"/>
              </w:rPr>
              <w:t>0分）</w:t>
            </w:r>
          </w:p>
        </w:tc>
        <w:tc>
          <w:tcPr>
            <w:tcW w:w="5770" w:type="dxa"/>
            <w:gridSpan w:val="2"/>
            <w:tcBorders>
              <w:bottom w:val="single" w:color="auto" w:sz="4" w:space="0"/>
            </w:tcBorders>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满足招标文件要求且投标价格最低的投标报价为评标基准价，其价格分为满分。其他投标人的价格分统一按照下列公式计算：</w:t>
            </w:r>
          </w:p>
          <w:p>
            <w:pPr>
              <w:adjustRightInd w:val="0"/>
              <w:snapToGrid w:val="0"/>
              <w:rPr>
                <w:rFonts w:ascii="宋体" w:hAnsi="宋体"/>
                <w:szCs w:val="21"/>
                <w:highlight w:val="none"/>
              </w:rPr>
            </w:pPr>
            <w:r>
              <w:rPr>
                <w:rFonts w:hint="eastAsia" w:ascii="宋体" w:hAnsi="宋体"/>
                <w:szCs w:val="21"/>
                <w:highlight w:val="none"/>
              </w:rPr>
              <w:t>报价得分＝（评审基准价/投标人的报价）×40。</w:t>
            </w:r>
          </w:p>
        </w:tc>
        <w:tc>
          <w:tcPr>
            <w:tcW w:w="1176" w:type="dxa"/>
            <w:gridSpan w:val="2"/>
            <w:tcBorders>
              <w:bottom w:val="single" w:color="auto" w:sz="4" w:space="0"/>
            </w:tcBorders>
            <w:vAlign w:val="center"/>
          </w:tcPr>
          <w:p>
            <w:pPr>
              <w:adjustRightInd w:val="0"/>
              <w:snapToGrid w:val="0"/>
              <w:jc w:val="center"/>
              <w:rPr>
                <w:rFonts w:ascii="宋体" w:hAnsi="宋体"/>
                <w:szCs w:val="21"/>
                <w:highlight w:val="none"/>
              </w:rPr>
            </w:pPr>
            <w:r>
              <w:rPr>
                <w:rFonts w:hint="eastAsia" w:ascii="宋体" w:hAnsi="宋体"/>
                <w:szCs w:val="21"/>
                <w:highlight w:val="none"/>
              </w:rPr>
              <w:t>4</w:t>
            </w:r>
            <w:r>
              <w:rPr>
                <w:rFonts w:ascii="宋体" w:hAnsi="宋体"/>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1276" w:type="dxa"/>
            <w:vAlign w:val="center"/>
          </w:tcPr>
          <w:p>
            <w:pPr>
              <w:adjustRightInd w:val="0"/>
              <w:snapToGrid w:val="0"/>
              <w:rPr>
                <w:rFonts w:ascii="宋体" w:hAnsi="宋体"/>
                <w:szCs w:val="21"/>
                <w:highlight w:val="none"/>
              </w:rPr>
            </w:pPr>
            <w:r>
              <w:rPr>
                <w:rFonts w:ascii="宋体" w:hAnsi="宋体"/>
                <w:szCs w:val="21"/>
                <w:highlight w:val="none"/>
              </w:rPr>
              <w:t>2、技术要求响应得分（总分</w:t>
            </w:r>
            <w:r>
              <w:rPr>
                <w:rFonts w:hint="eastAsia" w:ascii="宋体" w:hAnsi="宋体"/>
                <w:szCs w:val="21"/>
                <w:highlight w:val="none"/>
              </w:rPr>
              <w:t>35</w:t>
            </w:r>
            <w:r>
              <w:rPr>
                <w:rFonts w:ascii="宋体" w:hAnsi="宋体"/>
                <w:szCs w:val="21"/>
                <w:highlight w:val="none"/>
              </w:rPr>
              <w:t>分）</w:t>
            </w:r>
          </w:p>
        </w:tc>
        <w:tc>
          <w:tcPr>
            <w:tcW w:w="5770" w:type="dxa"/>
            <w:gridSpan w:val="2"/>
            <w:vAlign w:val="center"/>
          </w:tcPr>
          <w:p>
            <w:pPr>
              <w:adjustRightInd w:val="0"/>
              <w:snapToGrid w:val="0"/>
              <w:rPr>
                <w:rFonts w:ascii="宋体" w:hAnsi="宋体"/>
                <w:szCs w:val="21"/>
                <w:highlight w:val="none"/>
              </w:rPr>
            </w:pPr>
            <w:r>
              <w:rPr>
                <w:rFonts w:hint="eastAsia" w:ascii="宋体" w:hAnsi="宋体"/>
                <w:szCs w:val="21"/>
                <w:highlight w:val="none"/>
              </w:rPr>
              <w:t>（1）标★指标必须满足，否则按无效标处理。</w:t>
            </w:r>
          </w:p>
          <w:p>
            <w:pPr>
              <w:adjustRightInd w:val="0"/>
              <w:snapToGrid w:val="0"/>
              <w:rPr>
                <w:rFonts w:ascii="宋体" w:hAnsi="宋体"/>
                <w:szCs w:val="21"/>
                <w:highlight w:val="none"/>
              </w:rPr>
            </w:pPr>
            <w:r>
              <w:rPr>
                <w:rFonts w:hint="eastAsia" w:ascii="宋体" w:hAnsi="宋体"/>
                <w:szCs w:val="21"/>
                <w:highlight w:val="none"/>
              </w:rPr>
              <w:t>（2）标</w:t>
            </w:r>
            <w:r>
              <w:rPr>
                <w:rFonts w:hint="eastAsia" w:ascii="微软雅黑" w:hAnsi="微软雅黑" w:eastAsia="微软雅黑"/>
                <w:color w:val="333333"/>
                <w:szCs w:val="21"/>
                <w:highlight w:val="none"/>
                <w:shd w:val="clear" w:color="auto" w:fill="F7F7F7"/>
              </w:rPr>
              <w:t>▲</w:t>
            </w:r>
            <w:r>
              <w:rPr>
                <w:rFonts w:hint="eastAsia" w:ascii="宋体" w:hAnsi="宋体"/>
                <w:szCs w:val="21"/>
                <w:highlight w:val="none"/>
              </w:rPr>
              <w:t>项指标若有一项不满足招标要求的扣5分，两项标</w:t>
            </w:r>
            <w:r>
              <w:rPr>
                <w:rFonts w:hint="eastAsia" w:ascii="微软雅黑" w:hAnsi="微软雅黑" w:eastAsia="微软雅黑"/>
                <w:color w:val="333333"/>
                <w:szCs w:val="21"/>
                <w:highlight w:val="none"/>
                <w:shd w:val="clear" w:color="auto" w:fill="F7F7F7"/>
              </w:rPr>
              <w:t>▲</w:t>
            </w:r>
            <w:r>
              <w:rPr>
                <w:rFonts w:hint="eastAsia" w:ascii="宋体" w:hAnsi="宋体"/>
                <w:szCs w:val="21"/>
                <w:highlight w:val="none"/>
              </w:rPr>
              <w:t>项指标不满足招标要求的按无效处理。</w:t>
            </w:r>
          </w:p>
          <w:p>
            <w:pPr>
              <w:adjustRightInd w:val="0"/>
              <w:snapToGrid w:val="0"/>
              <w:rPr>
                <w:rFonts w:ascii="宋体" w:hAnsi="宋体"/>
                <w:szCs w:val="21"/>
                <w:highlight w:val="none"/>
              </w:rPr>
            </w:pPr>
            <w:r>
              <w:rPr>
                <w:rFonts w:hint="eastAsia" w:ascii="宋体" w:hAnsi="宋体"/>
                <w:szCs w:val="21"/>
                <w:highlight w:val="none"/>
              </w:rPr>
              <w:t>（3）有一项不满足的扣3分，三项非标“★”项指标不满足招标要求的按无效标处理。</w:t>
            </w:r>
          </w:p>
          <w:p>
            <w:pPr>
              <w:adjustRightInd w:val="0"/>
              <w:snapToGrid w:val="0"/>
              <w:rPr>
                <w:rFonts w:ascii="宋体" w:hAnsi="宋体"/>
                <w:szCs w:val="21"/>
                <w:highlight w:val="none"/>
              </w:rPr>
            </w:pPr>
            <w:r>
              <w:rPr>
                <w:rFonts w:hint="eastAsia" w:ascii="宋体" w:hAnsi="宋体"/>
                <w:szCs w:val="21"/>
                <w:highlight w:val="none"/>
              </w:rPr>
              <w:t>（4）完全满足招标要求得29分，对于技术参数响应正偏离的，非标“★”项指标的每项加</w:t>
            </w:r>
            <w:r>
              <w:rPr>
                <w:rFonts w:ascii="宋体" w:hAnsi="宋体"/>
                <w:szCs w:val="21"/>
                <w:highlight w:val="none"/>
              </w:rPr>
              <w:t>1</w:t>
            </w:r>
            <w:r>
              <w:rPr>
                <w:rFonts w:hint="eastAsia" w:ascii="宋体" w:hAnsi="宋体"/>
                <w:szCs w:val="21"/>
                <w:highlight w:val="none"/>
              </w:rPr>
              <w:t>分，“★”项指标的每项加</w:t>
            </w:r>
            <w:r>
              <w:rPr>
                <w:rFonts w:ascii="宋体" w:hAnsi="宋体"/>
                <w:szCs w:val="21"/>
                <w:highlight w:val="none"/>
              </w:rPr>
              <w:t>2</w:t>
            </w:r>
            <w:r>
              <w:rPr>
                <w:rFonts w:hint="eastAsia" w:ascii="宋体" w:hAnsi="宋体"/>
                <w:szCs w:val="21"/>
                <w:highlight w:val="none"/>
              </w:rPr>
              <w:t>分，加至6分为止。</w:t>
            </w:r>
          </w:p>
        </w:tc>
        <w:tc>
          <w:tcPr>
            <w:tcW w:w="1176" w:type="dxa"/>
            <w:gridSpan w:val="2"/>
            <w:vAlign w:val="center"/>
          </w:tcPr>
          <w:p>
            <w:pPr>
              <w:adjustRightInd w:val="0"/>
              <w:snapToGrid w:val="0"/>
              <w:jc w:val="center"/>
              <w:rPr>
                <w:rFonts w:ascii="宋体" w:hAnsi="宋体"/>
                <w:szCs w:val="21"/>
                <w:highlight w:val="none"/>
              </w:rPr>
            </w:pPr>
            <w:r>
              <w:rPr>
                <w:rFonts w:hint="eastAsia" w:ascii="宋体" w:hAnsi="宋体"/>
                <w:szCs w:val="21"/>
                <w:highlight w:val="none"/>
              </w:rPr>
              <w:t>35</w:t>
            </w:r>
            <w:r>
              <w:rPr>
                <w:rFonts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404" w:hRule="atLeast"/>
          <w:jc w:val="center"/>
        </w:trPr>
        <w:tc>
          <w:tcPr>
            <w:tcW w:w="1276" w:type="dxa"/>
            <w:vMerge w:val="restart"/>
            <w:vAlign w:val="center"/>
          </w:tcPr>
          <w:p>
            <w:pPr>
              <w:adjustRightInd w:val="0"/>
              <w:snapToGrid w:val="0"/>
              <w:rPr>
                <w:rFonts w:ascii="宋体" w:hAnsi="宋体"/>
                <w:szCs w:val="21"/>
                <w:highlight w:val="none"/>
              </w:rPr>
            </w:pPr>
            <w:r>
              <w:rPr>
                <w:rFonts w:ascii="宋体" w:hAnsi="宋体"/>
                <w:szCs w:val="21"/>
                <w:highlight w:val="none"/>
              </w:rPr>
              <w:t>3、技术及服务能力（总分</w:t>
            </w:r>
            <w:r>
              <w:rPr>
                <w:rFonts w:hint="eastAsia" w:ascii="宋体" w:hAnsi="宋体"/>
                <w:szCs w:val="21"/>
                <w:highlight w:val="none"/>
              </w:rPr>
              <w:t>20</w:t>
            </w:r>
            <w:r>
              <w:rPr>
                <w:rFonts w:ascii="宋体" w:hAnsi="宋体"/>
                <w:szCs w:val="21"/>
                <w:highlight w:val="none"/>
              </w:rPr>
              <w:t>分）</w:t>
            </w:r>
          </w:p>
        </w:tc>
        <w:tc>
          <w:tcPr>
            <w:tcW w:w="1263" w:type="dxa"/>
            <w:vAlign w:val="center"/>
          </w:tcPr>
          <w:p>
            <w:pPr>
              <w:adjustRightInd w:val="0"/>
              <w:snapToGrid w:val="0"/>
              <w:rPr>
                <w:rFonts w:ascii="宋体" w:hAnsi="宋体"/>
                <w:szCs w:val="21"/>
                <w:highlight w:val="none"/>
              </w:rPr>
            </w:pPr>
            <w:r>
              <w:rPr>
                <w:rFonts w:ascii="宋体" w:hAnsi="宋体"/>
                <w:szCs w:val="21"/>
                <w:highlight w:val="none"/>
              </w:rPr>
              <w:t>3.1技术</w:t>
            </w:r>
            <w:r>
              <w:rPr>
                <w:rFonts w:hint="eastAsia" w:ascii="宋体" w:hAnsi="宋体"/>
                <w:szCs w:val="21"/>
                <w:highlight w:val="none"/>
              </w:rPr>
              <w:t>及项目实施</w:t>
            </w:r>
            <w:r>
              <w:rPr>
                <w:rFonts w:ascii="宋体" w:hAnsi="宋体"/>
                <w:szCs w:val="21"/>
                <w:highlight w:val="none"/>
              </w:rPr>
              <w:t>方案</w:t>
            </w:r>
            <w:r>
              <w:rPr>
                <w:rFonts w:hint="eastAsia" w:ascii="宋体" w:hAnsi="宋体"/>
                <w:szCs w:val="21"/>
                <w:highlight w:val="none"/>
              </w:rPr>
              <w:t>（16</w:t>
            </w:r>
            <w:r>
              <w:rPr>
                <w:rFonts w:ascii="宋体" w:hAnsi="宋体"/>
                <w:szCs w:val="21"/>
                <w:highlight w:val="none"/>
              </w:rPr>
              <w:t>分）</w:t>
            </w:r>
          </w:p>
          <w:p>
            <w:pPr>
              <w:adjustRightInd w:val="0"/>
              <w:snapToGrid w:val="0"/>
              <w:ind w:firstLine="420" w:firstLineChars="200"/>
              <w:rPr>
                <w:rFonts w:ascii="宋体" w:hAnsi="宋体"/>
                <w:szCs w:val="21"/>
                <w:highlight w:val="none"/>
              </w:rPr>
            </w:pPr>
          </w:p>
        </w:tc>
        <w:tc>
          <w:tcPr>
            <w:tcW w:w="4507" w:type="dxa"/>
            <w:vAlign w:val="center"/>
          </w:tcPr>
          <w:p>
            <w:pPr>
              <w:adjustRightInd w:val="0"/>
              <w:snapToGrid w:val="0"/>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提供</w:t>
            </w:r>
            <w:r>
              <w:rPr>
                <w:rFonts w:hint="eastAsia" w:ascii="宋体" w:hAnsi="宋体"/>
                <w:szCs w:val="21"/>
                <w:highlight w:val="none"/>
              </w:rPr>
              <w:t>本次</w:t>
            </w:r>
            <w:r>
              <w:rPr>
                <w:rFonts w:ascii="宋体" w:hAnsi="宋体"/>
                <w:szCs w:val="21"/>
                <w:highlight w:val="none"/>
              </w:rPr>
              <w:t>项目的技术方案</w:t>
            </w:r>
            <w:r>
              <w:rPr>
                <w:rFonts w:hint="eastAsia" w:ascii="宋体" w:hAnsi="宋体"/>
                <w:szCs w:val="21"/>
                <w:highlight w:val="none"/>
              </w:rPr>
              <w:t>，</w:t>
            </w:r>
            <w:r>
              <w:rPr>
                <w:rFonts w:ascii="宋体" w:hAnsi="宋体"/>
                <w:szCs w:val="21"/>
                <w:highlight w:val="none"/>
              </w:rPr>
              <w:t>包括需求分析、</w:t>
            </w:r>
            <w:r>
              <w:rPr>
                <w:rFonts w:hint="eastAsia" w:ascii="宋体" w:hAnsi="宋体"/>
                <w:szCs w:val="21"/>
                <w:highlight w:val="none"/>
              </w:rPr>
              <w:t>产品</w:t>
            </w:r>
            <w:r>
              <w:rPr>
                <w:rFonts w:ascii="宋体" w:hAnsi="宋体"/>
                <w:szCs w:val="21"/>
                <w:highlight w:val="none"/>
              </w:rPr>
              <w:t>选型</w:t>
            </w:r>
            <w:r>
              <w:rPr>
                <w:rFonts w:hint="eastAsia" w:ascii="宋体" w:hAnsi="宋体"/>
                <w:szCs w:val="21"/>
                <w:highlight w:val="none"/>
              </w:rPr>
              <w:t>、</w:t>
            </w:r>
            <w:r>
              <w:rPr>
                <w:rFonts w:ascii="宋体" w:hAnsi="宋体"/>
                <w:szCs w:val="21"/>
                <w:highlight w:val="none"/>
              </w:rPr>
              <w:t>部署方案</w:t>
            </w:r>
            <w:r>
              <w:rPr>
                <w:rFonts w:hint="eastAsia" w:ascii="宋体" w:hAnsi="宋体"/>
                <w:szCs w:val="21"/>
                <w:highlight w:val="none"/>
              </w:rPr>
              <w:t>、</w:t>
            </w:r>
            <w:r>
              <w:rPr>
                <w:rFonts w:ascii="宋体" w:hAnsi="宋体"/>
                <w:szCs w:val="21"/>
                <w:highlight w:val="none"/>
              </w:rPr>
              <w:t>对接方案等</w:t>
            </w:r>
            <w:r>
              <w:rPr>
                <w:rFonts w:hint="eastAsia" w:ascii="宋体" w:hAnsi="宋体"/>
                <w:szCs w:val="21"/>
                <w:highlight w:val="none"/>
              </w:rPr>
              <w:t>和项目实施方案。由</w:t>
            </w:r>
            <w:r>
              <w:rPr>
                <w:rFonts w:ascii="宋体" w:hAnsi="宋体"/>
                <w:szCs w:val="21"/>
                <w:highlight w:val="none"/>
              </w:rPr>
              <w:t>评委根据方案的</w:t>
            </w:r>
            <w:r>
              <w:rPr>
                <w:rFonts w:hint="eastAsia" w:ascii="宋体" w:hAnsi="宋体"/>
                <w:szCs w:val="21"/>
                <w:highlight w:val="none"/>
              </w:rPr>
              <w:t>科学性</w:t>
            </w:r>
            <w:r>
              <w:rPr>
                <w:rFonts w:ascii="宋体" w:hAnsi="宋体"/>
                <w:szCs w:val="21"/>
                <w:highlight w:val="none"/>
              </w:rPr>
              <w:t>、合理性及先进性打分</w:t>
            </w:r>
            <w:r>
              <w:rPr>
                <w:rFonts w:hint="eastAsia" w:ascii="宋体" w:hAnsi="宋体"/>
                <w:szCs w:val="21"/>
                <w:highlight w:val="none"/>
              </w:rPr>
              <w:t>，优秀16分，较好9分，一般4分，</w:t>
            </w:r>
            <w:r>
              <w:rPr>
                <w:rFonts w:ascii="宋体" w:hAnsi="宋体"/>
                <w:szCs w:val="21"/>
                <w:highlight w:val="none"/>
              </w:rPr>
              <w:t>不提供或不符合要求</w:t>
            </w:r>
            <w:r>
              <w:rPr>
                <w:rFonts w:hint="eastAsia" w:ascii="宋体" w:hAnsi="宋体"/>
                <w:szCs w:val="21"/>
                <w:highlight w:val="none"/>
              </w:rPr>
              <w:t>不得分。</w:t>
            </w:r>
          </w:p>
        </w:tc>
        <w:tc>
          <w:tcPr>
            <w:tcW w:w="1163" w:type="dxa"/>
            <w:vMerge w:val="restart"/>
            <w:vAlign w:val="center"/>
          </w:tcPr>
          <w:p>
            <w:pPr>
              <w:adjustRightInd w:val="0"/>
              <w:snapToGrid w:val="0"/>
              <w:jc w:val="center"/>
              <w:rPr>
                <w:rFonts w:ascii="宋体" w:hAnsi="宋体"/>
                <w:szCs w:val="21"/>
                <w:highlight w:val="none"/>
              </w:rPr>
            </w:pPr>
            <w:r>
              <w:rPr>
                <w:rFonts w:hint="eastAsia" w:ascii="宋体" w:hAnsi="宋体"/>
                <w:szCs w:val="21"/>
                <w:highlight w:val="none"/>
              </w:rPr>
              <w:t>20</w:t>
            </w:r>
            <w:r>
              <w:rPr>
                <w:rFonts w:ascii="宋体" w:hAnsi="宋体"/>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841" w:hRule="atLeast"/>
          <w:jc w:val="center"/>
        </w:trPr>
        <w:tc>
          <w:tcPr>
            <w:tcW w:w="1276" w:type="dxa"/>
            <w:vMerge w:val="continue"/>
            <w:vAlign w:val="center"/>
          </w:tcPr>
          <w:p>
            <w:pPr>
              <w:adjustRightInd w:val="0"/>
              <w:snapToGrid w:val="0"/>
              <w:ind w:firstLine="420" w:firstLineChars="200"/>
              <w:rPr>
                <w:rFonts w:ascii="宋体" w:hAnsi="宋体"/>
                <w:szCs w:val="21"/>
                <w:highlight w:val="none"/>
              </w:rPr>
            </w:pPr>
          </w:p>
        </w:tc>
        <w:tc>
          <w:tcPr>
            <w:tcW w:w="1263" w:type="dxa"/>
            <w:vAlign w:val="center"/>
          </w:tcPr>
          <w:p>
            <w:pPr>
              <w:adjustRightInd w:val="0"/>
              <w:snapToGrid w:val="0"/>
              <w:rPr>
                <w:rFonts w:ascii="宋体" w:hAnsi="宋体"/>
                <w:szCs w:val="21"/>
                <w:highlight w:val="none"/>
              </w:rPr>
            </w:pPr>
            <w:r>
              <w:rPr>
                <w:rFonts w:ascii="宋体" w:hAnsi="宋体"/>
                <w:szCs w:val="21"/>
                <w:highlight w:val="none"/>
              </w:rPr>
              <w:t>3.</w:t>
            </w:r>
            <w:r>
              <w:rPr>
                <w:rFonts w:hint="eastAsia" w:ascii="宋体" w:hAnsi="宋体"/>
                <w:szCs w:val="21"/>
                <w:highlight w:val="none"/>
              </w:rPr>
              <w:t>2</w:t>
            </w:r>
            <w:r>
              <w:rPr>
                <w:rFonts w:ascii="宋体" w:hAnsi="宋体"/>
                <w:szCs w:val="21"/>
                <w:highlight w:val="none"/>
              </w:rPr>
              <w:t>售后服务（4分）</w:t>
            </w:r>
          </w:p>
          <w:p>
            <w:pPr>
              <w:adjustRightInd w:val="0"/>
              <w:snapToGrid w:val="0"/>
              <w:ind w:firstLine="420" w:firstLineChars="200"/>
              <w:rPr>
                <w:rFonts w:ascii="宋体" w:hAnsi="宋体"/>
                <w:szCs w:val="21"/>
                <w:highlight w:val="none"/>
              </w:rPr>
            </w:pPr>
          </w:p>
        </w:tc>
        <w:tc>
          <w:tcPr>
            <w:tcW w:w="4507" w:type="dxa"/>
            <w:vAlign w:val="center"/>
          </w:tcPr>
          <w:p>
            <w:pPr>
              <w:adjustRightInd w:val="0"/>
              <w:snapToGrid w:val="0"/>
              <w:ind w:firstLine="420" w:firstLineChars="200"/>
              <w:rPr>
                <w:rFonts w:ascii="宋体" w:hAnsi="宋体"/>
                <w:szCs w:val="21"/>
                <w:highlight w:val="none"/>
              </w:rPr>
            </w:pPr>
            <w:r>
              <w:rPr>
                <w:rFonts w:ascii="宋体" w:hAnsi="宋体"/>
                <w:szCs w:val="21"/>
                <w:highlight w:val="none"/>
              </w:rPr>
              <w:t>评委根据投标人提供的售后服务体系、江苏地区售后服务机构及人员、售后服务承诺、售后服务应答及处理时间，质保期内的售后服务范围、质保期满后的售后服务范围和收费情况进行打分，</w:t>
            </w:r>
            <w:r>
              <w:rPr>
                <w:rFonts w:hint="eastAsia" w:ascii="宋体" w:hAnsi="宋体"/>
                <w:szCs w:val="21"/>
                <w:highlight w:val="none"/>
              </w:rPr>
              <w:t>优秀</w:t>
            </w:r>
            <w:r>
              <w:rPr>
                <w:rFonts w:ascii="宋体" w:hAnsi="宋体"/>
                <w:szCs w:val="21"/>
                <w:highlight w:val="none"/>
              </w:rPr>
              <w:t>4</w:t>
            </w:r>
            <w:r>
              <w:rPr>
                <w:rFonts w:hint="eastAsia" w:ascii="宋体" w:hAnsi="宋体"/>
                <w:szCs w:val="21"/>
                <w:highlight w:val="none"/>
              </w:rPr>
              <w:t>分，较好2分，一般1分，不提供不得分</w:t>
            </w:r>
            <w:r>
              <w:rPr>
                <w:rFonts w:ascii="宋体" w:hAnsi="宋体"/>
                <w:szCs w:val="21"/>
                <w:highlight w:val="none"/>
              </w:rPr>
              <w:t>。</w:t>
            </w:r>
          </w:p>
        </w:tc>
        <w:tc>
          <w:tcPr>
            <w:tcW w:w="1163" w:type="dxa"/>
            <w:vMerge w:val="continue"/>
            <w:vAlign w:val="center"/>
          </w:tcPr>
          <w:p>
            <w:pPr>
              <w:adjustRightInd w:val="0"/>
              <w:snapToGrid w:val="0"/>
              <w:ind w:firstLine="420" w:firstLineChars="20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44" w:hRule="atLeast"/>
          <w:jc w:val="center"/>
        </w:trPr>
        <w:tc>
          <w:tcPr>
            <w:tcW w:w="1276" w:type="dxa"/>
            <w:vAlign w:val="center"/>
          </w:tcPr>
          <w:p>
            <w:pPr>
              <w:adjustRightInd w:val="0"/>
              <w:snapToGrid w:val="0"/>
              <w:rPr>
                <w:rFonts w:ascii="宋体" w:hAnsi="宋体"/>
                <w:szCs w:val="21"/>
                <w:highlight w:val="none"/>
              </w:rPr>
            </w:pPr>
            <w:r>
              <w:rPr>
                <w:rFonts w:ascii="宋体" w:hAnsi="宋体"/>
                <w:szCs w:val="21"/>
                <w:highlight w:val="none"/>
              </w:rPr>
              <w:t>4、投标</w:t>
            </w:r>
            <w:r>
              <w:rPr>
                <w:rFonts w:hint="eastAsia" w:ascii="宋体" w:hAnsi="宋体"/>
                <w:szCs w:val="21"/>
                <w:highlight w:val="none"/>
              </w:rPr>
              <w:t>人产品业绩</w:t>
            </w:r>
            <w:r>
              <w:rPr>
                <w:rFonts w:ascii="宋体" w:hAnsi="宋体"/>
                <w:szCs w:val="21"/>
                <w:highlight w:val="none"/>
              </w:rPr>
              <w:t>（总分3分）</w:t>
            </w:r>
          </w:p>
        </w:tc>
        <w:tc>
          <w:tcPr>
            <w:tcW w:w="5770" w:type="dxa"/>
            <w:gridSpan w:val="2"/>
            <w:vAlign w:val="center"/>
          </w:tcPr>
          <w:p>
            <w:pPr>
              <w:adjustRightInd w:val="0"/>
              <w:snapToGrid w:val="0"/>
              <w:ind w:firstLine="420" w:firstLineChars="200"/>
              <w:rPr>
                <w:rFonts w:ascii="宋体" w:hAnsi="宋体"/>
                <w:szCs w:val="21"/>
                <w:highlight w:val="none"/>
              </w:rPr>
            </w:pPr>
            <w:r>
              <w:rPr>
                <w:rFonts w:hint="eastAsia" w:ascii="宋体" w:hAnsi="宋体"/>
                <w:szCs w:val="21"/>
                <w:highlight w:val="none"/>
              </w:rPr>
              <w:t>提供自</w:t>
            </w:r>
            <w:bookmarkStart w:id="28" w:name="OLE_LINK522"/>
            <w:bookmarkStart w:id="29" w:name="OLE_LINK521"/>
            <w:r>
              <w:rPr>
                <w:rFonts w:hint="eastAsia" w:ascii="宋体" w:hAnsi="宋体"/>
                <w:szCs w:val="21"/>
                <w:highlight w:val="none"/>
              </w:rPr>
              <w:t>201</w:t>
            </w:r>
            <w:r>
              <w:rPr>
                <w:rFonts w:ascii="宋体" w:hAnsi="宋体"/>
                <w:szCs w:val="21"/>
                <w:highlight w:val="none"/>
              </w:rPr>
              <w:t>9</w:t>
            </w:r>
            <w:r>
              <w:rPr>
                <w:rFonts w:hint="eastAsia" w:ascii="宋体" w:hAnsi="宋体"/>
                <w:szCs w:val="21"/>
                <w:highlight w:val="none"/>
              </w:rPr>
              <w:t>年以来投标人所投产品</w:t>
            </w:r>
            <w:bookmarkEnd w:id="28"/>
            <w:bookmarkEnd w:id="29"/>
            <w:r>
              <w:rPr>
                <w:rFonts w:hint="eastAsia" w:ascii="宋体" w:hAnsi="宋体"/>
                <w:szCs w:val="21"/>
                <w:highlight w:val="none"/>
              </w:rPr>
              <w:t>业绩；每提供1个案例得1分，最多得3分。提供合同复印件（加盖公章）并提供最终用户联系人及联系方式以备验证，不按照以上要求提供者不得分。</w:t>
            </w:r>
          </w:p>
        </w:tc>
        <w:tc>
          <w:tcPr>
            <w:tcW w:w="1163" w:type="dxa"/>
            <w:vAlign w:val="center"/>
          </w:tcPr>
          <w:p>
            <w:pPr>
              <w:adjustRightInd w:val="0"/>
              <w:snapToGrid w:val="0"/>
              <w:jc w:val="center"/>
              <w:rPr>
                <w:rFonts w:ascii="宋体" w:hAnsi="宋体"/>
                <w:szCs w:val="21"/>
                <w:highlight w:val="none"/>
              </w:rPr>
            </w:pPr>
            <w:r>
              <w:rPr>
                <w:rFonts w:ascii="宋体" w:hAnsi="宋体"/>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29" w:hRule="atLeast"/>
          <w:jc w:val="center"/>
        </w:trPr>
        <w:tc>
          <w:tcPr>
            <w:tcW w:w="1276" w:type="dxa"/>
            <w:vAlign w:val="center"/>
          </w:tcPr>
          <w:p>
            <w:pPr>
              <w:adjustRightInd w:val="0"/>
              <w:snapToGrid w:val="0"/>
              <w:rPr>
                <w:rFonts w:ascii="宋体" w:hAnsi="宋体"/>
                <w:szCs w:val="21"/>
                <w:highlight w:val="none"/>
              </w:rPr>
            </w:pPr>
            <w:r>
              <w:rPr>
                <w:rFonts w:hint="eastAsia" w:ascii="宋体" w:hAnsi="宋体"/>
                <w:szCs w:val="21"/>
                <w:highlight w:val="none"/>
              </w:rPr>
              <w:t>5.标书制作</w:t>
            </w:r>
          </w:p>
        </w:tc>
        <w:tc>
          <w:tcPr>
            <w:tcW w:w="5770" w:type="dxa"/>
            <w:gridSpan w:val="2"/>
            <w:vAlign w:val="center"/>
          </w:tcPr>
          <w:p>
            <w:pPr>
              <w:adjustRightInd w:val="0"/>
              <w:snapToGrid w:val="0"/>
              <w:ind w:firstLine="420" w:firstLineChars="200"/>
              <w:rPr>
                <w:rFonts w:ascii="宋体" w:hAnsi="宋体"/>
                <w:szCs w:val="21"/>
                <w:highlight w:val="none"/>
              </w:rPr>
            </w:pPr>
            <w:r>
              <w:rPr>
                <w:rFonts w:hint="eastAsia" w:ascii="宋体" w:hAnsi="宋体" w:cs="宋体"/>
                <w:szCs w:val="21"/>
                <w:highlight w:val="none"/>
              </w:rPr>
              <w:t>文件内容完备，格式规范，封装整齐，满足招标文件要求得2分。未经胶封（如文件夹或订书机等）此项不得分。</w:t>
            </w:r>
          </w:p>
        </w:tc>
        <w:tc>
          <w:tcPr>
            <w:tcW w:w="1163" w:type="dxa"/>
            <w:vAlign w:val="center"/>
          </w:tcPr>
          <w:p>
            <w:pPr>
              <w:adjustRightInd w:val="0"/>
              <w:snapToGrid w:val="0"/>
              <w:jc w:val="center"/>
              <w:rPr>
                <w:rFonts w:ascii="宋体" w:hAnsi="宋体"/>
                <w:szCs w:val="21"/>
                <w:highlight w:val="none"/>
              </w:rPr>
            </w:pPr>
            <w:r>
              <w:rPr>
                <w:rFonts w:hint="eastAsia" w:ascii="宋体" w:hAnsi="宋体"/>
                <w:szCs w:val="21"/>
                <w:highlight w:val="none"/>
              </w:rPr>
              <w:t>2</w:t>
            </w:r>
          </w:p>
        </w:tc>
      </w:tr>
    </w:tbl>
    <w:p>
      <w:pPr>
        <w:pStyle w:val="2"/>
        <w:spacing w:before="0" w:after="0" w:line="240" w:lineRule="auto"/>
        <w:ind w:firstLine="843" w:firstLineChars="400"/>
        <w:rPr>
          <w:sz w:val="24"/>
          <w:szCs w:val="16"/>
          <w:highlight w:val="none"/>
          <w:lang w:val="zh-CN"/>
        </w:rPr>
      </w:pPr>
      <w:r>
        <w:rPr>
          <w:rFonts w:hint="eastAsia" w:ascii="宋体" w:eastAsia="宋体"/>
          <w:b/>
          <w:bCs/>
          <w:color w:val="auto"/>
          <w:sz w:val="21"/>
          <w:szCs w:val="21"/>
          <w:highlight w:val="none"/>
        </w:rPr>
        <w:t>（本部分内容由南京信息工程大学信息化建设与管理处提供并负责）</w:t>
      </w:r>
    </w:p>
    <w:p>
      <w:pPr>
        <w:pStyle w:val="2"/>
        <w:rPr>
          <w:highlight w:val="none"/>
        </w:rPr>
      </w:pPr>
    </w:p>
    <w:p>
      <w:pPr>
        <w:spacing w:line="360" w:lineRule="auto"/>
        <w:rPr>
          <w:rFonts w:hint="eastAsia"/>
          <w:b/>
          <w:sz w:val="28"/>
          <w:szCs w:val="28"/>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采购合同（参考文本）</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0"/>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0"/>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8"/>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本合同总价金额为（大写）：</w:t>
      </w:r>
      <w:r>
        <w:rPr>
          <w:rFonts w:hAnsi="宋体"/>
          <w:sz w:val="24"/>
          <w:szCs w:val="24"/>
          <w:highlight w:val="none"/>
        </w:rPr>
        <w:t>________________________</w:t>
      </w:r>
      <w:r>
        <w:rPr>
          <w:rFonts w:hint="eastAsia" w:hAnsi="宋体"/>
          <w:sz w:val="24"/>
          <w:szCs w:val="24"/>
          <w:highlight w:val="none"/>
        </w:rPr>
        <w:t>元人民币。合同总价为完成本项目所需全部费用，包括但不限于服务费、设备采购费、税金、培训费、资料费等。除此之外，甲方不再向乙方支付其他任何费用。</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8.1</w:t>
      </w:r>
      <w:r>
        <w:rPr>
          <w:rFonts w:hint="eastAsia" w:hAnsi="宋体"/>
          <w:sz w:val="24"/>
          <w:szCs w:val="24"/>
          <w:highlight w:val="none"/>
        </w:rPr>
        <w:t>质保期**年。（自交货验收合格之日起计）</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付款方式：针对国内供应货物，签订合同后，全部货物交货并最终验收合格后，凭验收凭证和货物验收合格等文件20内支付至合同金额的100%，质量保证金质保期满后，</w:t>
      </w:r>
      <w:r>
        <w:rPr>
          <w:rFonts w:hAnsi="宋体"/>
          <w:sz w:val="24"/>
          <w:szCs w:val="24"/>
          <w:highlight w:val="none"/>
        </w:rPr>
        <w:t>经有关单位确认无质量问题后，一次性</w:t>
      </w:r>
      <w:r>
        <w:rPr>
          <w:rFonts w:hint="eastAsia" w:hAnsi="宋体"/>
          <w:sz w:val="24"/>
          <w:szCs w:val="24"/>
          <w:highlight w:val="none"/>
        </w:rPr>
        <w:t>无息付清</w:t>
      </w:r>
      <w:r>
        <w:rPr>
          <w:rFonts w:hAnsi="宋体"/>
          <w:sz w:val="24"/>
          <w:szCs w:val="24"/>
          <w:highlight w:val="none"/>
        </w:rPr>
        <w:t>。具体内容以最终签署的合同约定为准。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0"/>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乙方应按采购文件规定的货物性能、技术要求、质量标准向甲方提供未经使用的全新产品。针对国外供应货物（进口货物），乙方须提供原产地证明。</w:t>
      </w:r>
    </w:p>
    <w:p>
      <w:pPr>
        <w:pStyle w:val="10"/>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0"/>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双方在执行合同中所发生的一切争议，应通过协商解决。如协商不成，可向合同签订地法院起诉，合同签订地在此约定为南京市。如因合同履行发生纠纷，适用中国法律。</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0"/>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0"/>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0"/>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0"/>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0"/>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0"/>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20</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FE1AF4"/>
    <w:multiLevelType w:val="multilevel"/>
    <w:tmpl w:val="65FE1AF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MTlkYWQ1MDQxY2M5NTRlNzE5NDZkZmRiZWE0ZjEifQ=="/>
  </w:docVars>
  <w:rsids>
    <w:rsidRoot w:val="00201076"/>
    <w:rsid w:val="0000144D"/>
    <w:rsid w:val="00002B2D"/>
    <w:rsid w:val="00003305"/>
    <w:rsid w:val="00003606"/>
    <w:rsid w:val="000054CA"/>
    <w:rsid w:val="000054FD"/>
    <w:rsid w:val="0000571D"/>
    <w:rsid w:val="00012B37"/>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489"/>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A6AE7"/>
    <w:rsid w:val="000B1E2F"/>
    <w:rsid w:val="000B4953"/>
    <w:rsid w:val="000B5806"/>
    <w:rsid w:val="000B5F77"/>
    <w:rsid w:val="000B6356"/>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1C37"/>
    <w:rsid w:val="00122E50"/>
    <w:rsid w:val="001238AF"/>
    <w:rsid w:val="001246CA"/>
    <w:rsid w:val="00124A77"/>
    <w:rsid w:val="00124B44"/>
    <w:rsid w:val="00124CA1"/>
    <w:rsid w:val="00125991"/>
    <w:rsid w:val="00125C94"/>
    <w:rsid w:val="00126E86"/>
    <w:rsid w:val="001272EE"/>
    <w:rsid w:val="00127BC3"/>
    <w:rsid w:val="00130B50"/>
    <w:rsid w:val="001320B9"/>
    <w:rsid w:val="001343A4"/>
    <w:rsid w:val="0013492F"/>
    <w:rsid w:val="00136DE7"/>
    <w:rsid w:val="00137542"/>
    <w:rsid w:val="00143684"/>
    <w:rsid w:val="001448F3"/>
    <w:rsid w:val="0014591D"/>
    <w:rsid w:val="00146508"/>
    <w:rsid w:val="00147BB6"/>
    <w:rsid w:val="001502CF"/>
    <w:rsid w:val="00151817"/>
    <w:rsid w:val="0015214C"/>
    <w:rsid w:val="0015225B"/>
    <w:rsid w:val="00152BCB"/>
    <w:rsid w:val="00152CE4"/>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5C50"/>
    <w:rsid w:val="001C6C16"/>
    <w:rsid w:val="001D10DD"/>
    <w:rsid w:val="001D237E"/>
    <w:rsid w:val="001D2D6F"/>
    <w:rsid w:val="001D30BA"/>
    <w:rsid w:val="001D3FC2"/>
    <w:rsid w:val="001D7657"/>
    <w:rsid w:val="001D76D4"/>
    <w:rsid w:val="001E2C9F"/>
    <w:rsid w:val="001E47A8"/>
    <w:rsid w:val="001E4E6B"/>
    <w:rsid w:val="001E611D"/>
    <w:rsid w:val="001E672D"/>
    <w:rsid w:val="001E7C0C"/>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14E"/>
    <w:rsid w:val="002228CD"/>
    <w:rsid w:val="002238C0"/>
    <w:rsid w:val="0022420E"/>
    <w:rsid w:val="00225151"/>
    <w:rsid w:val="00226609"/>
    <w:rsid w:val="002270A5"/>
    <w:rsid w:val="002274A2"/>
    <w:rsid w:val="00230145"/>
    <w:rsid w:val="00230940"/>
    <w:rsid w:val="0023249E"/>
    <w:rsid w:val="002346F4"/>
    <w:rsid w:val="00234B1B"/>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E3C"/>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B6B58"/>
    <w:rsid w:val="002C016C"/>
    <w:rsid w:val="002C0D56"/>
    <w:rsid w:val="002C3038"/>
    <w:rsid w:val="002C3D8F"/>
    <w:rsid w:val="002C6A0C"/>
    <w:rsid w:val="002C6B1B"/>
    <w:rsid w:val="002C724E"/>
    <w:rsid w:val="002D0833"/>
    <w:rsid w:val="002D16E8"/>
    <w:rsid w:val="002D247C"/>
    <w:rsid w:val="002D35E9"/>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6C1F"/>
    <w:rsid w:val="002F7098"/>
    <w:rsid w:val="00300D50"/>
    <w:rsid w:val="00302F70"/>
    <w:rsid w:val="003034BA"/>
    <w:rsid w:val="00303EFB"/>
    <w:rsid w:val="003048F1"/>
    <w:rsid w:val="0030541B"/>
    <w:rsid w:val="003072D4"/>
    <w:rsid w:val="003076E5"/>
    <w:rsid w:val="00307A31"/>
    <w:rsid w:val="00307F8E"/>
    <w:rsid w:val="00310A95"/>
    <w:rsid w:val="00310DA0"/>
    <w:rsid w:val="00311CFE"/>
    <w:rsid w:val="00312896"/>
    <w:rsid w:val="00312CD2"/>
    <w:rsid w:val="00313155"/>
    <w:rsid w:val="003147BD"/>
    <w:rsid w:val="003163EE"/>
    <w:rsid w:val="00316AC1"/>
    <w:rsid w:val="00316C54"/>
    <w:rsid w:val="0032353A"/>
    <w:rsid w:val="00323939"/>
    <w:rsid w:val="003239F5"/>
    <w:rsid w:val="00324588"/>
    <w:rsid w:val="00325728"/>
    <w:rsid w:val="00326B86"/>
    <w:rsid w:val="00327C2C"/>
    <w:rsid w:val="00330268"/>
    <w:rsid w:val="00331A66"/>
    <w:rsid w:val="00331B2F"/>
    <w:rsid w:val="00334E11"/>
    <w:rsid w:val="0033568A"/>
    <w:rsid w:val="00335D4D"/>
    <w:rsid w:val="0033689B"/>
    <w:rsid w:val="0033765A"/>
    <w:rsid w:val="0034221F"/>
    <w:rsid w:val="00343F9F"/>
    <w:rsid w:val="00344EF7"/>
    <w:rsid w:val="00345610"/>
    <w:rsid w:val="00345928"/>
    <w:rsid w:val="00347496"/>
    <w:rsid w:val="003477A5"/>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0B4"/>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3BCF"/>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1D16"/>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B46"/>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433D"/>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24173"/>
    <w:rsid w:val="00730ACA"/>
    <w:rsid w:val="00730C03"/>
    <w:rsid w:val="00732152"/>
    <w:rsid w:val="00733E6E"/>
    <w:rsid w:val="007344A9"/>
    <w:rsid w:val="00734575"/>
    <w:rsid w:val="00735CFC"/>
    <w:rsid w:val="00735D71"/>
    <w:rsid w:val="00736148"/>
    <w:rsid w:val="00736A76"/>
    <w:rsid w:val="00736B32"/>
    <w:rsid w:val="007401E7"/>
    <w:rsid w:val="00740E4E"/>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250B"/>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1627"/>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5D78"/>
    <w:rsid w:val="007F794E"/>
    <w:rsid w:val="00801FBF"/>
    <w:rsid w:val="00803D3C"/>
    <w:rsid w:val="00805272"/>
    <w:rsid w:val="0081037F"/>
    <w:rsid w:val="008109D2"/>
    <w:rsid w:val="008111F7"/>
    <w:rsid w:val="00813477"/>
    <w:rsid w:val="00813C43"/>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6175"/>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05DF"/>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4084"/>
    <w:rsid w:val="00A74E90"/>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396"/>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1831"/>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4B84"/>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0296"/>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BC3"/>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D7AB6"/>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3A0E"/>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E795A"/>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1AE4"/>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AE8"/>
    <w:rsid w:val="00FD5D53"/>
    <w:rsid w:val="00FD5D95"/>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0FF402C"/>
    <w:rsid w:val="018204A8"/>
    <w:rsid w:val="036159EE"/>
    <w:rsid w:val="05390039"/>
    <w:rsid w:val="05B517B2"/>
    <w:rsid w:val="063A076D"/>
    <w:rsid w:val="0666393D"/>
    <w:rsid w:val="078D73D6"/>
    <w:rsid w:val="07D33D16"/>
    <w:rsid w:val="09637941"/>
    <w:rsid w:val="0B4D6E3A"/>
    <w:rsid w:val="0B675B31"/>
    <w:rsid w:val="0BDF51D7"/>
    <w:rsid w:val="0C3615C8"/>
    <w:rsid w:val="0C4861BD"/>
    <w:rsid w:val="0C7E7AA1"/>
    <w:rsid w:val="0CFE3A2E"/>
    <w:rsid w:val="0D873213"/>
    <w:rsid w:val="0D9425DE"/>
    <w:rsid w:val="0D99361C"/>
    <w:rsid w:val="107D340A"/>
    <w:rsid w:val="10EB4170"/>
    <w:rsid w:val="10F05838"/>
    <w:rsid w:val="113C24CA"/>
    <w:rsid w:val="119D0D41"/>
    <w:rsid w:val="11D57EAE"/>
    <w:rsid w:val="12162C3B"/>
    <w:rsid w:val="130F1D58"/>
    <w:rsid w:val="145263CB"/>
    <w:rsid w:val="146723C1"/>
    <w:rsid w:val="14896182"/>
    <w:rsid w:val="155010AB"/>
    <w:rsid w:val="15572C10"/>
    <w:rsid w:val="15737A45"/>
    <w:rsid w:val="1584594C"/>
    <w:rsid w:val="15907301"/>
    <w:rsid w:val="15A069B5"/>
    <w:rsid w:val="15A90346"/>
    <w:rsid w:val="15B24E31"/>
    <w:rsid w:val="16AA09BD"/>
    <w:rsid w:val="17652C65"/>
    <w:rsid w:val="17833DE3"/>
    <w:rsid w:val="18255F8E"/>
    <w:rsid w:val="187D44EA"/>
    <w:rsid w:val="19775424"/>
    <w:rsid w:val="1A241EC0"/>
    <w:rsid w:val="1AE96A89"/>
    <w:rsid w:val="1C121D57"/>
    <w:rsid w:val="1C4A137C"/>
    <w:rsid w:val="1C8F1DE9"/>
    <w:rsid w:val="1DA871CA"/>
    <w:rsid w:val="1F11313D"/>
    <w:rsid w:val="1F956998"/>
    <w:rsid w:val="1FA31BDA"/>
    <w:rsid w:val="20DC5C02"/>
    <w:rsid w:val="20DE7ECC"/>
    <w:rsid w:val="20FE711F"/>
    <w:rsid w:val="21241474"/>
    <w:rsid w:val="21A70E96"/>
    <w:rsid w:val="225E4DAF"/>
    <w:rsid w:val="22891E2D"/>
    <w:rsid w:val="22A743B8"/>
    <w:rsid w:val="22D33607"/>
    <w:rsid w:val="23FD2509"/>
    <w:rsid w:val="243943F8"/>
    <w:rsid w:val="24E05430"/>
    <w:rsid w:val="267A7579"/>
    <w:rsid w:val="272231F7"/>
    <w:rsid w:val="27961F1E"/>
    <w:rsid w:val="27AD7C03"/>
    <w:rsid w:val="28C46277"/>
    <w:rsid w:val="29062B05"/>
    <w:rsid w:val="29127A38"/>
    <w:rsid w:val="2AAA7342"/>
    <w:rsid w:val="2AB43BC5"/>
    <w:rsid w:val="2B556F15"/>
    <w:rsid w:val="2B7F4BC3"/>
    <w:rsid w:val="2C6820E3"/>
    <w:rsid w:val="2CE81BAF"/>
    <w:rsid w:val="2D244788"/>
    <w:rsid w:val="2DAC05D8"/>
    <w:rsid w:val="2DE728EA"/>
    <w:rsid w:val="2E726843"/>
    <w:rsid w:val="2EDC02FF"/>
    <w:rsid w:val="2EE87C86"/>
    <w:rsid w:val="2EEC5388"/>
    <w:rsid w:val="302F3016"/>
    <w:rsid w:val="3172033E"/>
    <w:rsid w:val="3227588C"/>
    <w:rsid w:val="325F6558"/>
    <w:rsid w:val="331653E5"/>
    <w:rsid w:val="33C77B10"/>
    <w:rsid w:val="341C30A3"/>
    <w:rsid w:val="351529A9"/>
    <w:rsid w:val="353D5E48"/>
    <w:rsid w:val="355A74E9"/>
    <w:rsid w:val="35FD1F7A"/>
    <w:rsid w:val="36616918"/>
    <w:rsid w:val="366D672C"/>
    <w:rsid w:val="3676129B"/>
    <w:rsid w:val="36AE738B"/>
    <w:rsid w:val="36E3150F"/>
    <w:rsid w:val="3836614A"/>
    <w:rsid w:val="384A4707"/>
    <w:rsid w:val="385D644E"/>
    <w:rsid w:val="38F33167"/>
    <w:rsid w:val="39C83C69"/>
    <w:rsid w:val="39CE5E1D"/>
    <w:rsid w:val="3A9701E9"/>
    <w:rsid w:val="3B4244C5"/>
    <w:rsid w:val="3C003247"/>
    <w:rsid w:val="3C8E6F2D"/>
    <w:rsid w:val="3D6145DC"/>
    <w:rsid w:val="3E495BEB"/>
    <w:rsid w:val="3E5E0082"/>
    <w:rsid w:val="3EDB4EA4"/>
    <w:rsid w:val="3F9F3463"/>
    <w:rsid w:val="3FC31914"/>
    <w:rsid w:val="405D6728"/>
    <w:rsid w:val="40FD6FDA"/>
    <w:rsid w:val="41110191"/>
    <w:rsid w:val="414A37BB"/>
    <w:rsid w:val="41B45A04"/>
    <w:rsid w:val="425756BF"/>
    <w:rsid w:val="42643A73"/>
    <w:rsid w:val="42AA1012"/>
    <w:rsid w:val="43FB66E3"/>
    <w:rsid w:val="44DC7F4B"/>
    <w:rsid w:val="45182E8B"/>
    <w:rsid w:val="45651876"/>
    <w:rsid w:val="45CC523B"/>
    <w:rsid w:val="466F6CEB"/>
    <w:rsid w:val="46AA377D"/>
    <w:rsid w:val="487F7098"/>
    <w:rsid w:val="49363676"/>
    <w:rsid w:val="49713AA7"/>
    <w:rsid w:val="499A2688"/>
    <w:rsid w:val="49D47D5A"/>
    <w:rsid w:val="49F62026"/>
    <w:rsid w:val="4A4B48E3"/>
    <w:rsid w:val="4B1A7369"/>
    <w:rsid w:val="4B5137BF"/>
    <w:rsid w:val="4D774E55"/>
    <w:rsid w:val="4DA86B45"/>
    <w:rsid w:val="4E3720DD"/>
    <w:rsid w:val="4ECB1A92"/>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615545B"/>
    <w:rsid w:val="56732DC5"/>
    <w:rsid w:val="56C21B98"/>
    <w:rsid w:val="57360F05"/>
    <w:rsid w:val="57970DA2"/>
    <w:rsid w:val="581F495D"/>
    <w:rsid w:val="58484116"/>
    <w:rsid w:val="58DA78C0"/>
    <w:rsid w:val="58E017CC"/>
    <w:rsid w:val="594F3C5E"/>
    <w:rsid w:val="59F82177"/>
    <w:rsid w:val="5A770570"/>
    <w:rsid w:val="5AC859BF"/>
    <w:rsid w:val="5B4C17F1"/>
    <w:rsid w:val="5BA43FB8"/>
    <w:rsid w:val="5C0F2072"/>
    <w:rsid w:val="5CFC1D50"/>
    <w:rsid w:val="5E6C25B6"/>
    <w:rsid w:val="5E84123F"/>
    <w:rsid w:val="5F0028BB"/>
    <w:rsid w:val="5F2528F6"/>
    <w:rsid w:val="5F9764C2"/>
    <w:rsid w:val="603300A7"/>
    <w:rsid w:val="607E0927"/>
    <w:rsid w:val="60D968DA"/>
    <w:rsid w:val="60F41422"/>
    <w:rsid w:val="619D5BCC"/>
    <w:rsid w:val="62107539"/>
    <w:rsid w:val="622D678C"/>
    <w:rsid w:val="6233128F"/>
    <w:rsid w:val="62635DDC"/>
    <w:rsid w:val="62FE3555"/>
    <w:rsid w:val="63D7368B"/>
    <w:rsid w:val="63EA24F1"/>
    <w:rsid w:val="64933ABF"/>
    <w:rsid w:val="657A0549"/>
    <w:rsid w:val="665A104A"/>
    <w:rsid w:val="66ED444E"/>
    <w:rsid w:val="67484273"/>
    <w:rsid w:val="68A603CF"/>
    <w:rsid w:val="69D32689"/>
    <w:rsid w:val="69E27B06"/>
    <w:rsid w:val="69EA623B"/>
    <w:rsid w:val="6A0F3694"/>
    <w:rsid w:val="6A5445FC"/>
    <w:rsid w:val="6A5C1E75"/>
    <w:rsid w:val="6AB76CFB"/>
    <w:rsid w:val="6ABA08C1"/>
    <w:rsid w:val="6BC1702A"/>
    <w:rsid w:val="6C282248"/>
    <w:rsid w:val="6CBD55AC"/>
    <w:rsid w:val="6DE636A7"/>
    <w:rsid w:val="6DE86594"/>
    <w:rsid w:val="6E5C2511"/>
    <w:rsid w:val="6F03756C"/>
    <w:rsid w:val="718764FD"/>
    <w:rsid w:val="725831A5"/>
    <w:rsid w:val="73607DE9"/>
    <w:rsid w:val="73711235"/>
    <w:rsid w:val="753E278B"/>
    <w:rsid w:val="75851EE6"/>
    <w:rsid w:val="75BE6EB5"/>
    <w:rsid w:val="7815375E"/>
    <w:rsid w:val="790D6252"/>
    <w:rsid w:val="7AE40810"/>
    <w:rsid w:val="7B0749C7"/>
    <w:rsid w:val="7BBB6C68"/>
    <w:rsid w:val="7C574749"/>
    <w:rsid w:val="7C8E2CF6"/>
    <w:rsid w:val="7C967B8B"/>
    <w:rsid w:val="7CD015B7"/>
    <w:rsid w:val="7DCA133F"/>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6"/>
    <w:qFormat/>
    <w:uiPriority w:val="99"/>
    <w:pPr>
      <w:jc w:val="left"/>
    </w:pPr>
    <w:rPr>
      <w:sz w:val="24"/>
      <w:szCs w:val="20"/>
    </w:rPr>
  </w:style>
  <w:style w:type="paragraph" w:styleId="6">
    <w:name w:val="Body Text"/>
    <w:basedOn w:val="1"/>
    <w:link w:val="44"/>
    <w:unhideWhenUsed/>
    <w:qFormat/>
    <w:locked/>
    <w:uiPriority w:val="99"/>
    <w:pPr>
      <w:spacing w:after="120"/>
    </w:pPr>
  </w:style>
  <w:style w:type="paragraph" w:styleId="7">
    <w:name w:val="Body Text Indent"/>
    <w:basedOn w:val="1"/>
    <w:link w:val="27"/>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8"/>
    <w:qFormat/>
    <w:uiPriority w:val="0"/>
    <w:rPr>
      <w:rFonts w:ascii="宋体" w:hAnsi="Courier New"/>
      <w:szCs w:val="20"/>
    </w:rPr>
  </w:style>
  <w:style w:type="paragraph" w:styleId="11">
    <w:name w:val="Date"/>
    <w:basedOn w:val="1"/>
    <w:next w:val="1"/>
    <w:link w:val="29"/>
    <w:qFormat/>
    <w:uiPriority w:val="99"/>
    <w:pPr>
      <w:ind w:left="100" w:leftChars="2500"/>
    </w:pPr>
    <w:rPr>
      <w:sz w:val="24"/>
      <w:szCs w:val="20"/>
    </w:rPr>
  </w:style>
  <w:style w:type="paragraph" w:styleId="12">
    <w:name w:val="Balloon Text"/>
    <w:basedOn w:val="1"/>
    <w:link w:val="56"/>
    <w:semiHidden/>
    <w:qFormat/>
    <w:uiPriority w:val="99"/>
    <w:rPr>
      <w:sz w:val="18"/>
      <w:szCs w:val="18"/>
    </w:rPr>
  </w:style>
  <w:style w:type="paragraph" w:styleId="13">
    <w:name w:val="footer"/>
    <w:basedOn w:val="1"/>
    <w:link w:val="30"/>
    <w:qFormat/>
    <w:uiPriority w:val="99"/>
    <w:pPr>
      <w:tabs>
        <w:tab w:val="center" w:pos="4153"/>
        <w:tab w:val="right" w:pos="8306"/>
      </w:tabs>
      <w:snapToGrid w:val="0"/>
      <w:jc w:val="left"/>
    </w:pPr>
    <w:rPr>
      <w:kern w:val="0"/>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2"/>
    <w:qFormat/>
    <w:uiPriority w:val="99"/>
    <w:rPr>
      <w:b/>
    </w:rPr>
  </w:style>
  <w:style w:type="paragraph" w:styleId="17">
    <w:name w:val="Body Text First Indent 2"/>
    <w:basedOn w:val="7"/>
    <w:link w:val="55"/>
    <w:semiHidden/>
    <w:unhideWhenUsed/>
    <w:qFormat/>
    <w:locked/>
    <w:uiPriority w:val="99"/>
    <w:pPr>
      <w:spacing w:after="120"/>
      <w:ind w:left="420" w:leftChars="200" w:firstLine="420" w:firstLineChars="200"/>
    </w:pPr>
    <w:rPr>
      <w:rFonts w:ascii="Times New Roman" w:eastAsia="宋体"/>
      <w:sz w:val="21"/>
      <w:szCs w:val="24"/>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locked/>
    <w:uiPriority w:val="0"/>
  </w:style>
  <w:style w:type="character" w:styleId="22">
    <w:name w:val="Hyperlink"/>
    <w:qFormat/>
    <w:uiPriority w:val="99"/>
    <w:rPr>
      <w:rFonts w:cs="Times New Roman"/>
      <w:color w:val="0563C1"/>
      <w:u w:val="single"/>
    </w:rPr>
  </w:style>
  <w:style w:type="character" w:styleId="23">
    <w:name w:val="annotation reference"/>
    <w:basedOn w:val="20"/>
    <w:qFormat/>
    <w:uiPriority w:val="99"/>
    <w:rPr>
      <w:rFonts w:cs="Times New Roman"/>
      <w:sz w:val="21"/>
    </w:rPr>
  </w:style>
  <w:style w:type="paragraph" w:customStyle="1" w:styleId="2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标题 1 字符"/>
    <w:link w:val="3"/>
    <w:qFormat/>
    <w:locked/>
    <w:uiPriority w:val="99"/>
    <w:rPr>
      <w:rFonts w:cs="Times New Roman"/>
      <w:b/>
      <w:kern w:val="44"/>
      <w:sz w:val="44"/>
    </w:rPr>
  </w:style>
  <w:style w:type="character" w:customStyle="1" w:styleId="26">
    <w:name w:val="批注文字 字符"/>
    <w:link w:val="5"/>
    <w:qFormat/>
    <w:locked/>
    <w:uiPriority w:val="99"/>
    <w:rPr>
      <w:rFonts w:cs="Times New Roman"/>
      <w:kern w:val="2"/>
      <w:sz w:val="24"/>
    </w:rPr>
  </w:style>
  <w:style w:type="character" w:customStyle="1" w:styleId="27">
    <w:name w:val="正文文本缩进 字符"/>
    <w:link w:val="7"/>
    <w:qFormat/>
    <w:locked/>
    <w:uiPriority w:val="99"/>
    <w:rPr>
      <w:rFonts w:ascii="等线" w:eastAsia="等线" w:cs="Times New Roman"/>
      <w:kern w:val="2"/>
      <w:sz w:val="22"/>
    </w:rPr>
  </w:style>
  <w:style w:type="character" w:customStyle="1" w:styleId="28">
    <w:name w:val="纯文本 字符"/>
    <w:link w:val="10"/>
    <w:qFormat/>
    <w:locked/>
    <w:uiPriority w:val="0"/>
    <w:rPr>
      <w:rFonts w:ascii="宋体" w:hAnsi="Courier New" w:cs="Times New Roman"/>
      <w:kern w:val="2"/>
      <w:sz w:val="21"/>
    </w:rPr>
  </w:style>
  <w:style w:type="character" w:customStyle="1" w:styleId="29">
    <w:name w:val="日期 字符"/>
    <w:link w:val="11"/>
    <w:qFormat/>
    <w:locked/>
    <w:uiPriority w:val="99"/>
    <w:rPr>
      <w:rFonts w:cs="Times New Roman"/>
      <w:kern w:val="2"/>
      <w:sz w:val="24"/>
    </w:rPr>
  </w:style>
  <w:style w:type="character" w:customStyle="1" w:styleId="30">
    <w:name w:val="页脚 字符"/>
    <w:link w:val="13"/>
    <w:semiHidden/>
    <w:qFormat/>
    <w:locked/>
    <w:uiPriority w:val="99"/>
    <w:rPr>
      <w:rFonts w:cs="Times New Roman"/>
      <w:sz w:val="18"/>
      <w:szCs w:val="18"/>
    </w:rPr>
  </w:style>
  <w:style w:type="character" w:customStyle="1" w:styleId="31">
    <w:name w:val="页眉 字符"/>
    <w:link w:val="14"/>
    <w:qFormat/>
    <w:locked/>
    <w:uiPriority w:val="99"/>
    <w:rPr>
      <w:rFonts w:cs="Times New Roman"/>
      <w:kern w:val="2"/>
      <w:sz w:val="18"/>
    </w:rPr>
  </w:style>
  <w:style w:type="character" w:customStyle="1" w:styleId="32">
    <w:name w:val="批注主题 字符"/>
    <w:link w:val="16"/>
    <w:qFormat/>
    <w:locked/>
    <w:uiPriority w:val="99"/>
    <w:rPr>
      <w:rFonts w:cs="Times New Roman"/>
      <w:b/>
      <w:kern w:val="2"/>
      <w:sz w:val="24"/>
    </w:rPr>
  </w:style>
  <w:style w:type="paragraph" w:customStyle="1" w:styleId="33">
    <w:name w:val="Char"/>
    <w:basedOn w:val="1"/>
    <w:qFormat/>
    <w:uiPriority w:val="99"/>
    <w:pPr>
      <w:tabs>
        <w:tab w:val="left" w:pos="360"/>
      </w:tabs>
    </w:pPr>
    <w:rPr>
      <w:sz w:val="24"/>
    </w:rPr>
  </w:style>
  <w:style w:type="character" w:customStyle="1" w:styleId="34">
    <w:name w:val="列出段落 字符"/>
    <w:link w:val="35"/>
    <w:qFormat/>
    <w:locked/>
    <w:uiPriority w:val="0"/>
  </w:style>
  <w:style w:type="paragraph" w:styleId="35">
    <w:name w:val="List Paragraph"/>
    <w:basedOn w:val="1"/>
    <w:link w:val="34"/>
    <w:qFormat/>
    <w:uiPriority w:val="34"/>
    <w:pPr>
      <w:widowControl/>
      <w:ind w:firstLine="420" w:firstLineChars="200"/>
      <w:jc w:val="left"/>
    </w:pPr>
    <w:rPr>
      <w:kern w:val="0"/>
      <w:sz w:val="20"/>
      <w:szCs w:val="20"/>
    </w:rPr>
  </w:style>
  <w:style w:type="table" w:customStyle="1" w:styleId="36">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laceholder Text"/>
    <w:semiHidden/>
    <w:qFormat/>
    <w:uiPriority w:val="99"/>
    <w:rPr>
      <w:rFonts w:cs="Times New Roman"/>
      <w:color w:val="808080"/>
    </w:rPr>
  </w:style>
  <w:style w:type="paragraph" w:customStyle="1" w:styleId="38">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9">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0">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列出段落2"/>
    <w:basedOn w:val="1"/>
    <w:qFormat/>
    <w:uiPriority w:val="99"/>
    <w:pPr>
      <w:ind w:firstLine="420" w:firstLineChars="200"/>
    </w:pPr>
    <w:rPr>
      <w:rFonts w:ascii="Calibri" w:hAnsi="Calibri"/>
      <w:szCs w:val="22"/>
    </w:rPr>
  </w:style>
  <w:style w:type="character" w:customStyle="1" w:styleId="42">
    <w:name w:val="标题 2 Char Char Char"/>
    <w:qFormat/>
    <w:uiPriority w:val="99"/>
    <w:rPr>
      <w:rFonts w:ascii="Arial" w:hAnsi="Arial" w:eastAsia="黑体"/>
      <w:b/>
      <w:kern w:val="2"/>
      <w:sz w:val="32"/>
      <w:lang w:val="en-US" w:eastAsia="zh-CN"/>
    </w:rPr>
  </w:style>
  <w:style w:type="paragraph" w:customStyle="1" w:styleId="43">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4">
    <w:name w:val="正文文本 字符"/>
    <w:link w:val="6"/>
    <w:qFormat/>
    <w:uiPriority w:val="99"/>
    <w:rPr>
      <w:kern w:val="2"/>
      <w:sz w:val="21"/>
      <w:szCs w:val="24"/>
    </w:rPr>
  </w:style>
  <w:style w:type="paragraph" w:customStyle="1" w:styleId="45">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6">
    <w:name w:val="正文2"/>
    <w:basedOn w:val="1"/>
    <w:qFormat/>
    <w:uiPriority w:val="0"/>
    <w:pPr>
      <w:spacing w:before="156" w:line="360" w:lineRule="auto"/>
      <w:ind w:firstLine="510" w:firstLineChars="200"/>
    </w:pPr>
    <w:rPr>
      <w:sz w:val="24"/>
    </w:rPr>
  </w:style>
  <w:style w:type="paragraph" w:customStyle="1" w:styleId="47">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8">
    <w:name w:val="A9"/>
    <w:qFormat/>
    <w:uiPriority w:val="0"/>
    <w:rPr>
      <w:rFonts w:cs="PSFEIH+StoneSans"/>
      <w:color w:val="262424"/>
      <w:sz w:val="20"/>
      <w:szCs w:val="20"/>
    </w:rPr>
  </w:style>
  <w:style w:type="paragraph" w:customStyle="1" w:styleId="49">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0">
    <w:name w:val="A14"/>
    <w:qFormat/>
    <w:uiPriority w:val="99"/>
    <w:rPr>
      <w:rFonts w:cs="Open Sans Light"/>
      <w:color w:val="FFFFFF"/>
      <w:sz w:val="13"/>
      <w:szCs w:val="13"/>
    </w:rPr>
  </w:style>
  <w:style w:type="paragraph" w:customStyle="1" w:styleId="51">
    <w:name w:val="表格文字"/>
    <w:basedOn w:val="1"/>
    <w:next w:val="6"/>
    <w:qFormat/>
    <w:uiPriority w:val="0"/>
    <w:rPr>
      <w:sz w:val="24"/>
    </w:rPr>
  </w:style>
  <w:style w:type="paragraph" w:customStyle="1" w:styleId="5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3">
    <w:name w:val="首行缩进"/>
    <w:basedOn w:val="1"/>
    <w:qFormat/>
    <w:uiPriority w:val="0"/>
    <w:pPr>
      <w:ind w:firstLine="480" w:firstLineChars="200"/>
    </w:pPr>
    <w:rPr>
      <w:rFonts w:eastAsia="Calibri" w:cs="宋体"/>
      <w:kern w:val="0"/>
      <w:sz w:val="20"/>
      <w:szCs w:val="20"/>
      <w:lang w:val="zh-CN"/>
    </w:rPr>
  </w:style>
  <w:style w:type="paragraph" w:customStyle="1" w:styleId="54">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55">
    <w:name w:val="正文首行缩进 2 字符"/>
    <w:basedOn w:val="27"/>
    <w:link w:val="17"/>
    <w:semiHidden/>
    <w:qFormat/>
    <w:uiPriority w:val="99"/>
    <w:rPr>
      <w:rFonts w:ascii="等线" w:eastAsia="等线" w:cs="Times New Roman"/>
      <w:kern w:val="2"/>
      <w:sz w:val="21"/>
      <w:szCs w:val="24"/>
    </w:rPr>
  </w:style>
  <w:style w:type="character" w:customStyle="1" w:styleId="56">
    <w:name w:val="批注框文本 字符"/>
    <w:basedOn w:val="20"/>
    <w:link w:val="1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A8B39-6F52-4EAA-BDFA-85CC8A8011B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12041</Words>
  <Characters>12813</Characters>
  <Lines>96</Lines>
  <Paragraphs>27</Paragraphs>
  <TotalTime>0</TotalTime>
  <ScaleCrop>false</ScaleCrop>
  <LinksUpToDate>false</LinksUpToDate>
  <CharactersWithSpaces>12971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2022-09-22T06:38:00Z</dcterms:modified>
  <dc:title>淮海工学院A8-10号楼学生宿舍家具招标书</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7FBDF63D27554338BB8BC1E9614956A8</vt:lpwstr>
  </property>
</Properties>
</file>