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bookmarkStart w:id="3" w:name="_GoBack"/>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bookmarkEnd w:id="3"/>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227.4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52"/>
                      <w:szCs w:val="52"/>
                      <w:lang w:val="en-US" w:eastAsia="zh-CN"/>
                    </w:rPr>
                  </w:pPr>
                  <w:r>
                    <w:rPr>
                      <w:rFonts w:hint="eastAsia" w:ascii="方正公文小标宋" w:hAnsi="方正公文小标宋" w:eastAsia="方正公文小标宋" w:cs="方正公文小标宋"/>
                      <w:b/>
                      <w:bCs/>
                      <w:color w:val="1A4450"/>
                      <w:kern w:val="114"/>
                      <w:sz w:val="52"/>
                      <w:szCs w:val="52"/>
                      <w:lang w:val="en-US" w:eastAsia="zh-CN"/>
                    </w:rPr>
                    <w:t xml:space="preserve">University of Washington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52"/>
                      <w:szCs w:val="52"/>
                      <w:lang w:val="en-US" w:eastAsia="zh-CN"/>
                    </w:rPr>
                  </w:pPr>
                  <w:r>
                    <w:rPr>
                      <w:rFonts w:hint="eastAsia" w:ascii="方正公文小标宋" w:hAnsi="方正公文小标宋" w:eastAsia="方正公文小标宋" w:cs="方正公文小标宋"/>
                      <w:b w:val="0"/>
                      <w:bCs w:val="0"/>
                      <w:color w:val="BFD630"/>
                      <w:kern w:val="114"/>
                      <w:sz w:val="52"/>
                      <w:szCs w:val="52"/>
                      <w:lang w:val="en-US" w:eastAsia="zh-CN"/>
                    </w:rPr>
                    <w:t>美国</w:t>
                  </w:r>
                  <w:r>
                    <w:rPr>
                      <w:rFonts w:hint="eastAsia" w:ascii="方正公文小标宋" w:hAnsi="方正公文小标宋" w:eastAsia="方正公文小标宋" w:cs="方正公文小标宋"/>
                      <w:b/>
                      <w:bCs/>
                      <w:color w:val="1A4450"/>
                      <w:kern w:val="114"/>
                      <w:sz w:val="52"/>
                      <w:szCs w:val="52"/>
                      <w:lang w:val="en-US" w:eastAsia="zh-CN" w:bidi="ar-SA"/>
                    </w:rPr>
                    <w:t>┃</w:t>
                  </w:r>
                  <w:r>
                    <w:rPr>
                      <w:rFonts w:hint="eastAsia" w:ascii="方正公文小标宋" w:hAnsi="方正公文小标宋" w:eastAsia="方正公文小标宋" w:cs="方正公文小标宋"/>
                      <w:b w:val="0"/>
                      <w:bCs w:val="0"/>
                      <w:color w:val="1A4450"/>
                      <w:kern w:val="114"/>
                      <w:sz w:val="52"/>
                      <w:szCs w:val="52"/>
                      <w:lang w:val="en-US" w:eastAsia="zh-CN" w:bidi="ar-SA"/>
                    </w:rPr>
                    <w:t>华盛顿大学</w:t>
                  </w:r>
                </w:p>
                <w:p w14:paraId="34ACDFEA">
                  <w:pPr>
                    <w:keepNext w:val="0"/>
                    <w:keepLines w:val="0"/>
                    <w:pageBreakBefore w:val="0"/>
                    <w:widowControl/>
                    <w:kinsoku/>
                    <w:wordWrap/>
                    <w:overflowPunct/>
                    <w:topLinePunct w:val="0"/>
                    <w:bidi w:val="0"/>
                    <w:adjustRightInd/>
                    <w:snapToGrid/>
                    <w:spacing w:line="1200" w:lineRule="exact"/>
                    <w:jc w:val="right"/>
                    <w:textAlignment w:val="auto"/>
                    <w:rPr>
                      <w:rFonts w:hint="default" w:ascii="微软雅黑" w:hAnsi="微软雅黑" w:eastAsia="微软雅黑" w:cs="微软雅黑"/>
                      <w:color w:val="7F7F7F" w:themeColor="background1" w:themeShade="80"/>
                      <w:sz w:val="52"/>
                      <w:szCs w:val="52"/>
                      <w:lang w:val="en-US"/>
                    </w:rPr>
                  </w:pPr>
                  <w:r>
                    <w:rPr>
                      <w:rFonts w:hint="eastAsia" w:ascii="方正公文小标宋" w:hAnsi="方正公文小标宋" w:eastAsia="方正公文小标宋" w:cs="方正公文小标宋"/>
                      <w:b w:val="0"/>
                      <w:bCs w:val="0"/>
                      <w:color w:val="1A4450"/>
                      <w:kern w:val="114"/>
                      <w:sz w:val="52"/>
                      <w:szCs w:val="52"/>
                      <w:lang w:val="en-US" w:eastAsia="zh-CN" w:bidi="ar-SA"/>
                    </w:rPr>
                    <w:t>学期交流项目</w:t>
                  </w: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3BF1FC4C">
      <w:pPr>
        <w:jc w:val="left"/>
        <w:rPr>
          <w:rFonts w:ascii="Arial" w:hAnsi="Arial" w:eastAsia="微软雅黑" w:cs="Arial"/>
          <w:b/>
          <w:bCs/>
          <w:color w:val="1A4471"/>
          <w:spacing w:val="6"/>
          <w:sz w:val="40"/>
          <w:szCs w:val="40"/>
        </w:rPr>
      </w:pPr>
      <w:r>
        <w:rPr>
          <w:rFonts w:hint="eastAsia" w:ascii="Arial" w:hAnsi="Arial" w:eastAsia="微软雅黑" w:cs="Arial"/>
          <w:b/>
          <w:bCs/>
          <w:color w:val="1A4471"/>
          <w:spacing w:val="6"/>
          <w:sz w:val="40"/>
          <w:szCs w:val="40"/>
          <w:lang w:val="en-US"/>
        </w:rPr>
        <w:t>华盛顿</w:t>
      </w:r>
      <w:r>
        <w:rPr>
          <w:rFonts w:hint="eastAsia" w:ascii="Arial" w:hAnsi="Arial" w:eastAsia="微软雅黑" w:cs="Arial"/>
          <w:b/>
          <w:bCs/>
          <w:color w:val="1A4471"/>
          <w:spacing w:val="6"/>
          <w:sz w:val="40"/>
          <w:szCs w:val="40"/>
        </w:rPr>
        <w:t>大学</w:t>
      </w:r>
    </w:p>
    <w:p w14:paraId="4CE8AE89">
      <w:pPr>
        <w:jc w:val="left"/>
        <w:rPr>
          <w:rFonts w:ascii="Arial" w:hAnsi="Arial" w:eastAsia="微软雅黑" w:cs="Arial"/>
          <w:b/>
          <w:bCs/>
          <w:color w:val="2D8FCF"/>
          <w:spacing w:val="6"/>
          <w:sz w:val="40"/>
          <w:szCs w:val="40"/>
        </w:rPr>
      </w:pPr>
      <w:r>
        <w:rPr>
          <w:rFonts w:ascii="Arial" w:hAnsi="Arial" w:eastAsia="微软雅黑" w:cs="Arial"/>
          <w:b/>
          <w:bCs/>
          <w:color w:val="2D8FCF"/>
          <w:spacing w:val="6"/>
          <w:sz w:val="40"/>
          <w:szCs w:val="40"/>
          <w:lang w:val="en-US"/>
        </w:rPr>
        <w:pict>
          <v:rect id="_x0000_s1076" o:spid="_x0000_s1076" o:spt="1" style="position:absolute;left:0pt;margin-left:-0.6pt;margin-top:1.25pt;height:22.7pt;width:188.7pt;z-index:25166643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0F5E8D48">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University of Washington</w:t>
                  </w:r>
                </w:p>
                <w:p w14:paraId="5D4340A7">
                  <w:pPr>
                    <w:rPr>
                      <w:rFonts w:hint="eastAsia"/>
                    </w:rPr>
                  </w:pPr>
                </w:p>
              </w:txbxContent>
            </v:textbox>
          </v:rect>
        </w:pict>
      </w:r>
    </w:p>
    <w:p w14:paraId="76A16825">
      <w:pPr>
        <w:spacing w:line="360" w:lineRule="auto"/>
        <w:rPr>
          <w:rFonts w:ascii="Arial Narrow" w:hAnsi="Arial Narrow" w:cs="Calibri"/>
          <w:kern w:val="0"/>
        </w:rPr>
      </w:pPr>
    </w:p>
    <w:p w14:paraId="55E06D98">
      <w:pPr>
        <w:spacing w:line="360" w:lineRule="auto"/>
        <w:ind w:firstLine="440" w:firstLineChars="200"/>
        <w:rPr>
          <w:rFonts w:hint="eastAsia" w:ascii="Times New Roman" w:hAnsi="Times New Roman" w:cs="Calibri"/>
          <w:kern w:val="0"/>
          <w:szCs w:val="21"/>
        </w:rPr>
      </w:pPr>
      <w:r>
        <w:rPr>
          <w:rFonts w:hint="eastAsia" w:ascii="Times New Roman" w:hAnsi="Times New Roman" w:cs="Calibri"/>
          <w:kern w:val="0"/>
          <w:szCs w:val="21"/>
        </w:rPr>
        <w:t>华盛顿大学（University of Washington），简称UW，始建于1861年，位于美国西海岸西雅图，是著名的世界级顶尖研究型大学，环太平洋大学联盟成员。1974年以来，华盛顿大学每年所获得的巨额科研经费始终保持在全球大学前三位，其学科学术研究在学术界享有极高声誉。</w:t>
      </w:r>
    </w:p>
    <w:p w14:paraId="35A3B15E">
      <w:pPr>
        <w:spacing w:line="360" w:lineRule="auto"/>
        <w:ind w:firstLine="440" w:firstLineChars="200"/>
        <w:rPr>
          <w:rFonts w:ascii="Arial Narrow" w:hAnsi="Arial Narrow" w:cs="Calibri"/>
          <w:kern w:val="0"/>
        </w:rPr>
      </w:pPr>
    </w:p>
    <w:p w14:paraId="59EEB51D">
      <w:pPr>
        <w:pStyle w:val="11"/>
        <w:numPr>
          <w:ilvl w:val="0"/>
          <w:numId w:val="1"/>
        </w:numPr>
        <w:spacing w:line="360" w:lineRule="auto"/>
        <w:ind w:firstLineChars="0"/>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2025年U</w:t>
      </w:r>
      <w:r>
        <w:rPr>
          <w:rFonts w:hint="eastAsia" w:cs="Calibri"/>
          <w:kern w:val="0"/>
          <w:sz w:val="22"/>
          <w:szCs w:val="21"/>
          <w:lang w:val="en-US" w:eastAsia="zh-CN" w:bidi="ar-SA"/>
          <w14:ligatures w14:val="standardContextual"/>
        </w:rPr>
        <w:t>.</w:t>
      </w:r>
      <w:r>
        <w:rPr>
          <w:rFonts w:hint="eastAsia" w:ascii="Times New Roman" w:hAnsi="Times New Roman" w:eastAsia="宋体" w:cs="Calibri"/>
          <w:kern w:val="0"/>
          <w:sz w:val="22"/>
          <w:szCs w:val="21"/>
          <w:lang w:val="en-US" w:eastAsia="zh-CN" w:bidi="ar-SA"/>
          <w14:ligatures w14:val="standardContextual"/>
        </w:rPr>
        <w:t>S.</w:t>
      </w:r>
      <w:r>
        <w:rPr>
          <w:rFonts w:hint="eastAsia" w:cs="Calibri"/>
          <w:kern w:val="0"/>
          <w:sz w:val="22"/>
          <w:szCs w:val="21"/>
          <w:lang w:val="en-US" w:eastAsia="zh-CN" w:bidi="ar-SA"/>
          <w14:ligatures w14:val="standardContextual"/>
        </w:rPr>
        <w:t xml:space="preserve"> </w:t>
      </w:r>
      <w:r>
        <w:rPr>
          <w:rFonts w:hint="eastAsia" w:ascii="Times New Roman" w:hAnsi="Times New Roman" w:eastAsia="宋体" w:cs="Calibri"/>
          <w:kern w:val="0"/>
          <w:sz w:val="22"/>
          <w:szCs w:val="21"/>
          <w:lang w:val="en-US" w:eastAsia="zh-CN" w:bidi="ar-SA"/>
          <w14:ligatures w14:val="standardContextual"/>
        </w:rPr>
        <w:t>News全球第8位，凸显科研实力和雇主声誉</w:t>
      </w:r>
    </w:p>
    <w:p w14:paraId="67EEAFC1">
      <w:pPr>
        <w:pStyle w:val="11"/>
        <w:numPr>
          <w:ilvl w:val="0"/>
          <w:numId w:val="1"/>
        </w:numPr>
        <w:spacing w:line="360" w:lineRule="auto"/>
        <w:ind w:firstLineChars="0"/>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2026年QS世界大学排名第81位</w:t>
      </w:r>
    </w:p>
    <w:p w14:paraId="2DF4EADB">
      <w:pPr>
        <w:pStyle w:val="11"/>
        <w:numPr>
          <w:ilvl w:val="0"/>
          <w:numId w:val="1"/>
        </w:numPr>
        <w:spacing w:line="360" w:lineRule="auto"/>
        <w:ind w:firstLineChars="0"/>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2025年泰晤士高等教育全球排名第25位</w:t>
      </w:r>
    </w:p>
    <w:p w14:paraId="06923275">
      <w:pPr>
        <w:pStyle w:val="11"/>
        <w:numPr>
          <w:ilvl w:val="0"/>
          <w:numId w:val="1"/>
        </w:numPr>
        <w:spacing w:line="360" w:lineRule="auto"/>
        <w:ind w:firstLineChars="0"/>
        <w:rPr>
          <w:rFonts w:ascii="Arial Narrow" w:hAnsi="Arial Narrow" w:cs="Calibri"/>
          <w:kern w:val="0"/>
        </w:rPr>
      </w:pPr>
      <w:r>
        <w:rPr>
          <w:rFonts w:hint="eastAsia" w:ascii="Times New Roman" w:hAnsi="Times New Roman" w:eastAsia="宋体" w:cs="Calibri"/>
          <w:kern w:val="0"/>
          <w:sz w:val="22"/>
          <w:szCs w:val="21"/>
          <w:lang w:val="en-US" w:eastAsia="zh-CN" w:bidi="ar-SA"/>
          <w14:ligatures w14:val="standardContextual"/>
        </w:rPr>
        <w:t>地处西雅图，坐拥微软、亚马逊、谷歌等总部。学校就业服务中心与企业联系紧密，毕业生就业率常年稳居高位。</w:t>
      </w:r>
    </w:p>
    <w:p w14:paraId="15B93378">
      <w:pPr>
        <w:pStyle w:val="11"/>
        <w:numPr>
          <w:ilvl w:val="0"/>
          <w:numId w:val="1"/>
        </w:numPr>
        <w:spacing w:line="360" w:lineRule="auto"/>
        <w:ind w:firstLineChars="0"/>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计算机科学与工程、医学相关领域全球领先</w:t>
      </w:r>
    </w:p>
    <w:p w14:paraId="68AEBA11">
      <w:pPr>
        <w:pStyle w:val="11"/>
        <w:numPr>
          <w:ilvl w:val="0"/>
          <w:numId w:val="0"/>
        </w:numPr>
        <w:spacing w:line="360" w:lineRule="auto"/>
        <w:ind w:leftChars="0"/>
        <w:rPr>
          <w:rFonts w:hint="default" w:ascii="Arial" w:hAnsi="Arial" w:eastAsia="微软雅黑" w:cs="Arial"/>
          <w:b/>
          <w:bCs/>
          <w:color w:val="2D8FCF"/>
          <w:spacing w:val="6"/>
          <w:lang w:val="en-US" w:eastAsia="zh-CN"/>
        </w:rPr>
      </w:pPr>
    </w:p>
    <w:p w14:paraId="0498D284">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项目概况</w:t>
      </w:r>
    </w:p>
    <w:p w14:paraId="147CB2AB">
      <w:pPr>
        <w:jc w:val="left"/>
        <w:rPr>
          <w:rFonts w:ascii="Arial" w:hAnsi="Arial" w:eastAsia="微软雅黑" w:cs="Arial"/>
          <w:b/>
          <w:bCs/>
          <w:color w:val="2D8FCF"/>
          <w:spacing w:val="6"/>
          <w:sz w:val="40"/>
          <w:szCs w:val="40"/>
        </w:rPr>
      </w:pPr>
      <w:r>
        <w:pict>
          <v:rect id="_x0000_s1077" o:spid="_x0000_s1077" o:spt="1" style="position:absolute;left:0pt;margin-left:-0.6pt;margin-top:1.25pt;height:22.7pt;width:188.7pt;z-index:25166745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5B15873A">
                  <w:pPr>
                    <w:jc w:val="left"/>
                    <w:rPr>
                      <w:rFonts w:ascii="Times New Roman" w:hAnsi="Times New Roman" w:eastAsia="MiSans Medium" w:cs="Times New Roman"/>
                      <w:snapToGrid w:val="0"/>
                      <w:color w:val="000000" w:themeColor="text1"/>
                      <w:spacing w:val="20"/>
                      <w:kern w:val="0"/>
                      <w:sz w:val="24"/>
                    </w:rPr>
                  </w:pPr>
                  <w:r>
                    <w:rPr>
                      <w:rFonts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ascii="Times New Roman" w:hAnsi="Times New Roman" w:eastAsia="MiSans Medium" w:cs="Times New Roman"/>
                      <w:snapToGrid w:val="0"/>
                      <w:color w:val="000000" w:themeColor="text1"/>
                      <w:spacing w:val="20"/>
                      <w:kern w:val="0"/>
                      <w:sz w:val="24"/>
                    </w:rPr>
                    <w:t xml:space="preserve"> Overview</w:t>
                  </w:r>
                </w:p>
                <w:p w14:paraId="2C98BB04">
                  <w:pPr>
                    <w:rPr>
                      <w:rFonts w:hint="eastAsia"/>
                    </w:rPr>
                  </w:pPr>
                </w:p>
              </w:txbxContent>
            </v:textbox>
          </v:rect>
        </w:pict>
      </w:r>
    </w:p>
    <w:p w14:paraId="27FCDC7F">
      <w:pPr>
        <w:spacing w:line="360" w:lineRule="auto"/>
        <w:rPr>
          <w:rFonts w:ascii="Arial Narrow" w:hAnsi="Calibri" w:cs="Calibri"/>
          <w:kern w:val="0"/>
          <w:szCs w:val="21"/>
        </w:rPr>
      </w:pPr>
    </w:p>
    <w:p w14:paraId="1854F72B">
      <w:pPr>
        <w:spacing w:line="360" w:lineRule="auto"/>
        <w:ind w:firstLine="440" w:firstLineChars="200"/>
        <w:rPr>
          <w:rFonts w:hint="eastAsia" w:ascii="Times New Roman" w:hAnsi="Times New Roman" w:cs="Calibri"/>
          <w:kern w:val="0"/>
          <w:szCs w:val="21"/>
        </w:rPr>
      </w:pPr>
      <w:r>
        <w:rPr>
          <w:rFonts w:hint="eastAsia" w:ascii="Times New Roman" w:hAnsi="Times New Roman" w:cs="Calibri"/>
          <w:kern w:val="0"/>
          <w:szCs w:val="21"/>
        </w:rPr>
        <w:t>本项目是由美国华盛顿大学提供的学期交流项目</w:t>
      </w:r>
      <w:r>
        <w:rPr>
          <w:rFonts w:hint="eastAsia" w:ascii="Times New Roman" w:hAnsi="Times New Roman" w:cs="Calibri"/>
          <w:kern w:val="0"/>
          <w:szCs w:val="21"/>
          <w:lang w:eastAsia="zh-CN"/>
        </w:rPr>
        <w:t>。</w:t>
      </w:r>
      <w:r>
        <w:rPr>
          <w:rFonts w:hint="eastAsia" w:ascii="Times New Roman" w:hAnsi="Times New Roman" w:cs="Calibri"/>
          <w:kern w:val="0"/>
          <w:szCs w:val="21"/>
        </w:rPr>
        <w:t>项目期间，学生将作为华盛顿大学全日制学生注册，与美国本土及其他国际学生一起进行专业课学习，项目期间，将由华盛顿大学进行统一学术管理与学术考核，项目结束后将获得华盛顿大学颁发的官方成绩单。</w:t>
      </w:r>
    </w:p>
    <w:p w14:paraId="497A7BD1">
      <w:pPr>
        <w:jc w:val="left"/>
        <w:rPr>
          <w:rFonts w:ascii="Arial" w:hAnsi="Arial" w:eastAsia="微软雅黑" w:cs="Arial"/>
          <w:b/>
          <w:bCs/>
          <w:color w:val="2D8FCF"/>
          <w:spacing w:val="6"/>
        </w:rPr>
      </w:pPr>
    </w:p>
    <w:p w14:paraId="25B5C6B4">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项目特色</w:t>
      </w:r>
    </w:p>
    <w:p w14:paraId="0B8CAEAA">
      <w:pPr>
        <w:jc w:val="left"/>
        <w:rPr>
          <w:rFonts w:ascii="Arial" w:hAnsi="Arial" w:eastAsia="微软雅黑" w:cs="Arial"/>
          <w:b/>
          <w:bCs/>
          <w:color w:val="2D8FCF"/>
          <w:spacing w:val="6"/>
          <w:sz w:val="40"/>
          <w:szCs w:val="40"/>
        </w:rPr>
      </w:pPr>
      <w:r>
        <w:pict>
          <v:rect id="_x0000_s1078" o:spid="_x0000_s1078"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4DC06450">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7AB7050F">
                  <w:pPr>
                    <w:rPr>
                      <w:rFonts w:hint="eastAsia"/>
                    </w:rPr>
                  </w:pPr>
                </w:p>
              </w:txbxContent>
            </v:textbox>
          </v:rect>
        </w:pict>
      </w:r>
    </w:p>
    <w:p w14:paraId="4740E575">
      <w:pPr>
        <w:pStyle w:val="12"/>
        <w:widowControl/>
        <w:spacing w:line="360" w:lineRule="auto"/>
        <w:ind w:firstLine="0" w:firstLineChars="0"/>
        <w:jc w:val="left"/>
        <w:rPr>
          <w:rFonts w:ascii="Arial Narrow" w:hAnsi="Arial Narrow" w:cs="Calibri"/>
          <w:kern w:val="0"/>
          <w:sz w:val="22"/>
          <w:szCs w:val="22"/>
          <w:lang w:val="en-GB"/>
          <w14:ligatures w14:val="standardContextual"/>
        </w:rPr>
      </w:pPr>
    </w:p>
    <w:p w14:paraId="2603236C">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学生将作为华盛顿大学全日制学生注册，与美国当地及其他国际学生一起进行专业课学习，零距离体验原汁原味的世界级公立名校学习氛围，与世界各地顶尖学者及学生进行</w:t>
      </w:r>
      <w:r>
        <w:rPr>
          <w:rFonts w:hint="eastAsia" w:ascii="Arial Narrow" w:hAnsi="Arial Narrow" w:cs="Calibri"/>
          <w:kern w:val="0"/>
          <w:sz w:val="22"/>
          <w:szCs w:val="22"/>
          <w:lang w:val="en-GB"/>
        </w:rPr>
        <w:t>思维碰撞</w:t>
      </w:r>
      <w:r>
        <w:rPr>
          <w:rFonts w:ascii="Arial Narrow" w:hAnsi="Arial Narrow" w:cs="Calibri"/>
          <w:kern w:val="0"/>
          <w:sz w:val="22"/>
          <w:szCs w:val="22"/>
          <w:lang w:val="en-GB"/>
          <w14:ligatures w14:val="standardContextual"/>
        </w:rPr>
        <w:t>。</w:t>
      </w:r>
    </w:p>
    <w:p w14:paraId="4FC64F4F">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本科学生均可修读对应阶段的华盛顿大学专业课程，获得学分及成绩单，并有机会获得老师推荐信，为之后申请研究生及就业助力。</w:t>
      </w:r>
    </w:p>
    <w:p w14:paraId="43F1EA73">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ascii="Arial Narrow" w:hAnsi="Arial Narrow" w:cs="Calibri"/>
          <w:kern w:val="0"/>
          <w:sz w:val="22"/>
          <w:szCs w:val="22"/>
          <w:lang w:val="en-GB"/>
          <w14:ligatures w14:val="standardContextual"/>
        </w:rPr>
        <w:t>该项目除了给学</w:t>
      </w:r>
      <w:r>
        <w:rPr>
          <w:rFonts w:hint="eastAsia" w:ascii="Times New Roman" w:hAnsi="Times New Roman" w:eastAsia="宋体" w:cs="Calibri"/>
          <w:kern w:val="0"/>
          <w:sz w:val="22"/>
          <w:szCs w:val="21"/>
          <w:lang w:val="en-GB" w:eastAsia="zh-CN" w:bidi="ar-SA"/>
          <w14:ligatures w14:val="standardContextual"/>
        </w:rPr>
        <w:t>生提供热门专业包括Finance，Economics 和Accounting专业的选课机会，还将通过国际学院提供的专业课程培养有国际观和全球观的专业人才。</w:t>
      </w:r>
    </w:p>
    <w:p w14:paraId="223091AF">
      <w:pPr>
        <w:pStyle w:val="12"/>
        <w:widowControl/>
        <w:numPr>
          <w:ilvl w:val="0"/>
          <w:numId w:val="2"/>
        </w:numPr>
        <w:spacing w:line="360" w:lineRule="auto"/>
        <w:ind w:firstLineChars="0"/>
        <w:jc w:val="left"/>
        <w:rPr>
          <w:rFonts w:ascii="Arial Narrow" w:hAnsi="Arial Narrow" w:cs="Calibri"/>
          <w:kern w:val="0"/>
          <w:sz w:val="22"/>
          <w:szCs w:val="22"/>
          <w:highlight w:val="none"/>
          <w:lang w:val="en-GB"/>
          <w14:ligatures w14:val="standardContextual"/>
        </w:rPr>
      </w:pPr>
      <w:r>
        <w:rPr>
          <w:rFonts w:ascii="Arial Narrow" w:hAnsi="Arial Narrow" w:cs="Calibri"/>
          <w:kern w:val="0"/>
          <w:sz w:val="22"/>
          <w:szCs w:val="22"/>
          <w:highlight w:val="none"/>
          <w:lang w:val="en-GB"/>
          <w14:ligatures w14:val="standardContextual"/>
        </w:rPr>
        <w:t>学生</w:t>
      </w:r>
      <w:r>
        <w:rPr>
          <w:rFonts w:hint="eastAsia" w:ascii="Arial Narrow" w:hAnsi="Arial Narrow" w:cs="Calibri"/>
          <w:kern w:val="0"/>
          <w:sz w:val="22"/>
          <w:szCs w:val="22"/>
          <w:highlight w:val="none"/>
          <w:lang w:val="en-US" w:eastAsia="zh-CN"/>
          <w14:ligatures w14:val="standardContextual"/>
        </w:rPr>
        <w:t>需在</w:t>
      </w:r>
      <w:r>
        <w:rPr>
          <w:rFonts w:ascii="Arial Narrow" w:hAnsi="Arial Narrow" w:cs="Calibri"/>
          <w:kern w:val="0"/>
          <w:sz w:val="22"/>
          <w:szCs w:val="22"/>
          <w:highlight w:val="none"/>
          <w:lang w:val="en-GB"/>
          <w14:ligatures w14:val="standardContextual"/>
        </w:rPr>
        <w:t>秋季学期入学，</w:t>
      </w:r>
      <w:bookmarkStart w:id="0" w:name="_Hlk175915922"/>
      <w:r>
        <w:rPr>
          <w:rFonts w:ascii="Arial Narrow" w:hAnsi="Arial Narrow" w:cs="Calibri"/>
          <w:kern w:val="0"/>
          <w:sz w:val="22"/>
          <w:szCs w:val="22"/>
          <w:highlight w:val="none"/>
          <w:lang w:val="en-GB"/>
          <w14:ligatures w14:val="standardContextual"/>
        </w:rPr>
        <w:t>可以选择一个学期，也可以多个学期连选</w:t>
      </w:r>
      <w:bookmarkEnd w:id="0"/>
      <w:r>
        <w:rPr>
          <w:rFonts w:ascii="Arial Narrow" w:hAnsi="Arial Narrow" w:cs="Calibri"/>
          <w:kern w:val="0"/>
          <w:sz w:val="22"/>
          <w:szCs w:val="22"/>
          <w:highlight w:val="none"/>
          <w:lang w:val="en-GB"/>
          <w14:ligatures w14:val="standardContextual"/>
        </w:rPr>
        <w:t>。</w:t>
      </w:r>
    </w:p>
    <w:p w14:paraId="153B60B4">
      <w:pPr>
        <w:pStyle w:val="12"/>
        <w:widowControl/>
        <w:numPr>
          <w:ilvl w:val="0"/>
          <w:numId w:val="2"/>
        </w:numPr>
        <w:spacing w:line="360" w:lineRule="auto"/>
        <w:ind w:firstLineChars="0"/>
        <w:jc w:val="left"/>
        <w:rPr>
          <w:rFonts w:ascii="Arial Narrow" w:hAnsi="Arial Narrow" w:cs="Calibri"/>
          <w:kern w:val="0"/>
          <w:sz w:val="22"/>
          <w:szCs w:val="22"/>
          <w:lang w:val="en-GB"/>
          <w14:ligatures w14:val="standardContextual"/>
        </w:rPr>
      </w:pPr>
      <w:r>
        <w:rPr>
          <w:rFonts w:hint="eastAsia" w:ascii="Times New Roman" w:hAnsi="Times New Roman" w:eastAsia="宋体" w:cs="Calibri"/>
          <w:kern w:val="0"/>
          <w:sz w:val="22"/>
          <w:szCs w:val="21"/>
          <w:lang w:val="en-GB" w:eastAsia="zh-CN" w:bidi="ar-SA"/>
          <w14:ligatures w14:val="standardContextual"/>
        </w:rPr>
        <w:t>持F-1学生签证入</w:t>
      </w:r>
      <w:r>
        <w:rPr>
          <w:rFonts w:ascii="Arial Narrow" w:hAnsi="Arial Narrow" w:cs="Calibri"/>
          <w:kern w:val="0"/>
          <w:sz w:val="22"/>
          <w:szCs w:val="22"/>
          <w:lang w:val="en-GB"/>
          <w14:ligatures w14:val="standardContextual"/>
        </w:rPr>
        <w:t>境，为之后再赴美国留下良好入境记录。</w:t>
      </w:r>
    </w:p>
    <w:p w14:paraId="54131674">
      <w:pPr>
        <w:jc w:val="left"/>
        <w:rPr>
          <w:rFonts w:ascii="Arial" w:hAnsi="Arial" w:eastAsia="微软雅黑" w:cs="Arial"/>
          <w:b/>
          <w:bCs/>
          <w:color w:val="2D8FCF"/>
          <w:spacing w:val="6"/>
        </w:rPr>
      </w:pPr>
    </w:p>
    <w:p w14:paraId="7CB8E438">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项目详情</w:t>
      </w:r>
    </w:p>
    <w:p w14:paraId="6E51A525">
      <w:pPr>
        <w:jc w:val="left"/>
        <w:rPr>
          <w:rFonts w:ascii="Arial" w:hAnsi="Arial" w:eastAsia="微软雅黑" w:cs="Arial"/>
          <w:b/>
          <w:bCs/>
          <w:color w:val="2D8FCF"/>
          <w:spacing w:val="6"/>
          <w:sz w:val="40"/>
          <w:szCs w:val="40"/>
          <w:lang w:val="en-US"/>
        </w:rPr>
      </w:pPr>
      <w:r>
        <w:pict>
          <v:rect id="_x0000_s1079" o:spid="_x0000_s1079" o:spt="1" style="position:absolute;left:0pt;margin-left:-0.6pt;margin-top:1.25pt;height:22.7pt;width:188.7pt;z-index:251669504;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003DCE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5AE1D0C7">
                  <w:pPr>
                    <w:rPr>
                      <w:rFonts w:hint="eastAsia"/>
                    </w:rPr>
                  </w:pPr>
                </w:p>
              </w:txbxContent>
            </v:textbox>
          </v:rect>
        </w:pict>
      </w:r>
    </w:p>
    <w:p w14:paraId="1E09886F">
      <w:pPr>
        <w:spacing w:line="360" w:lineRule="auto"/>
        <w:jc w:val="left"/>
        <w:rPr>
          <w:rFonts w:ascii="Arial Narrow" w:hAnsi="Arial Narrow" w:cs="Calibri"/>
          <w:b/>
          <w:bCs/>
          <w:lang w:val="en-US"/>
        </w:rPr>
      </w:pPr>
    </w:p>
    <w:p w14:paraId="72203BF3">
      <w:pPr>
        <w:spacing w:line="360" w:lineRule="auto"/>
        <w:jc w:val="left"/>
        <w:rPr>
          <w:rFonts w:ascii="Arial Narrow" w:hAnsi="Arial Narrow" w:cs="Calibri"/>
          <w:b/>
          <w:bCs/>
          <w:lang w:val="en-US"/>
        </w:rPr>
      </w:pPr>
      <w:r>
        <w:rPr>
          <w:rFonts w:ascii="Arial Narrow" w:hAnsi="Arial Narrow" w:cs="Calibri"/>
          <w:b/>
          <w:bCs/>
          <w:lang w:val="en-US"/>
        </w:rPr>
        <w:t>【项目时间】</w:t>
      </w:r>
    </w:p>
    <w:p w14:paraId="4069E795">
      <w:pPr>
        <w:spacing w:line="360" w:lineRule="auto"/>
        <w:rPr>
          <w:rFonts w:hint="eastAsia" w:ascii="Times New Roman" w:hAnsi="Times New Roman" w:cs="Calibri"/>
          <w:kern w:val="0"/>
          <w:szCs w:val="21"/>
          <w:lang w:val="en-US"/>
        </w:rPr>
      </w:pPr>
      <w:r>
        <w:rPr>
          <w:rFonts w:hint="eastAsia" w:ascii="Times New Roman" w:hAnsi="Times New Roman" w:cs="Calibri"/>
          <w:kern w:val="0"/>
          <w:szCs w:val="21"/>
        </w:rPr>
        <w:t>秋季学期：202</w:t>
      </w:r>
      <w:r>
        <w:rPr>
          <w:rFonts w:hint="eastAsia" w:ascii="Times New Roman" w:hAnsi="Times New Roman" w:cs="Calibri"/>
          <w:kern w:val="0"/>
          <w:szCs w:val="21"/>
          <w:lang w:val="en-US" w:eastAsia="zh-CN"/>
        </w:rPr>
        <w:t>6</w:t>
      </w:r>
      <w:r>
        <w:rPr>
          <w:rFonts w:hint="eastAsia" w:ascii="Times New Roman" w:hAnsi="Times New Roman" w:cs="Calibri"/>
          <w:kern w:val="0"/>
          <w:szCs w:val="21"/>
        </w:rPr>
        <w:t>年9月</w:t>
      </w:r>
      <w:r>
        <w:rPr>
          <w:rFonts w:hint="eastAsia" w:ascii="Times New Roman" w:hAnsi="Times New Roman" w:cs="Calibri"/>
          <w:kern w:val="0"/>
          <w:szCs w:val="21"/>
          <w:lang w:val="en-US" w:eastAsia="zh-CN"/>
        </w:rPr>
        <w:t>20</w:t>
      </w:r>
      <w:r>
        <w:rPr>
          <w:rFonts w:hint="eastAsia" w:ascii="Times New Roman" w:hAnsi="Times New Roman" w:cs="Calibri"/>
          <w:kern w:val="0"/>
          <w:szCs w:val="21"/>
        </w:rPr>
        <w:t>日-12月1</w:t>
      </w:r>
      <w:r>
        <w:rPr>
          <w:rFonts w:hint="eastAsia" w:ascii="Times New Roman" w:hAnsi="Times New Roman" w:cs="Calibri"/>
          <w:kern w:val="0"/>
          <w:szCs w:val="21"/>
          <w:lang w:val="en-US" w:eastAsia="zh-CN"/>
        </w:rPr>
        <w:t>3</w:t>
      </w:r>
      <w:r>
        <w:rPr>
          <w:rFonts w:hint="eastAsia" w:ascii="Times New Roman" w:hAnsi="Times New Roman" w:cs="Calibri"/>
          <w:kern w:val="0"/>
          <w:szCs w:val="21"/>
        </w:rPr>
        <w:t>日（</w:t>
      </w:r>
      <w:r>
        <w:rPr>
          <w:rFonts w:hint="eastAsia" w:ascii="Times New Roman" w:hAnsi="Times New Roman" w:cs="Calibri"/>
          <w:kern w:val="0"/>
          <w:szCs w:val="21"/>
          <w:lang w:val="en-US"/>
        </w:rPr>
        <w:t>预估时间，具体时间等待海外大学公布）</w:t>
      </w:r>
    </w:p>
    <w:p w14:paraId="5DE9A415">
      <w:pPr>
        <w:spacing w:line="360" w:lineRule="auto"/>
        <w:jc w:val="left"/>
        <w:rPr>
          <w:rFonts w:ascii="Arial Narrow" w:hAnsi="Arial Narrow" w:cs="Calibri"/>
          <w:b/>
          <w:bCs/>
          <w:lang w:val="en-US"/>
        </w:rPr>
      </w:pPr>
      <w:r>
        <w:rPr>
          <w:rFonts w:ascii="Arial Narrow" w:hAnsi="Arial Narrow" w:cs="Calibri"/>
          <w:b/>
          <w:bCs/>
          <w:lang w:val="en-US"/>
        </w:rPr>
        <w:t>【选课说明】</w:t>
      </w:r>
    </w:p>
    <w:p w14:paraId="282641B3">
      <w:pPr>
        <w:pStyle w:val="11"/>
        <w:widowControl/>
        <w:numPr>
          <w:ilvl w:val="0"/>
          <w:numId w:val="3"/>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课程由以下三部分组成：</w:t>
      </w:r>
    </w:p>
    <w:p w14:paraId="2A96BE2B">
      <w:pPr>
        <w:pStyle w:val="11"/>
        <w:widowControl/>
        <w:numPr>
          <w:ilvl w:val="0"/>
          <w:numId w:val="4"/>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Advising seminar（1学分）</w:t>
      </w:r>
    </w:p>
    <w:p w14:paraId="1E1ECF06">
      <w:pPr>
        <w:pStyle w:val="11"/>
        <w:widowControl/>
        <w:numPr>
          <w:ilvl w:val="0"/>
          <w:numId w:val="4"/>
        </w:numPr>
        <w:spacing w:line="360" w:lineRule="auto"/>
        <w:ind w:firstLineChars="0"/>
        <w:jc w:val="left"/>
        <w:rPr>
          <w:rFonts w:ascii="Arial Narrow" w:hAnsi="Arial Narrow" w:cs="Calibri"/>
          <w:kern w:val="0"/>
          <w:sz w:val="22"/>
          <w:szCs w:val="22"/>
          <w:lang w:val="en-GB"/>
          <w14:ligatures w14:val="standardContextual"/>
        </w:rPr>
      </w:pPr>
      <w:r>
        <w:rPr>
          <w:rFonts w:hint="eastAsia" w:ascii="Times New Roman" w:hAnsi="Times New Roman" w:eastAsia="宋体" w:cs="Calibri"/>
          <w:kern w:val="0"/>
          <w:sz w:val="22"/>
          <w:szCs w:val="21"/>
          <w:lang w:val="en-GB" w:eastAsia="zh-CN" w:bidi="ar-SA"/>
          <w14:ligatures w14:val="standardContextual"/>
        </w:rPr>
        <w:t>International studies course（政治、经济、环境等，5学分）</w:t>
      </w:r>
    </w:p>
    <w:p w14:paraId="7B28BE32">
      <w:pPr>
        <w:pStyle w:val="11"/>
        <w:widowControl/>
        <w:numPr>
          <w:ilvl w:val="0"/>
          <w:numId w:val="4"/>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UW elective（10学分）</w:t>
      </w:r>
    </w:p>
    <w:p w14:paraId="3A54F4AE">
      <w:pPr>
        <w:pStyle w:val="11"/>
        <w:widowControl/>
        <w:numPr>
          <w:ilvl w:val="0"/>
          <w:numId w:val="3"/>
        </w:numPr>
        <w:spacing w:line="360" w:lineRule="auto"/>
        <w:ind w:firstLineChars="0"/>
        <w:jc w:val="left"/>
        <w:rPr>
          <w:rFonts w:ascii="Arial Narrow" w:hAnsi="Arial Narrow" w:cs="Calibri"/>
          <w:b/>
          <w:bCs/>
          <w:kern w:val="0"/>
          <w:sz w:val="22"/>
          <w:szCs w:val="22"/>
          <w:lang w:val="en-GB"/>
          <w14:ligatures w14:val="standardContextual"/>
        </w:rPr>
      </w:pPr>
      <w:r>
        <w:rPr>
          <w:rFonts w:ascii="Arial Narrow" w:hAnsi="Arial Narrow" w:cs="Calibri"/>
          <w:b/>
          <w:bCs/>
          <w:kern w:val="0"/>
          <w:sz w:val="22"/>
          <w:szCs w:val="22"/>
          <w:lang w:val="en-GB"/>
          <w14:ligatures w14:val="standardContextual"/>
        </w:rPr>
        <w:t>课程说明</w:t>
      </w:r>
      <w:bookmarkStart w:id="1" w:name="_Hlk25239377"/>
      <w:r>
        <w:rPr>
          <w:rFonts w:ascii="Arial Narrow" w:hAnsi="Arial Narrow" w:cs="Calibri"/>
          <w:b/>
          <w:bCs/>
          <w:kern w:val="0"/>
          <w:sz w:val="22"/>
          <w:szCs w:val="22"/>
          <w:lang w:val="en-GB"/>
          <w14:ligatures w14:val="standardContextual"/>
        </w:rPr>
        <w:t>：</w:t>
      </w:r>
    </w:p>
    <w:p w14:paraId="3D6742CE">
      <w:pPr>
        <w:pStyle w:val="11"/>
        <w:widowControl/>
        <w:numPr>
          <w:ilvl w:val="0"/>
          <w:numId w:val="4"/>
        </w:numPr>
        <w:spacing w:line="360" w:lineRule="auto"/>
        <w:ind w:firstLineChars="0"/>
        <w:jc w:val="left"/>
        <w:rPr>
          <w:rFonts w:hint="default" w:ascii="Times New Roman Bold" w:hAnsi="Times New Roman Bold" w:eastAsia="宋体" w:cs="Times New Roman Bold"/>
          <w:b/>
          <w:bCs/>
          <w:kern w:val="0"/>
          <w:sz w:val="22"/>
          <w:szCs w:val="21"/>
          <w:lang w:val="en-GB" w:eastAsia="zh-CN" w:bidi="ar-SA"/>
          <w14:ligatures w14:val="standardContextual"/>
        </w:rPr>
      </w:pPr>
      <w:r>
        <w:rPr>
          <w:rFonts w:hint="default" w:ascii="Times New Roman Bold" w:hAnsi="Times New Roman Bold" w:eastAsia="宋体" w:cs="Times New Roman Bold"/>
          <w:b/>
          <w:bCs/>
          <w:kern w:val="0"/>
          <w:sz w:val="22"/>
          <w:szCs w:val="21"/>
          <w:lang w:val="en-GB" w:eastAsia="zh-CN" w:bidi="ar-SA"/>
          <w14:ligatures w14:val="standardContextual"/>
        </w:rPr>
        <w:t>Advising Seminar: Strategies for American University Success</w:t>
      </w:r>
    </w:p>
    <w:p w14:paraId="3AD86AF4">
      <w:pPr>
        <w:pStyle w:val="11"/>
        <w:widowControl/>
        <w:spacing w:line="360" w:lineRule="auto"/>
        <w:ind w:left="840" w:firstLine="0" w:firstLineChars="0"/>
        <w:jc w:val="left"/>
        <w:rPr>
          <w:rFonts w:hint="eastAsia" w:ascii="Arial Narrow" w:hAnsi="Arial Narrow" w:eastAsia="宋体" w:cs="Calibri"/>
          <w:kern w:val="0"/>
          <w:sz w:val="22"/>
          <w:szCs w:val="22"/>
          <w:lang w:val="en-GB" w:eastAsia="zh-CN"/>
          <w14:ligatures w14:val="standardContextual"/>
        </w:rPr>
      </w:pPr>
      <w:r>
        <w:rPr>
          <w:rFonts w:ascii="Arial Narrow" w:hAnsi="Arial Narrow" w:cs="Calibri"/>
          <w:kern w:val="0"/>
          <w:sz w:val="22"/>
          <w:szCs w:val="22"/>
          <w:lang w:val="en-GB"/>
          <w14:ligatures w14:val="standardContextual"/>
        </w:rPr>
        <w:t>本课程是针对母语为非英语国家的学生设计的，旨在提高学生的学术英语技能，以便帮助学生理解美国高校课程、作业、讲座课堂讨论等内容，从而更好的适应美国大学的教学方式，授课方法等</w:t>
      </w:r>
      <w:r>
        <w:rPr>
          <w:rFonts w:hint="eastAsia" w:ascii="Arial Narrow" w:hAnsi="Arial Narrow" w:cs="Calibri"/>
          <w:kern w:val="0"/>
          <w:sz w:val="22"/>
          <w:szCs w:val="22"/>
          <w:lang w:val="en-GB" w:eastAsia="zh-CN"/>
          <w14:ligatures w14:val="standardContextual"/>
        </w:rPr>
        <w:t>。</w:t>
      </w:r>
      <w:r>
        <w:rPr>
          <w:rFonts w:hint="eastAsia" w:ascii="Arial Narrow" w:hAnsi="Arial Narrow" w:cs="Calibri"/>
          <w:kern w:val="0"/>
          <w:sz w:val="22"/>
          <w:szCs w:val="22"/>
          <w:lang w:val="en-GB"/>
          <w14:ligatures w14:val="standardContextual"/>
        </w:rPr>
        <w:t>研讨会可能包含线上与线下教学环节。这门课程第一个学期必须修读</w:t>
      </w:r>
      <w:r>
        <w:rPr>
          <w:rFonts w:hint="eastAsia" w:ascii="Arial Narrow" w:hAnsi="Arial Narrow" w:cs="Calibri"/>
          <w:kern w:val="0"/>
          <w:sz w:val="22"/>
          <w:szCs w:val="22"/>
          <w:lang w:val="en-GB" w:eastAsia="zh-CN"/>
          <w14:ligatures w14:val="standardContextual"/>
        </w:rPr>
        <w:t>。</w:t>
      </w:r>
    </w:p>
    <w:p w14:paraId="3647A215">
      <w:pPr>
        <w:pStyle w:val="11"/>
        <w:widowControl/>
        <w:numPr>
          <w:ilvl w:val="0"/>
          <w:numId w:val="4"/>
        </w:numPr>
        <w:spacing w:line="360" w:lineRule="auto"/>
        <w:ind w:firstLineChars="0"/>
        <w:jc w:val="left"/>
        <w:rPr>
          <w:rFonts w:hint="default" w:ascii="Times New Roman Bold" w:hAnsi="Times New Roman Bold" w:eastAsia="宋体" w:cs="Times New Roman Bold"/>
          <w:b/>
          <w:bCs/>
          <w:kern w:val="0"/>
          <w:sz w:val="22"/>
          <w:szCs w:val="21"/>
          <w:lang w:val="en-GB" w:eastAsia="zh-CN" w:bidi="ar-SA"/>
          <w14:ligatures w14:val="standardContextual"/>
        </w:rPr>
      </w:pPr>
      <w:r>
        <w:rPr>
          <w:rFonts w:hint="default" w:ascii="Times New Roman Bold" w:hAnsi="Times New Roman Bold" w:eastAsia="宋体" w:cs="Times New Roman Bold"/>
          <w:b/>
          <w:bCs/>
          <w:kern w:val="0"/>
          <w:sz w:val="22"/>
          <w:szCs w:val="21"/>
          <w:lang w:val="en-GB" w:eastAsia="zh-CN" w:bidi="ar-SA"/>
          <w14:ligatures w14:val="standardContextual"/>
        </w:rPr>
        <w:t>International studies course</w:t>
      </w:r>
    </w:p>
    <w:p w14:paraId="0EA8BA99">
      <w:pPr>
        <w:pStyle w:val="11"/>
        <w:widowControl/>
        <w:spacing w:line="360" w:lineRule="auto"/>
        <w:ind w:left="840" w:firstLine="0"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学生将从Jackson school of International Studies选择1门国际学院开设的课程，这门课程同时也向华盛顿本校学生开放，参考课程如下，每学期具体开放课程将根据实际情况进行调整。不管学生来自什么样的专业和背景，国际研究课程都将帮助学生提升国际化视野。</w:t>
      </w:r>
    </w:p>
    <w:p w14:paraId="6B5CC4F7">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Diaspora Communities in Seattle &amp; Beyond</w:t>
      </w:r>
    </w:p>
    <w:p w14:paraId="14BF4C8D">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Global Trade &amp; Disruptive Technologies</w:t>
      </w:r>
    </w:p>
    <w:p w14:paraId="2775C2E6">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Changing Generations in Japan &amp; East Asia</w:t>
      </w:r>
    </w:p>
    <w:p w14:paraId="3EB5604A">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Energy in East Asia: Regional Issues, Global Implications</w:t>
      </w:r>
    </w:p>
    <w:p w14:paraId="00CF1D66">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Global Cities, Utopia &amp; the Environment</w:t>
      </w:r>
    </w:p>
    <w:p w14:paraId="46E74B48">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Global Impact of Smart Technologies</w:t>
      </w:r>
    </w:p>
    <w:p w14:paraId="46C2485A">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Global Sustainability Movements</w:t>
      </w:r>
    </w:p>
    <w:p w14:paraId="1C0AAAB2">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Institutions, Growth &amp; the Environment</w:t>
      </w:r>
    </w:p>
    <w:p w14:paraId="22B7CFE9">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Digital Storytelling &amp; Global Citizenship</w:t>
      </w:r>
    </w:p>
    <w:p w14:paraId="10629F7E">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Sustainability &amp; Global Business</w:t>
      </w:r>
    </w:p>
    <w:p w14:paraId="66C77990">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The Rise of a Global Language</w:t>
      </w:r>
    </w:p>
    <w:p w14:paraId="331DC516">
      <w:pPr>
        <w:pStyle w:val="12"/>
        <w:widowControl/>
        <w:numPr>
          <w:ilvl w:val="0"/>
          <w:numId w:val="5"/>
        </w:numPr>
        <w:spacing w:line="360" w:lineRule="auto"/>
        <w:ind w:left="1259"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Economic Diplomacy: Government, Foreign Policy &amp; the Global Economy</w:t>
      </w:r>
    </w:p>
    <w:p w14:paraId="640C32DF">
      <w:pPr>
        <w:pStyle w:val="11"/>
        <w:widowControl/>
        <w:numPr>
          <w:ilvl w:val="0"/>
          <w:numId w:val="4"/>
        </w:numPr>
        <w:spacing w:line="360" w:lineRule="auto"/>
        <w:ind w:firstLineChars="0"/>
        <w:jc w:val="left"/>
        <w:rPr>
          <w:rFonts w:hint="default" w:ascii="Times New Roman Bold" w:hAnsi="Times New Roman Bold" w:eastAsia="宋体" w:cs="Times New Roman Bold"/>
          <w:b/>
          <w:bCs/>
          <w:kern w:val="0"/>
          <w:sz w:val="22"/>
          <w:szCs w:val="21"/>
          <w:lang w:val="en-GB" w:eastAsia="zh-CN" w:bidi="ar-SA"/>
          <w14:ligatures w14:val="standardContextual"/>
        </w:rPr>
      </w:pPr>
      <w:r>
        <w:rPr>
          <w:rFonts w:hint="default" w:ascii="Times New Roman Bold" w:hAnsi="Times New Roman Bold" w:eastAsia="宋体" w:cs="Times New Roman Bold"/>
          <w:b/>
          <w:bCs/>
          <w:kern w:val="0"/>
          <w:sz w:val="22"/>
          <w:szCs w:val="21"/>
          <w:lang w:val="en-GB" w:eastAsia="zh-CN" w:bidi="ar-SA"/>
          <w14:ligatures w14:val="standardContextual"/>
        </w:rPr>
        <w:t>UW elective</w:t>
      </w:r>
      <w:bookmarkEnd w:id="1"/>
    </w:p>
    <w:p w14:paraId="4A2368C1">
      <w:pPr>
        <w:pStyle w:val="11"/>
        <w:widowControl/>
        <w:spacing w:line="360" w:lineRule="auto"/>
        <w:ind w:left="840" w:firstLine="0"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每学期学生可以修读2门全校范围内开放的课程，课程在有空位的基础上即可注册。每学期的第一周，学生将试听课程并在学术指导老师的帮助下，完成课程的注册。可选专业包括：数学、物理、化学、经济、政治、历史、音乐、舞蹈、心理学、教育学、生物科学、微生物工程、地球科学、核物理、航天工程、听力学、临床心理学、计算机科学、计算机工程、工商管理、法学、工程、动物学、森林学、海洋生物学、国际研究以及七十多门外国语课程等等。部分课程不对国际学生开放，Aeronautics &amp; Astronautics, Social Work, Drama, Art, Digital Arts and Experimental Media, Honors courses, Medicine, Dentistry, Online Courses。另外社会学、法律、商务和工程为热门专业，选课有一定难度，专业学术导师将指导学生进行选课。具体课程请点击链接查看：</w:t>
      </w:r>
      <w:r>
        <w:rPr>
          <w:rFonts w:hint="eastAsia" w:ascii="Times New Roman" w:hAnsi="Times New Roman" w:eastAsia="宋体" w:cs="Calibri"/>
          <w:kern w:val="0"/>
          <w:sz w:val="22"/>
          <w:szCs w:val="21"/>
          <w:lang w:val="en-GB" w:eastAsia="zh-CN" w:bidi="ar-SA"/>
          <w14:ligatures w14:val="standardContextual"/>
        </w:rPr>
        <w:fldChar w:fldCharType="begin"/>
      </w:r>
      <w:r>
        <w:rPr>
          <w:rFonts w:hint="eastAsia" w:ascii="Times New Roman" w:hAnsi="Times New Roman" w:eastAsia="宋体" w:cs="Calibri"/>
          <w:kern w:val="0"/>
          <w:sz w:val="22"/>
          <w:szCs w:val="21"/>
          <w:lang w:val="en-GB" w:eastAsia="zh-CN" w:bidi="ar-SA"/>
          <w14:ligatures w14:val="standardContextual"/>
        </w:rPr>
        <w:instrText xml:space="preserve"> HYPERLINK "https://www.washington.edu/students/timeschd/" </w:instrText>
      </w:r>
      <w:r>
        <w:rPr>
          <w:rFonts w:hint="eastAsia" w:ascii="Times New Roman" w:hAnsi="Times New Roman" w:eastAsia="宋体" w:cs="Calibri"/>
          <w:kern w:val="0"/>
          <w:sz w:val="22"/>
          <w:szCs w:val="21"/>
          <w:lang w:val="en-GB" w:eastAsia="zh-CN" w:bidi="ar-SA"/>
          <w14:ligatures w14:val="standardContextual"/>
        </w:rPr>
        <w:fldChar w:fldCharType="separate"/>
      </w:r>
      <w:r>
        <w:rPr>
          <w:rFonts w:hint="eastAsia" w:ascii="Times New Roman" w:hAnsi="Times New Roman" w:eastAsia="宋体" w:cs="Calibri"/>
          <w:kern w:val="0"/>
          <w:sz w:val="22"/>
          <w:szCs w:val="21"/>
          <w:lang w:val="en-GB" w:eastAsia="zh-CN" w:bidi="ar-SA"/>
          <w14:ligatures w14:val="standardContextual"/>
        </w:rPr>
        <w:t>https://www.washington.edu/students/timeschd/</w:t>
      </w:r>
      <w:r>
        <w:rPr>
          <w:rFonts w:hint="eastAsia" w:ascii="Times New Roman" w:hAnsi="Times New Roman" w:eastAsia="宋体" w:cs="Calibri"/>
          <w:kern w:val="0"/>
          <w:sz w:val="22"/>
          <w:szCs w:val="21"/>
          <w:lang w:val="en-GB" w:eastAsia="zh-CN" w:bidi="ar-SA"/>
          <w14:ligatures w14:val="standardContextual"/>
        </w:rPr>
        <w:fldChar w:fldCharType="end"/>
      </w:r>
    </w:p>
    <w:p w14:paraId="12C17C02">
      <w:pPr>
        <w:autoSpaceDE w:val="0"/>
        <w:autoSpaceDN w:val="0"/>
        <w:adjustRightInd w:val="0"/>
        <w:spacing w:line="360" w:lineRule="auto"/>
        <w:jc w:val="left"/>
        <w:rPr>
          <w:rFonts w:ascii="Arial Narrow" w:hAnsi="Arial Narrow" w:cs="Calibri"/>
          <w:kern w:val="0"/>
        </w:rPr>
      </w:pPr>
      <w:r>
        <w:rPr>
          <w:rFonts w:ascii="Arial Narrow" w:hAnsi="Arial Narrow" w:cs="Calibri"/>
          <w:b/>
          <w:bCs/>
          <w:lang w:val="en-US"/>
        </w:rPr>
        <w:t>【签证类型】</w:t>
      </w:r>
      <w:r>
        <w:rPr>
          <w:rFonts w:hint="eastAsia" w:ascii="Times New Roman" w:hAnsi="Times New Roman" w:eastAsia="宋体" w:cs="Calibri"/>
          <w:kern w:val="0"/>
          <w:sz w:val="22"/>
          <w:szCs w:val="21"/>
          <w:lang w:val="en-GB" w:eastAsia="zh-CN" w:bidi="ar-SA"/>
          <w14:ligatures w14:val="standardContextual"/>
        </w:rPr>
        <w:t>F-1学生签证</w:t>
      </w:r>
    </w:p>
    <w:p w14:paraId="66E39C4E">
      <w:pPr>
        <w:spacing w:line="360" w:lineRule="auto"/>
        <w:jc w:val="left"/>
        <w:rPr>
          <w:rFonts w:ascii="Arial Narrow" w:hAnsi="Arial Narrow" w:cs="Calibri"/>
          <w:b/>
          <w:bCs/>
          <w:lang w:val="en-US"/>
        </w:rPr>
      </w:pPr>
      <w:r>
        <w:rPr>
          <w:rFonts w:ascii="Arial Narrow" w:hAnsi="Arial Narrow" w:cs="Calibri"/>
          <w:b/>
          <w:bCs/>
          <w:lang w:val="en-US"/>
        </w:rPr>
        <w:t>【项目费用】</w:t>
      </w:r>
    </w:p>
    <w:p w14:paraId="02AFE5C5">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cs="Calibri"/>
          <w:kern w:val="0"/>
          <w:sz w:val="22"/>
          <w:szCs w:val="21"/>
          <w:lang w:val="en-US" w:eastAsia="zh-CN" w:bidi="ar-SA"/>
          <w14:ligatures w14:val="standardContextual"/>
        </w:rPr>
        <w:t>费用包含：</w:t>
      </w:r>
      <w:r>
        <w:rPr>
          <w:rFonts w:hint="eastAsia" w:ascii="Times New Roman" w:hAnsi="Times New Roman" w:eastAsia="宋体" w:cs="Calibri"/>
          <w:kern w:val="0"/>
          <w:sz w:val="22"/>
          <w:szCs w:val="21"/>
          <w:lang w:val="en-GB" w:eastAsia="zh-CN" w:bidi="ar-SA"/>
          <w14:ligatures w14:val="standardContextual"/>
        </w:rPr>
        <w:t>申请费50</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、学费8,585</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/Quarter、国际学生保险费4</w:t>
      </w:r>
      <w:r>
        <w:rPr>
          <w:rFonts w:hint="eastAsia" w:ascii="Times New Roman" w:hAnsi="Times New Roman" w:eastAsia="宋体" w:cs="Calibri"/>
          <w:kern w:val="0"/>
          <w:sz w:val="22"/>
          <w:szCs w:val="21"/>
          <w:lang w:val="en-US" w:eastAsia="zh-CN" w:bidi="ar-SA"/>
          <w14:ligatures w14:val="standardContextual"/>
        </w:rPr>
        <w:t>58</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/Quarter、录取文件快递费40</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、书本费275</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、项目管理费1,500</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（含项目咨询、项目申请、住宿指导、签证指导、行前指导、接送机服务等）</w:t>
      </w:r>
      <w:r>
        <w:rPr>
          <w:rFonts w:hint="eastAsia" w:cs="Calibri"/>
          <w:kern w:val="0"/>
          <w:sz w:val="22"/>
          <w:szCs w:val="21"/>
          <w:lang w:val="en-GB" w:eastAsia="zh-CN" w:bidi="ar-SA"/>
          <w14:ligatures w14:val="standardContextual"/>
        </w:rPr>
        <w:t>，</w:t>
      </w:r>
      <w:r>
        <w:rPr>
          <w:rFonts w:hint="eastAsia" w:ascii="Times New Roman" w:hAnsi="Times New Roman" w:eastAsia="宋体" w:cs="Calibri"/>
          <w:kern w:val="0"/>
          <w:sz w:val="22"/>
          <w:szCs w:val="21"/>
          <w:lang w:val="en-GB" w:eastAsia="zh-CN" w:bidi="ar-SA"/>
          <w14:ligatures w14:val="standardContextual"/>
        </w:rPr>
        <w:t>总费用约10,</w:t>
      </w:r>
      <w:r>
        <w:rPr>
          <w:rFonts w:hint="eastAsia" w:ascii="Times New Roman" w:hAnsi="Times New Roman" w:eastAsia="宋体" w:cs="Calibri"/>
          <w:kern w:val="0"/>
          <w:sz w:val="22"/>
          <w:szCs w:val="21"/>
          <w:lang w:val="en-US" w:eastAsia="zh-CN" w:bidi="ar-SA"/>
          <w14:ligatures w14:val="standardContextual"/>
        </w:rPr>
        <w:t>908</w:t>
      </w:r>
      <w:r>
        <w:rPr>
          <w:rFonts w:hint="eastAsia" w:cs="Calibri"/>
          <w:kern w:val="0"/>
          <w:sz w:val="22"/>
          <w:szCs w:val="21"/>
          <w:lang w:val="en-US" w:eastAsia="zh-CN" w:bidi="ar-SA"/>
          <w14:ligatures w14:val="standardContextual"/>
        </w:rPr>
        <w:t>美元</w:t>
      </w:r>
    </w:p>
    <w:p w14:paraId="251B0839">
      <w:pPr>
        <w:pStyle w:val="11"/>
        <w:widowControl/>
        <w:numPr>
          <w:ilvl w:val="0"/>
          <w:numId w:val="3"/>
        </w:numPr>
        <w:spacing w:line="360" w:lineRule="auto"/>
        <w:ind w:firstLineChars="0"/>
        <w:jc w:val="left"/>
        <w:rPr>
          <w:rFonts w:ascii="Arial Narrow" w:hAnsi="Arial Narrow" w:cs="Calibri"/>
          <w:kern w:val="0"/>
          <w:sz w:val="22"/>
          <w:szCs w:val="22"/>
          <w:lang w:val="en-GB"/>
          <w14:ligatures w14:val="standardContextual"/>
        </w:rPr>
      </w:pPr>
      <w:r>
        <w:rPr>
          <w:rFonts w:hint="eastAsia" w:ascii="Times New Roman" w:hAnsi="Times New Roman" w:eastAsia="宋体" w:cs="Calibri"/>
          <w:kern w:val="0"/>
          <w:sz w:val="22"/>
          <w:szCs w:val="21"/>
          <w:lang w:val="en-GB" w:eastAsia="zh-CN" w:bidi="ar-SA"/>
          <w14:ligatures w14:val="standardContextual"/>
        </w:rPr>
        <w:t>费用</w:t>
      </w:r>
      <w:r>
        <w:rPr>
          <w:rFonts w:hint="eastAsia" w:cs="Calibri"/>
          <w:kern w:val="0"/>
          <w:sz w:val="22"/>
          <w:szCs w:val="21"/>
          <w:lang w:val="en-US" w:eastAsia="zh-CN" w:bidi="ar-SA"/>
          <w14:ligatures w14:val="standardContextual"/>
        </w:rPr>
        <w:t>不含</w:t>
      </w:r>
      <w:r>
        <w:rPr>
          <w:rFonts w:hint="eastAsia" w:ascii="Times New Roman" w:hAnsi="Times New Roman" w:eastAsia="宋体" w:cs="Calibri"/>
          <w:kern w:val="0"/>
          <w:sz w:val="22"/>
          <w:szCs w:val="21"/>
          <w:lang w:val="en-GB" w:eastAsia="zh-CN" w:bidi="ar-SA"/>
          <w14:ligatures w14:val="standardContextual"/>
        </w:rPr>
        <w:t>：往返国际机票、签证费、个人开销、境外食宿费（参考住宿费用校内双人间标准/Quarter 5,994</w:t>
      </w:r>
      <w:r>
        <w:rPr>
          <w:rFonts w:hint="eastAsia" w:cs="Calibri"/>
          <w:kern w:val="0"/>
          <w:sz w:val="22"/>
          <w:szCs w:val="21"/>
          <w:lang w:val="en-US" w:eastAsia="zh-CN" w:bidi="ar-SA"/>
          <w14:ligatures w14:val="standardContextual"/>
        </w:rPr>
        <w:t>美元</w:t>
      </w:r>
      <w:r>
        <w:rPr>
          <w:rFonts w:hint="eastAsia" w:ascii="Times New Roman" w:hAnsi="Times New Roman" w:eastAsia="宋体" w:cs="Calibri"/>
          <w:kern w:val="0"/>
          <w:sz w:val="22"/>
          <w:szCs w:val="21"/>
          <w:lang w:val="en-GB" w:eastAsia="zh-CN" w:bidi="ar-SA"/>
          <w14:ligatures w14:val="standardContextual"/>
        </w:rPr>
        <w:t>）</w:t>
      </w:r>
      <w:r>
        <w:rPr>
          <w:rFonts w:hint="eastAsia" w:ascii="Arial Narrow" w:hAnsi="Arial Narrow" w:cs="Calibri"/>
          <w:kern w:val="0"/>
          <w:sz w:val="22"/>
          <w:szCs w:val="22"/>
          <w:lang w:val="en-GB"/>
          <w14:ligatures w14:val="standardContextual"/>
        </w:rPr>
        <w:t>。</w:t>
      </w:r>
    </w:p>
    <w:p w14:paraId="1ABDF752">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以上费用是2025年</w:t>
      </w:r>
      <w:r>
        <w:rPr>
          <w:rFonts w:hint="eastAsia" w:ascii="Times New Roman" w:hAnsi="Times New Roman" w:eastAsia="宋体" w:cs="Calibri"/>
          <w:kern w:val="0"/>
          <w:sz w:val="22"/>
          <w:szCs w:val="21"/>
          <w:lang w:val="en-US" w:eastAsia="zh-CN" w:bidi="ar-SA"/>
          <w14:ligatures w14:val="standardContextual"/>
        </w:rPr>
        <w:t>秋季</w:t>
      </w:r>
      <w:r>
        <w:rPr>
          <w:rFonts w:hint="eastAsia" w:ascii="Times New Roman" w:hAnsi="Times New Roman" w:eastAsia="宋体" w:cs="Calibri"/>
          <w:kern w:val="0"/>
          <w:sz w:val="22"/>
          <w:szCs w:val="21"/>
          <w:lang w:val="en-GB" w:eastAsia="zh-CN" w:bidi="ar-SA"/>
          <w14:ligatures w14:val="standardContextual"/>
        </w:rPr>
        <w:t>学期实际发生的费用， 202</w:t>
      </w:r>
      <w:r>
        <w:rPr>
          <w:rFonts w:hint="eastAsia" w:ascii="Times New Roman" w:hAnsi="Times New Roman" w:eastAsia="宋体" w:cs="Calibri"/>
          <w:kern w:val="0"/>
          <w:sz w:val="22"/>
          <w:szCs w:val="21"/>
          <w:lang w:val="en-US" w:eastAsia="zh-CN" w:bidi="ar-SA"/>
          <w14:ligatures w14:val="standardContextual"/>
        </w:rPr>
        <w:t>6</w:t>
      </w:r>
      <w:r>
        <w:rPr>
          <w:rFonts w:hint="eastAsia" w:ascii="Times New Roman" w:hAnsi="Times New Roman" w:eastAsia="宋体" w:cs="Calibri"/>
          <w:kern w:val="0"/>
          <w:sz w:val="22"/>
          <w:szCs w:val="21"/>
          <w:lang w:val="en-GB" w:eastAsia="zh-CN" w:bidi="ar-SA"/>
          <w14:ligatures w14:val="standardContextual"/>
        </w:rPr>
        <w:t>年秋季项目费用将以海外大学发布为准。</w:t>
      </w:r>
    </w:p>
    <w:p w14:paraId="2A9B9C6E">
      <w:pPr>
        <w:jc w:val="left"/>
        <w:rPr>
          <w:rFonts w:ascii="Arial" w:hAnsi="Arial" w:eastAsia="微软雅黑" w:cs="Arial"/>
          <w:b/>
          <w:bCs/>
          <w:color w:val="2D8FCF"/>
          <w:spacing w:val="6"/>
          <w:sz w:val="40"/>
          <w:szCs w:val="40"/>
        </w:rPr>
      </w:pPr>
    </w:p>
    <w:p w14:paraId="125C9632">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项目收获</w:t>
      </w:r>
    </w:p>
    <w:p w14:paraId="6BCE259D">
      <w:pPr>
        <w:jc w:val="left"/>
        <w:rPr>
          <w:rFonts w:ascii="Arial" w:hAnsi="Arial" w:eastAsia="微软雅黑" w:cs="Arial"/>
          <w:b/>
          <w:bCs/>
          <w:color w:val="2D8FCF"/>
          <w:spacing w:val="6"/>
          <w:sz w:val="40"/>
          <w:szCs w:val="40"/>
        </w:rPr>
      </w:pPr>
      <w:r>
        <w:pict>
          <v:rect id="_x0000_s1080" o:spid="_x0000_s1080" o:spt="1" style="position:absolute;left:0pt;margin-left:-0.6pt;margin-top:1.2pt;height:22.7pt;width:188.7pt;z-index:251670528;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9948A15">
                  <w:pPr>
                    <w:rPr>
                      <w:rFonts w:ascii="Times New Roman" w:hAnsi="Times New Roman" w:cs="Times New Roman"/>
                      <w:color w:val="000000" w:themeColor="text1"/>
                    </w:rPr>
                  </w:pPr>
                  <w:r>
                    <w:rPr>
                      <w:rFonts w:hint="eastAsia" w:ascii="Times New Roman" w:hAnsi="Times New Roman" w:eastAsia="MiSans Medium" w:cs="Times New Roman"/>
                      <w:color w:val="000000" w:themeColor="text1"/>
                      <w:spacing w:val="23"/>
                      <w:sz w:val="24"/>
                    </w:rPr>
                    <w:t>Program Achievement</w:t>
                  </w:r>
                </w:p>
              </w:txbxContent>
            </v:textbox>
          </v:rect>
        </w:pict>
      </w:r>
    </w:p>
    <w:p w14:paraId="1664B6F7">
      <w:pPr>
        <w:autoSpaceDE w:val="0"/>
        <w:autoSpaceDN w:val="0"/>
        <w:adjustRightInd w:val="0"/>
        <w:spacing w:line="360" w:lineRule="auto"/>
        <w:jc w:val="left"/>
        <w:rPr>
          <w:rFonts w:ascii="Arial Narrow" w:hAnsi="Arial Narrow" w:cs="Calibri"/>
          <w:b/>
          <w:bCs/>
          <w:sz w:val="11"/>
          <w:szCs w:val="11"/>
        </w:rPr>
      </w:pPr>
    </w:p>
    <w:p w14:paraId="4709E6AB">
      <w:pPr>
        <w:autoSpaceDE w:val="0"/>
        <w:autoSpaceDN w:val="0"/>
        <w:adjustRightInd w:val="0"/>
        <w:spacing w:line="360" w:lineRule="auto"/>
        <w:jc w:val="left"/>
        <w:rPr>
          <w:rFonts w:ascii="Arial Narrow" w:hAnsi="Arial Narrow" w:cs="Calibri"/>
          <w:szCs w:val="21"/>
        </w:rPr>
      </w:pPr>
      <w:r>
        <w:rPr>
          <w:rFonts w:ascii="Arial Narrow" w:hAnsi="Arial Narrow" w:cs="Calibri"/>
          <w:b/>
          <w:bCs/>
          <w:szCs w:val="21"/>
        </w:rPr>
        <w:t>【项目收获】</w:t>
      </w:r>
      <w:r>
        <w:rPr>
          <w:rFonts w:hint="eastAsia" w:ascii="Times New Roman" w:hAnsi="Times New Roman" w:eastAsia="宋体" w:cs="Calibri"/>
          <w:kern w:val="0"/>
          <w:sz w:val="22"/>
          <w:szCs w:val="21"/>
          <w:lang w:val="en-GB" w:eastAsia="zh-CN" w:bidi="ar-SA"/>
          <w14:ligatures w14:val="standardContextual"/>
        </w:rPr>
        <w:t>项目结束后将获得</w:t>
      </w:r>
      <w:r>
        <w:rPr>
          <w:rFonts w:hint="eastAsia" w:ascii="Times New Roman" w:hAnsi="Times New Roman" w:eastAsia="宋体" w:cs="Calibri"/>
          <w:kern w:val="0"/>
          <w:sz w:val="22"/>
          <w:szCs w:val="21"/>
          <w:lang w:val="en-US" w:eastAsia="zh-CN" w:bidi="ar-SA"/>
          <w14:ligatures w14:val="standardContextual"/>
        </w:rPr>
        <w:t>华盛顿</w:t>
      </w:r>
      <w:r>
        <w:rPr>
          <w:rFonts w:hint="eastAsia" w:ascii="Times New Roman" w:hAnsi="Times New Roman" w:eastAsia="宋体" w:cs="Calibri"/>
          <w:kern w:val="0"/>
          <w:sz w:val="22"/>
          <w:szCs w:val="21"/>
          <w:lang w:val="en-GB" w:eastAsia="zh-CN" w:bidi="ar-SA"/>
          <w14:ligatures w14:val="standardContextual"/>
        </w:rPr>
        <w:t xml:space="preserve">大学颁发的官方成绩单。 </w:t>
      </w:r>
    </w:p>
    <w:p w14:paraId="72A82996">
      <w:pPr>
        <w:autoSpaceDE w:val="0"/>
        <w:autoSpaceDN w:val="0"/>
        <w:adjustRightInd w:val="0"/>
        <w:spacing w:line="360" w:lineRule="auto"/>
        <w:jc w:val="center"/>
        <w:rPr>
          <w:rFonts w:ascii="Arial Narrow" w:hAnsi="Arial Narrow" w:cs="Calibri"/>
          <w:szCs w:val="21"/>
        </w:rPr>
      </w:pPr>
      <w:r>
        <w:drawing>
          <wp:inline distT="0" distB="0" distL="0" distR="0">
            <wp:extent cx="2680970" cy="3202940"/>
            <wp:effectExtent l="0" t="0" r="5080" b="16510"/>
            <wp:docPr id="16508409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840927"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680970" cy="3202940"/>
                    </a:xfrm>
                    <a:prstGeom prst="rect">
                      <a:avLst/>
                    </a:prstGeom>
                    <a:noFill/>
                    <a:ln>
                      <a:noFill/>
                    </a:ln>
                  </pic:spPr>
                </pic:pic>
              </a:graphicData>
            </a:graphic>
          </wp:inline>
        </w:drawing>
      </w:r>
    </w:p>
    <w:p w14:paraId="232D12A3">
      <w:pPr>
        <w:jc w:val="left"/>
        <w:rPr>
          <w:rFonts w:ascii="Arial" w:hAnsi="Arial" w:eastAsia="微软雅黑" w:cs="Arial"/>
          <w:b/>
          <w:bCs/>
          <w:color w:val="2D8FCF"/>
          <w:spacing w:val="6"/>
          <w:sz w:val="40"/>
          <w:szCs w:val="40"/>
        </w:rPr>
      </w:pPr>
    </w:p>
    <w:p w14:paraId="66B82F44">
      <w:pPr>
        <w:jc w:val="left"/>
        <w:rPr>
          <w:rFonts w:hint="eastAsia" w:ascii="Arial" w:hAnsi="Arial" w:eastAsia="微软雅黑" w:cs="Arial"/>
          <w:b/>
          <w:bCs/>
          <w:color w:val="1A4471"/>
          <w:spacing w:val="6"/>
          <w:sz w:val="40"/>
          <w:szCs w:val="40"/>
          <w:lang w:val="en-US"/>
        </w:rPr>
      </w:pPr>
    </w:p>
    <w:p w14:paraId="6BCFD9B9">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录取要求</w:t>
      </w:r>
    </w:p>
    <w:p w14:paraId="702A4E21">
      <w:pPr>
        <w:jc w:val="left"/>
        <w:rPr>
          <w:rFonts w:ascii="Arial" w:hAnsi="Arial" w:eastAsia="微软雅黑" w:cs="Arial"/>
          <w:b/>
          <w:bCs/>
          <w:color w:val="2D8FCF"/>
          <w:spacing w:val="6"/>
          <w:sz w:val="40"/>
          <w:szCs w:val="40"/>
          <w:lang w:val="en-US"/>
        </w:rPr>
      </w:pPr>
      <w:r>
        <w:pict>
          <v:rect id="_x0000_s1081" o:spid="_x0000_s1081" o:spt="1" style="position:absolute;left:0pt;margin-left:-0.6pt;margin-top:1.25pt;height:22.7pt;width:188.7pt;z-index:251671552;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31B3778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p>
    <w:p w14:paraId="5C33C73F">
      <w:pPr>
        <w:spacing w:line="360" w:lineRule="auto"/>
        <w:jc w:val="left"/>
        <w:rPr>
          <w:rFonts w:ascii="Arial Narrow" w:hAnsi="Calibri" w:cs="Calibri"/>
          <w:kern w:val="0"/>
          <w:szCs w:val="21"/>
        </w:rPr>
      </w:pPr>
    </w:p>
    <w:p w14:paraId="3841D3D3">
      <w:pPr>
        <w:pStyle w:val="11"/>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hint="eastAsia" w:ascii="Arial Narrow" w:hAnsi="Calibri" w:cs="Calibri"/>
          <w:kern w:val="0"/>
          <w:sz w:val="22"/>
          <w:szCs w:val="21"/>
          <w:lang w:val="en-GB"/>
          <w14:ligatures w14:val="standardContextual"/>
        </w:rPr>
        <w:t>全日制在校大二及以上的本科生</w:t>
      </w:r>
    </w:p>
    <w:p w14:paraId="41F18568">
      <w:pPr>
        <w:pStyle w:val="11"/>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hint="eastAsia" w:ascii="Arial Narrow" w:hAnsi="Calibri" w:cs="Calibri"/>
          <w:kern w:val="0"/>
          <w:sz w:val="22"/>
          <w:szCs w:val="21"/>
          <w:lang w:val="en-GB"/>
          <w14:ligatures w14:val="standardContextual"/>
        </w:rPr>
        <w:t>年</w:t>
      </w:r>
      <w:r>
        <w:rPr>
          <w:rFonts w:hint="eastAsia" w:ascii="Times New Roman" w:hAnsi="Times New Roman" w:eastAsia="宋体" w:cs="Calibri"/>
          <w:kern w:val="0"/>
          <w:sz w:val="22"/>
          <w:szCs w:val="21"/>
          <w:lang w:val="en-GB" w:eastAsia="zh-CN" w:bidi="ar-SA"/>
          <w14:ligatures w14:val="standardContextual"/>
        </w:rPr>
        <w:t>满18周岁、道</w:t>
      </w:r>
      <w:r>
        <w:rPr>
          <w:rFonts w:hint="eastAsia" w:ascii="Arial Narrow" w:hAnsi="Calibri" w:cs="Calibri"/>
          <w:kern w:val="0"/>
          <w:sz w:val="22"/>
          <w:szCs w:val="21"/>
          <w:lang w:val="en-GB"/>
          <w14:ligatures w14:val="standardContextual"/>
        </w:rPr>
        <w:t>德品质好，身心健康，能顺利完成学习任务</w:t>
      </w:r>
    </w:p>
    <w:p w14:paraId="41B6E5A8">
      <w:pPr>
        <w:pStyle w:val="11"/>
        <w:widowControl/>
        <w:numPr>
          <w:ilvl w:val="0"/>
          <w:numId w:val="3"/>
        </w:numPr>
        <w:spacing w:line="360" w:lineRule="auto"/>
        <w:ind w:firstLineChars="0"/>
        <w:jc w:val="left"/>
        <w:rPr>
          <w:rFonts w:ascii="Arial Narrow" w:hAnsi="Calibri" w:cs="Calibri"/>
          <w:kern w:val="0"/>
          <w:sz w:val="22"/>
          <w:szCs w:val="21"/>
          <w:lang w:val="en-GB"/>
          <w14:ligatures w14:val="standardContextual"/>
        </w:rPr>
      </w:pPr>
      <w:r>
        <w:rPr>
          <w:rFonts w:hint="eastAsia" w:ascii="Arial Narrow" w:hAnsi="Calibri" w:cs="Calibri"/>
          <w:kern w:val="0"/>
          <w:sz w:val="22"/>
          <w:szCs w:val="21"/>
          <w:lang w:val="en-GB"/>
          <w14:ligatures w14:val="standardContextual"/>
        </w:rPr>
        <w:t>适用于所有专业学生</w:t>
      </w:r>
    </w:p>
    <w:p w14:paraId="53BA06B2">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GPA要求：3.0</w:t>
      </w:r>
    </w:p>
    <w:p w14:paraId="00970C8B">
      <w:pPr>
        <w:pStyle w:val="11"/>
        <w:widowControl/>
        <w:numPr>
          <w:ilvl w:val="0"/>
          <w:numId w:val="3"/>
        </w:numPr>
        <w:spacing w:line="360" w:lineRule="auto"/>
        <w:ind w:firstLineChars="0"/>
        <w:jc w:val="left"/>
        <w:rPr>
          <w:rFonts w:hint="eastAsia" w:ascii="Times New Roman" w:hAnsi="Times New Roman" w:eastAsia="宋体" w:cs="Calibri"/>
          <w:kern w:val="0"/>
          <w:sz w:val="22"/>
          <w:szCs w:val="21"/>
          <w:lang w:val="en-GB" w:eastAsia="zh-CN" w:bidi="ar-SA"/>
          <w14:ligatures w14:val="standardContextual"/>
        </w:rPr>
      </w:pPr>
      <w:r>
        <w:rPr>
          <w:rFonts w:hint="eastAsia" w:ascii="Times New Roman" w:hAnsi="Times New Roman" w:eastAsia="宋体" w:cs="Calibri"/>
          <w:kern w:val="0"/>
          <w:sz w:val="22"/>
          <w:szCs w:val="21"/>
          <w:lang w:val="en-GB" w:eastAsia="zh-CN" w:bidi="ar-SA"/>
          <w14:ligatures w14:val="standardContextual"/>
        </w:rPr>
        <w:t>英语要求：托福76分 / 雅思6.0 /多领国110分及以上</w:t>
      </w:r>
    </w:p>
    <w:tbl>
      <w:tblPr>
        <w:tblStyle w:val="5"/>
        <w:tblW w:w="9316" w:type="dxa"/>
        <w:tblInd w:w="120" w:type="dxa"/>
        <w:shd w:val="clear" w:color="auto" w:fill="FFFFFF"/>
        <w:tblLayout w:type="autofit"/>
        <w:tblCellMar>
          <w:top w:w="0" w:type="dxa"/>
          <w:left w:w="0" w:type="dxa"/>
          <w:bottom w:w="0" w:type="dxa"/>
          <w:right w:w="0" w:type="dxa"/>
        </w:tblCellMar>
      </w:tblPr>
      <w:tblGrid>
        <w:gridCol w:w="1758"/>
        <w:gridCol w:w="7558"/>
      </w:tblGrid>
      <w:tr w14:paraId="250ED419">
        <w:tblPrEx>
          <w:shd w:val="clear" w:color="auto" w:fill="FFFFFF"/>
          <w:tblCellMar>
            <w:top w:w="0" w:type="dxa"/>
            <w:left w:w="0" w:type="dxa"/>
            <w:bottom w:w="0" w:type="dxa"/>
            <w:right w:w="0" w:type="dxa"/>
          </w:tblCellMar>
        </w:tblPrEx>
        <w:tc>
          <w:tcPr>
            <w:tcW w:w="1758" w:type="dxa"/>
            <w:tcBorders>
              <w:top w:val="single" w:color="FFFFFF" w:sz="12" w:space="0"/>
              <w:left w:val="single" w:color="FFFFFF" w:sz="12" w:space="0"/>
              <w:bottom w:val="single" w:color="FFFFFF" w:sz="12" w:space="0"/>
              <w:right w:val="single" w:color="FFFFFF" w:sz="6" w:space="0"/>
            </w:tcBorders>
            <w:shd w:val="clear" w:color="auto" w:fill="44546A"/>
            <w:tcMar>
              <w:top w:w="75" w:type="dxa"/>
              <w:left w:w="120" w:type="dxa"/>
              <w:bottom w:w="75" w:type="dxa"/>
              <w:right w:w="120" w:type="dxa"/>
            </w:tcMar>
            <w:vAlign w:val="center"/>
          </w:tcPr>
          <w:p w14:paraId="638BFEBC">
            <w:pPr>
              <w:jc w:val="center"/>
              <w:rPr>
                <w:rFonts w:hint="default" w:ascii="Times New Roman" w:hAnsi="Times New Roman" w:eastAsia="宋体" w:cs="Times New Roman"/>
                <w:b/>
                <w:bCs/>
                <w:color w:val="FFFFFF" w:themeColor="background1"/>
                <w:kern w:val="0"/>
                <w:sz w:val="22"/>
                <w:szCs w:val="22"/>
              </w:rPr>
            </w:pPr>
            <w:r>
              <w:rPr>
                <w:rFonts w:hint="default" w:ascii="Times New Roman" w:hAnsi="Times New Roman" w:eastAsia="宋体" w:cs="Times New Roman"/>
                <w:b/>
                <w:bCs/>
                <w:color w:val="FFFFFF" w:themeColor="background1"/>
                <w:kern w:val="0"/>
                <w:sz w:val="22"/>
                <w:szCs w:val="22"/>
              </w:rPr>
              <w:t>TOEFL Score</w:t>
            </w:r>
          </w:p>
        </w:tc>
        <w:tc>
          <w:tcPr>
            <w:tcW w:w="7558" w:type="dxa"/>
            <w:tcBorders>
              <w:top w:val="single" w:color="FFFFFF" w:sz="12" w:space="0"/>
              <w:left w:val="single" w:color="FFFFFF" w:sz="12" w:space="0"/>
              <w:bottom w:val="single" w:color="FFFFFF" w:sz="12" w:space="0"/>
              <w:right w:val="single" w:color="FFFFFF" w:sz="6" w:space="0"/>
            </w:tcBorders>
            <w:shd w:val="clear" w:color="auto" w:fill="44546A"/>
            <w:tcMar>
              <w:top w:w="75" w:type="dxa"/>
              <w:left w:w="120" w:type="dxa"/>
              <w:bottom w:w="75" w:type="dxa"/>
              <w:right w:w="120" w:type="dxa"/>
            </w:tcMar>
            <w:vAlign w:val="center"/>
          </w:tcPr>
          <w:p w14:paraId="5BC9FB9E">
            <w:pPr>
              <w:jc w:val="left"/>
              <w:rPr>
                <w:rFonts w:hint="default" w:ascii="Times New Roman" w:hAnsi="Times New Roman" w:eastAsia="宋体" w:cs="Times New Roman"/>
                <w:b/>
                <w:bCs/>
                <w:color w:val="FFFFFF" w:themeColor="background1"/>
                <w:kern w:val="0"/>
                <w:sz w:val="22"/>
                <w:szCs w:val="22"/>
              </w:rPr>
            </w:pPr>
            <w:r>
              <w:rPr>
                <w:rFonts w:hint="default" w:ascii="Times New Roman" w:hAnsi="Times New Roman" w:eastAsia="宋体" w:cs="Times New Roman"/>
                <w:b/>
                <w:bCs/>
                <w:color w:val="FFFFFF" w:themeColor="background1"/>
                <w:kern w:val="0"/>
                <w:sz w:val="22"/>
                <w:szCs w:val="22"/>
              </w:rPr>
              <w:t>76 or Higher</w:t>
            </w:r>
          </w:p>
        </w:tc>
      </w:tr>
      <w:tr w14:paraId="32B76287">
        <w:tblPrEx>
          <w:shd w:val="clear" w:color="auto" w:fill="FFFFFF"/>
          <w:tblCellMar>
            <w:top w:w="0" w:type="dxa"/>
            <w:left w:w="0" w:type="dxa"/>
            <w:bottom w:w="0" w:type="dxa"/>
            <w:right w:w="0" w:type="dxa"/>
          </w:tblCellMar>
        </w:tblPrEx>
        <w:tc>
          <w:tcPr>
            <w:tcW w:w="1758" w:type="dxa"/>
            <w:tcBorders>
              <w:top w:val="single" w:color="FFFFFF" w:sz="12" w:space="0"/>
              <w:left w:val="single" w:color="FFFFFF" w:sz="12" w:space="0"/>
              <w:bottom w:val="single" w:color="FFFFFF" w:sz="12" w:space="0"/>
              <w:right w:val="single" w:color="FFFFFF" w:sz="6" w:space="0"/>
            </w:tcBorders>
            <w:shd w:val="clear" w:color="auto" w:fill="44546A"/>
            <w:tcMar>
              <w:top w:w="75" w:type="dxa"/>
              <w:left w:w="120" w:type="dxa"/>
              <w:bottom w:w="75" w:type="dxa"/>
              <w:right w:w="120" w:type="dxa"/>
            </w:tcMar>
            <w:vAlign w:val="center"/>
          </w:tcPr>
          <w:p w14:paraId="61A9B7F4">
            <w:pPr>
              <w:jc w:val="center"/>
              <w:rPr>
                <w:rFonts w:hint="default" w:ascii="Times New Roman" w:hAnsi="Times New Roman" w:eastAsia="宋体" w:cs="Times New Roman"/>
                <w:b/>
                <w:bCs/>
                <w:color w:val="FFFFFF" w:themeColor="background1"/>
                <w:kern w:val="0"/>
                <w:sz w:val="22"/>
                <w:szCs w:val="22"/>
              </w:rPr>
            </w:pPr>
            <w:r>
              <w:rPr>
                <w:rFonts w:hint="default" w:ascii="Times New Roman" w:hAnsi="Times New Roman" w:eastAsia="宋体" w:cs="Times New Roman"/>
                <w:b/>
                <w:bCs/>
                <w:color w:val="FFFFFF" w:themeColor="background1"/>
                <w:kern w:val="0"/>
                <w:sz w:val="22"/>
                <w:szCs w:val="22"/>
              </w:rPr>
              <w:t>IELTS Score</w:t>
            </w:r>
          </w:p>
        </w:tc>
        <w:tc>
          <w:tcPr>
            <w:tcW w:w="7558" w:type="dxa"/>
            <w:tcBorders>
              <w:top w:val="single" w:color="FFFFFF" w:sz="12" w:space="0"/>
              <w:left w:val="single" w:color="FFFFFF" w:sz="12" w:space="0"/>
              <w:bottom w:val="single" w:color="FFFFFF" w:sz="12" w:space="0"/>
              <w:right w:val="single" w:color="FFFFFF" w:sz="6" w:space="0"/>
            </w:tcBorders>
            <w:shd w:val="clear" w:color="auto" w:fill="44546A"/>
            <w:tcMar>
              <w:top w:w="75" w:type="dxa"/>
              <w:left w:w="120" w:type="dxa"/>
              <w:bottom w:w="75" w:type="dxa"/>
              <w:right w:w="120" w:type="dxa"/>
            </w:tcMar>
            <w:vAlign w:val="center"/>
          </w:tcPr>
          <w:p w14:paraId="009386BB">
            <w:pPr>
              <w:jc w:val="left"/>
              <w:rPr>
                <w:rFonts w:hint="default" w:ascii="Times New Roman" w:hAnsi="Times New Roman" w:eastAsia="宋体" w:cs="Times New Roman"/>
                <w:b/>
                <w:bCs/>
                <w:color w:val="FFFFFF" w:themeColor="background1"/>
                <w:kern w:val="0"/>
                <w:sz w:val="22"/>
                <w:szCs w:val="22"/>
              </w:rPr>
            </w:pPr>
            <w:r>
              <w:rPr>
                <w:rFonts w:hint="default" w:ascii="Times New Roman" w:hAnsi="Times New Roman" w:eastAsia="宋体" w:cs="Times New Roman"/>
                <w:b/>
                <w:bCs/>
                <w:color w:val="FFFFFF" w:themeColor="background1"/>
                <w:kern w:val="0"/>
                <w:sz w:val="22"/>
                <w:szCs w:val="22"/>
              </w:rPr>
              <w:t>6.0</w:t>
            </w:r>
          </w:p>
        </w:tc>
      </w:tr>
      <w:tr w14:paraId="381FEC6D">
        <w:tblPrEx>
          <w:shd w:val="clear" w:color="auto" w:fill="FFFFFF"/>
          <w:tblCellMar>
            <w:top w:w="0" w:type="dxa"/>
            <w:left w:w="0" w:type="dxa"/>
            <w:bottom w:w="0" w:type="dxa"/>
            <w:right w:w="0" w:type="dxa"/>
          </w:tblCellMar>
        </w:tblPrEx>
        <w:tc>
          <w:tcPr>
            <w:tcW w:w="1758" w:type="dxa"/>
            <w:tcBorders>
              <w:top w:val="single" w:color="FFFFFF" w:sz="12" w:space="0"/>
              <w:left w:val="single" w:color="FFFFFF" w:sz="12" w:space="0"/>
              <w:bottom w:val="single" w:color="FFFFFF" w:sz="12" w:space="0"/>
              <w:right w:val="single" w:color="FFFFFF" w:sz="12" w:space="0"/>
            </w:tcBorders>
            <w:shd w:val="clear" w:color="auto" w:fill="F6F6F6"/>
            <w:tcMar>
              <w:top w:w="225" w:type="dxa"/>
              <w:left w:w="120" w:type="dxa"/>
              <w:bottom w:w="75" w:type="dxa"/>
              <w:right w:w="120" w:type="dxa"/>
            </w:tcMar>
            <w:vAlign w:val="center"/>
          </w:tcPr>
          <w:p w14:paraId="756A102D">
            <w:pPr>
              <w:jc w:val="center"/>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Quarter 1</w:t>
            </w:r>
          </w:p>
        </w:tc>
        <w:tc>
          <w:tcPr>
            <w:tcW w:w="7558" w:type="dxa"/>
            <w:tcBorders>
              <w:top w:val="single" w:color="FFFFFF" w:sz="12" w:space="0"/>
              <w:left w:val="single" w:color="FFFFFF" w:sz="12" w:space="0"/>
              <w:bottom w:val="single" w:color="FFFFFF" w:sz="12" w:space="0"/>
              <w:right w:val="single" w:color="FFFFFF" w:sz="12" w:space="0"/>
            </w:tcBorders>
            <w:shd w:val="clear" w:color="auto" w:fill="F6F6F6"/>
            <w:tcMar>
              <w:top w:w="75" w:type="dxa"/>
              <w:left w:w="120" w:type="dxa"/>
              <w:bottom w:w="75" w:type="dxa"/>
              <w:right w:w="120" w:type="dxa"/>
            </w:tcMar>
          </w:tcPr>
          <w:p w14:paraId="1AA933F5">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Advising seminar (1*)</w:t>
            </w:r>
          </w:p>
          <w:p w14:paraId="1B4F7B52">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International studies course (5)</w:t>
            </w:r>
          </w:p>
          <w:p w14:paraId="0613FA03">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UW elective (5)</w:t>
            </w:r>
          </w:p>
          <w:p w14:paraId="0433988A">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UW elective (5)</w:t>
            </w:r>
          </w:p>
        </w:tc>
      </w:tr>
      <w:tr w14:paraId="2F3E4015">
        <w:tblPrEx>
          <w:shd w:val="clear" w:color="auto" w:fill="FFFFFF"/>
          <w:tblCellMar>
            <w:top w:w="0" w:type="dxa"/>
            <w:left w:w="0" w:type="dxa"/>
            <w:bottom w:w="0" w:type="dxa"/>
            <w:right w:w="0" w:type="dxa"/>
          </w:tblCellMar>
        </w:tblPrEx>
        <w:tc>
          <w:tcPr>
            <w:tcW w:w="1758" w:type="dxa"/>
            <w:tcBorders>
              <w:top w:val="single" w:color="FFFFFF" w:sz="12" w:space="0"/>
              <w:left w:val="single" w:color="FFFFFF" w:sz="12" w:space="0"/>
              <w:bottom w:val="single" w:color="FFFFFF" w:sz="12" w:space="0"/>
              <w:right w:val="single" w:color="FFFFFF" w:sz="12" w:space="0"/>
            </w:tcBorders>
            <w:shd w:val="clear" w:color="auto" w:fill="F6F6F6"/>
            <w:tcMar>
              <w:top w:w="225" w:type="dxa"/>
              <w:left w:w="120" w:type="dxa"/>
              <w:bottom w:w="75" w:type="dxa"/>
              <w:right w:w="120" w:type="dxa"/>
            </w:tcMar>
            <w:vAlign w:val="center"/>
          </w:tcPr>
          <w:p w14:paraId="2C91E077">
            <w:pPr>
              <w:jc w:val="center"/>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Quarter 2</w:t>
            </w:r>
          </w:p>
        </w:tc>
        <w:tc>
          <w:tcPr>
            <w:tcW w:w="7558" w:type="dxa"/>
            <w:tcBorders>
              <w:top w:val="single" w:color="FFFFFF" w:sz="12" w:space="0"/>
              <w:left w:val="single" w:color="FFFFFF" w:sz="12" w:space="0"/>
              <w:bottom w:val="single" w:color="FFFFFF" w:sz="12" w:space="0"/>
              <w:right w:val="single" w:color="FFFFFF" w:sz="12" w:space="0"/>
            </w:tcBorders>
            <w:shd w:val="clear" w:color="auto" w:fill="F6F6F6"/>
            <w:tcMar>
              <w:top w:w="75" w:type="dxa"/>
              <w:left w:w="120" w:type="dxa"/>
              <w:bottom w:w="75" w:type="dxa"/>
              <w:right w:w="120" w:type="dxa"/>
            </w:tcMar>
          </w:tcPr>
          <w:p w14:paraId="1FDD6DDE">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International studies course (5)</w:t>
            </w:r>
          </w:p>
          <w:p w14:paraId="017003B9">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UW elective (5)</w:t>
            </w:r>
          </w:p>
          <w:p w14:paraId="1B09F8FE">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UW elective (5)</w:t>
            </w:r>
          </w:p>
        </w:tc>
      </w:tr>
      <w:tr w14:paraId="5B6981A8">
        <w:tblPrEx>
          <w:shd w:val="clear" w:color="auto" w:fill="FFFFFF"/>
          <w:tblCellMar>
            <w:top w:w="0" w:type="dxa"/>
            <w:left w:w="0" w:type="dxa"/>
            <w:bottom w:w="0" w:type="dxa"/>
            <w:right w:w="0" w:type="dxa"/>
          </w:tblCellMar>
        </w:tblPrEx>
        <w:tc>
          <w:tcPr>
            <w:tcW w:w="1758" w:type="dxa"/>
            <w:tcBorders>
              <w:top w:val="single" w:color="FFFFFF" w:sz="12" w:space="0"/>
              <w:left w:val="single" w:color="FFFFFF" w:sz="12" w:space="0"/>
              <w:bottom w:val="single" w:color="FFFFFF" w:sz="12" w:space="0"/>
              <w:right w:val="single" w:color="FFFFFF" w:sz="12" w:space="0"/>
            </w:tcBorders>
            <w:shd w:val="clear" w:color="auto" w:fill="F6F6F6"/>
            <w:tcMar>
              <w:top w:w="225" w:type="dxa"/>
              <w:left w:w="120" w:type="dxa"/>
              <w:bottom w:w="75" w:type="dxa"/>
              <w:right w:w="120" w:type="dxa"/>
            </w:tcMar>
            <w:vAlign w:val="center"/>
          </w:tcPr>
          <w:p w14:paraId="5658A3E7">
            <w:pPr>
              <w:jc w:val="center"/>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Quarter 3</w:t>
            </w:r>
          </w:p>
        </w:tc>
        <w:tc>
          <w:tcPr>
            <w:tcW w:w="7558" w:type="dxa"/>
            <w:tcBorders>
              <w:top w:val="single" w:color="FFFFFF" w:sz="12" w:space="0"/>
              <w:left w:val="single" w:color="FFFFFF" w:sz="12" w:space="0"/>
              <w:bottom w:val="single" w:color="FFFFFF" w:sz="12" w:space="0"/>
              <w:right w:val="single" w:color="FFFFFF" w:sz="12" w:space="0"/>
            </w:tcBorders>
            <w:shd w:val="clear" w:color="auto" w:fill="F6F6F6"/>
            <w:tcMar>
              <w:top w:w="75" w:type="dxa"/>
              <w:left w:w="120" w:type="dxa"/>
              <w:bottom w:w="75" w:type="dxa"/>
              <w:right w:w="120" w:type="dxa"/>
            </w:tcMar>
          </w:tcPr>
          <w:p w14:paraId="1C986F10">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International studies course (5)</w:t>
            </w:r>
          </w:p>
          <w:p w14:paraId="276EDBB6">
            <w:pPr>
              <w:pStyle w:val="11"/>
              <w:widowControl/>
              <w:numPr>
                <w:ilvl w:val="0"/>
                <w:numId w:val="6"/>
              </w:numPr>
              <w:spacing w:after="75"/>
              <w:ind w:firstLineChars="0"/>
              <w:jc w:val="left"/>
              <w:rPr>
                <w:rFonts w:hint="default" w:ascii="Times New Roman" w:hAnsi="Times New Roman" w:eastAsia="宋体" w:cs="Times New Roman"/>
                <w:color w:val="545454"/>
                <w:kern w:val="0"/>
                <w:sz w:val="22"/>
                <w:szCs w:val="22"/>
              </w:rPr>
            </w:pPr>
            <w:r>
              <w:rPr>
                <w:rFonts w:hint="default" w:ascii="Times New Roman" w:hAnsi="Times New Roman" w:eastAsia="宋体" w:cs="Times New Roman"/>
                <w:color w:val="545454"/>
                <w:kern w:val="0"/>
                <w:sz w:val="22"/>
                <w:szCs w:val="22"/>
              </w:rPr>
              <w:t>UW elective (5)</w:t>
            </w:r>
          </w:p>
          <w:p w14:paraId="24605C38">
            <w:pPr>
              <w:pStyle w:val="11"/>
              <w:widowControl/>
              <w:numPr>
                <w:ilvl w:val="0"/>
                <w:numId w:val="6"/>
              </w:numPr>
              <w:spacing w:after="75"/>
              <w:ind w:firstLineChars="0"/>
              <w:jc w:val="left"/>
              <w:rPr>
                <w:rFonts w:hint="default" w:ascii="Times New Roman" w:hAnsi="Times New Roman" w:eastAsia="宋体" w:cs="Times New Roman"/>
                <w:color w:val="3D3D3D"/>
                <w:kern w:val="0"/>
                <w:sz w:val="22"/>
                <w:szCs w:val="22"/>
              </w:rPr>
            </w:pPr>
            <w:r>
              <w:rPr>
                <w:rFonts w:hint="default" w:ascii="Times New Roman" w:hAnsi="Times New Roman" w:eastAsia="宋体" w:cs="Times New Roman"/>
                <w:color w:val="545454"/>
                <w:kern w:val="0"/>
                <w:sz w:val="22"/>
                <w:szCs w:val="22"/>
              </w:rPr>
              <w:t>UW elective (5)</w:t>
            </w:r>
          </w:p>
        </w:tc>
      </w:tr>
    </w:tbl>
    <w:p w14:paraId="00167A13">
      <w:pPr>
        <w:jc w:val="left"/>
        <w:rPr>
          <w:rFonts w:ascii="Arial" w:hAnsi="Arial" w:eastAsia="微软雅黑" w:cs="Arial"/>
          <w:b/>
          <w:bCs/>
          <w:color w:val="2D8FCF"/>
          <w:spacing w:val="6"/>
        </w:rPr>
      </w:pPr>
    </w:p>
    <w:p w14:paraId="001C85F3">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报名截止时间</w:t>
      </w:r>
    </w:p>
    <w:p w14:paraId="10F92063">
      <w:pPr>
        <w:jc w:val="left"/>
        <w:rPr>
          <w:rFonts w:ascii="Arial" w:hAnsi="Arial" w:eastAsia="微软雅黑" w:cs="Arial"/>
          <w:b/>
          <w:bCs/>
          <w:color w:val="2D8FCF"/>
          <w:spacing w:val="6"/>
          <w:sz w:val="40"/>
          <w:szCs w:val="40"/>
          <w:lang w:val="en-US"/>
        </w:rPr>
      </w:pPr>
      <w:r>
        <w:pict>
          <v:rect id="_x0000_s1082" o:spid="_x0000_s1082" o:spt="1" style="position:absolute;left:0pt;margin-left:-0.6pt;margin-top:1.25pt;height:22.7pt;width:188.7pt;z-index:251673600;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1DB7BFD4">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w:t>
                  </w:r>
                  <w:r>
                    <w:rPr>
                      <w:rFonts w:hint="eastAsia" w:ascii="Times New Roman" w:hAnsi="Times New Roman" w:eastAsia="MiSans Medium" w:cs="Times New Roman"/>
                      <w:color w:val="000000" w:themeColor="text1"/>
                      <w:spacing w:val="23"/>
                      <w:sz w:val="24"/>
                    </w:rPr>
                    <w:t>pplication</w:t>
                  </w:r>
                  <w:r>
                    <w:rPr>
                      <w:rFonts w:ascii="Times New Roman" w:hAnsi="Times New Roman" w:eastAsia="MiSans Medium" w:cs="Times New Roman"/>
                      <w:color w:val="000000" w:themeColor="text1"/>
                      <w:spacing w:val="23"/>
                      <w:sz w:val="24"/>
                    </w:rPr>
                    <w:t xml:space="preserve"> Deadline</w:t>
                  </w:r>
                </w:p>
                <w:p w14:paraId="5152F481">
                  <w:pPr>
                    <w:rPr>
                      <w:rFonts w:ascii="Times New Roman" w:hAnsi="Times New Roman" w:cs="Times New Roman"/>
                      <w:color w:val="774B0C"/>
                    </w:rPr>
                  </w:pPr>
                </w:p>
              </w:txbxContent>
            </v:textbox>
          </v:rect>
        </w:pict>
      </w:r>
    </w:p>
    <w:p w14:paraId="77C77E0D">
      <w:pPr>
        <w:spacing w:line="360" w:lineRule="auto"/>
        <w:jc w:val="left"/>
        <w:rPr>
          <w:rFonts w:ascii="Arial Narrow" w:hAnsi="Arial Narrow" w:cs="Calibri"/>
          <w:kern w:val="0"/>
          <w:lang w:val="en-US"/>
          <w14:ligatures w14:val="none"/>
        </w:rPr>
      </w:pPr>
    </w:p>
    <w:p w14:paraId="2635F418">
      <w:pPr>
        <w:pStyle w:val="11"/>
        <w:widowControl/>
        <w:numPr>
          <w:ilvl w:val="0"/>
          <w:numId w:val="0"/>
        </w:numPr>
        <w:spacing w:line="360" w:lineRule="auto"/>
        <w:ind w:leftChars="0"/>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2026年4月15日</w:t>
      </w:r>
    </w:p>
    <w:p w14:paraId="540923CD">
      <w:pPr>
        <w:jc w:val="left"/>
        <w:rPr>
          <w:rFonts w:ascii="Arial" w:hAnsi="Arial" w:eastAsia="微软雅黑" w:cs="Arial"/>
          <w:b/>
          <w:bCs/>
          <w:color w:val="2D8FCF"/>
          <w:spacing w:val="6"/>
          <w:sz w:val="40"/>
          <w:szCs w:val="40"/>
        </w:rPr>
      </w:pPr>
    </w:p>
    <w:p w14:paraId="661623F3">
      <w:pPr>
        <w:jc w:val="left"/>
        <w:rPr>
          <w:rFonts w:hint="eastAsia" w:ascii="Arial" w:hAnsi="Arial" w:eastAsia="微软雅黑" w:cs="Arial"/>
          <w:b/>
          <w:bCs/>
          <w:color w:val="1A4471"/>
          <w:spacing w:val="6"/>
          <w:sz w:val="40"/>
          <w:szCs w:val="40"/>
          <w:lang w:val="en-US"/>
        </w:rPr>
      </w:pPr>
      <w:r>
        <w:rPr>
          <w:rFonts w:hint="eastAsia" w:ascii="Arial" w:hAnsi="Arial" w:eastAsia="微软雅黑" w:cs="Arial"/>
          <w:b/>
          <w:bCs/>
          <w:color w:val="1A4471"/>
          <w:spacing w:val="6"/>
          <w:sz w:val="40"/>
          <w:szCs w:val="40"/>
          <w:lang w:val="en-US"/>
        </w:rPr>
        <w:t>项目流程</w:t>
      </w:r>
    </w:p>
    <w:p w14:paraId="0398CF63">
      <w:pPr>
        <w:jc w:val="left"/>
        <w:rPr>
          <w:rFonts w:ascii="Arial" w:hAnsi="Arial" w:eastAsia="微软雅黑" w:cs="Arial"/>
          <w:b/>
          <w:bCs/>
          <w:color w:val="2D8FCF"/>
          <w:spacing w:val="6"/>
          <w:sz w:val="40"/>
          <w:szCs w:val="40"/>
          <w:lang w:val="en-US"/>
        </w:rPr>
      </w:pPr>
      <w:r>
        <w:pict>
          <v:rect id="_x0000_s1083" o:spid="_x0000_s1083" o:spt="1" style="position:absolute;left:0pt;margin-left:-0.6pt;margin-top:1.25pt;height:22.7pt;width:188.7pt;z-index:251672576;mso-width-relative:page;mso-height-relative:page;" fillcolor="#BFD630" filled="t" stroked="f" coordsize="21600,21600">
            <v:path/>
            <v:fill type="gradient" on="t" color2="#F2F2D4" angle="-90" focus="100%" focussize="0f,0f" focusposition="65536f,0f"/>
            <v:stroke on="f"/>
            <v:imagedata o:title=""/>
            <o:lock v:ext="edit" aspectratio="f"/>
            <v:textbox>
              <w:txbxContent>
                <w:p w14:paraId="29600260">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w:t>
                  </w:r>
                  <w:r>
                    <w:rPr>
                      <w:rFonts w:hint="eastAsia" w:ascii="Times New Roman" w:hAnsi="Times New Roman" w:eastAsia="MiSans Medium" w:cs="Times New Roman"/>
                      <w:color w:val="000000" w:themeColor="text1"/>
                      <w:spacing w:val="23"/>
                      <w:sz w:val="24"/>
                      <w:lang w:val="en-US"/>
                    </w:rPr>
                    <w:t>gram</w:t>
                  </w:r>
                  <w:r>
                    <w:rPr>
                      <w:rFonts w:ascii="Times New Roman" w:hAnsi="Times New Roman" w:eastAsia="MiSans Medium" w:cs="Times New Roman"/>
                      <w:color w:val="000000" w:themeColor="text1"/>
                      <w:spacing w:val="23"/>
                      <w:sz w:val="24"/>
                    </w:rPr>
                    <w:t xml:space="preserve"> Process</w:t>
                  </w:r>
                </w:p>
              </w:txbxContent>
            </v:textbox>
          </v:rect>
        </w:pict>
      </w:r>
    </w:p>
    <w:p w14:paraId="20D09789">
      <w:pPr>
        <w:pStyle w:val="11"/>
        <w:widowControl/>
        <w:spacing w:line="160" w:lineRule="exact"/>
        <w:ind w:firstLine="0" w:firstLineChars="0"/>
        <w:jc w:val="left"/>
        <w:rPr>
          <w:rFonts w:ascii="Arial Narrow" w:hAnsi="Calibri" w:cs="Calibri"/>
          <w:kern w:val="0"/>
          <w:sz w:val="22"/>
          <w:szCs w:val="21"/>
          <w14:ligatures w14:val="standardContextual"/>
        </w:rPr>
      </w:pPr>
    </w:p>
    <w:p w14:paraId="49A2D8D0">
      <w:pPr>
        <w:jc w:val="left"/>
        <w:rPr>
          <w:rFonts w:ascii="Arial" w:hAnsi="Arial" w:eastAsia="微软雅黑" w:cs="Arial"/>
          <w:b/>
          <w:bCs/>
          <w:color w:val="2D8FCF"/>
          <w:spacing w:val="6"/>
        </w:rPr>
      </w:pPr>
    </w:p>
    <w:p w14:paraId="5F395D53">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学生本人提出申请</w:t>
      </w:r>
    </w:p>
    <w:p w14:paraId="342497C7">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学生缴纳项目管理费，提交正式申请材料等待海外大学审核</w:t>
      </w:r>
    </w:p>
    <w:p w14:paraId="0182DEA4">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海外大学审核通过后获得录取资格</w:t>
      </w:r>
    </w:p>
    <w:p w14:paraId="6482E06A">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在学校国际处</w:t>
      </w:r>
      <w:r>
        <w:rPr>
          <w:rFonts w:hint="eastAsia" w:ascii="Arial Narrow" w:hAnsi="Calibri" w:cs="Calibri"/>
          <w:kern w:val="0"/>
          <w:sz w:val="22"/>
          <w:szCs w:val="21"/>
          <w:lang w:val="en-US" w:eastAsia="zh-CN"/>
        </w:rPr>
        <w:t>申请报备</w:t>
      </w:r>
    </w:p>
    <w:p w14:paraId="76DAD466">
      <w:pPr>
        <w:pStyle w:val="11"/>
        <w:widowControl/>
        <w:numPr>
          <w:ilvl w:val="0"/>
          <w:numId w:val="3"/>
        </w:numPr>
        <w:spacing w:line="360" w:lineRule="auto"/>
        <w:ind w:firstLineChars="0"/>
        <w:jc w:val="left"/>
        <w:rPr>
          <w:rFonts w:ascii="Arial Narrow" w:hAnsi="Calibri" w:cs="Calibri"/>
          <w:kern w:val="0"/>
          <w:sz w:val="22"/>
          <w:szCs w:val="21"/>
          <w:lang w:val="en-GB"/>
        </w:rPr>
      </w:pPr>
      <w:bookmarkStart w:id="2" w:name="_Hlk175916843"/>
      <w:r>
        <w:rPr>
          <w:rFonts w:hint="eastAsia" w:ascii="Arial Narrow" w:hAnsi="Calibri" w:cs="Calibri"/>
          <w:kern w:val="0"/>
          <w:sz w:val="22"/>
          <w:szCs w:val="21"/>
          <w:lang w:val="en-GB"/>
        </w:rPr>
        <w:t>准备签证申请</w:t>
      </w:r>
    </w:p>
    <w:p w14:paraId="234134E5">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召开行前说明会</w:t>
      </w:r>
    </w:p>
    <w:p w14:paraId="64FDDD98">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缴纳海外大学学费、住宿</w:t>
      </w:r>
      <w:r>
        <w:rPr>
          <w:rFonts w:hint="eastAsia" w:ascii="Arial Narrow" w:hAnsi="Calibri" w:cs="Calibri"/>
          <w:kern w:val="0"/>
          <w:sz w:val="22"/>
          <w:szCs w:val="21"/>
          <w:lang w:val="en-US" w:eastAsia="zh-CN"/>
        </w:rPr>
        <w:t>费</w:t>
      </w:r>
      <w:r>
        <w:rPr>
          <w:rFonts w:hint="eastAsia" w:ascii="Arial Narrow" w:hAnsi="Calibri" w:cs="Calibri"/>
          <w:kern w:val="0"/>
          <w:sz w:val="22"/>
          <w:szCs w:val="21"/>
          <w:lang w:val="en-GB"/>
        </w:rPr>
        <w:t>等相关费用</w:t>
      </w:r>
    </w:p>
    <w:p w14:paraId="1D659340">
      <w:pPr>
        <w:pStyle w:val="11"/>
        <w:widowControl/>
        <w:numPr>
          <w:ilvl w:val="0"/>
          <w:numId w:val="3"/>
        </w:numPr>
        <w:spacing w:line="360" w:lineRule="auto"/>
        <w:ind w:firstLineChars="0"/>
        <w:jc w:val="left"/>
        <w:rPr>
          <w:rFonts w:ascii="Arial Narrow" w:hAnsi="Calibri" w:cs="Calibri"/>
          <w:kern w:val="0"/>
          <w:sz w:val="22"/>
          <w:szCs w:val="21"/>
          <w:lang w:val="en-GB"/>
        </w:rPr>
      </w:pPr>
      <w:r>
        <w:rPr>
          <w:rFonts w:hint="eastAsia" w:ascii="Arial Narrow" w:hAnsi="Calibri" w:cs="Calibri"/>
          <w:kern w:val="0"/>
          <w:sz w:val="22"/>
          <w:szCs w:val="21"/>
          <w:lang w:val="en-GB"/>
        </w:rPr>
        <w:t>赴海外学习</w:t>
      </w:r>
    </w:p>
    <w:bookmarkEnd w:id="2"/>
    <w:p w14:paraId="3FD8DA31">
      <w:pPr>
        <w:jc w:val="left"/>
        <w:rPr>
          <w:rFonts w:ascii="Arial" w:hAnsi="Arial" w:eastAsia="微软雅黑" w:cs="Arial"/>
          <w:b/>
          <w:bCs/>
          <w:color w:val="2D8FCF"/>
          <w:spacing w:val="6"/>
        </w:rPr>
      </w:pPr>
    </w:p>
    <w:p w14:paraId="3158CCA0">
      <w:pPr>
        <w:jc w:val="left"/>
        <w:rPr>
          <w:rFonts w:ascii="Arial" w:hAnsi="Arial" w:eastAsia="微软雅黑" w:cs="Arial"/>
          <w:b/>
          <w:bCs/>
          <w:color w:val="2D8FCF"/>
          <w:spacing w:val="6"/>
          <w:sz w:val="40"/>
          <w:szCs w:val="40"/>
        </w:rPr>
      </w:pPr>
      <w:r>
        <w:rPr>
          <w:color w:val="1A4450"/>
        </w:rPr>
        <w:pict>
          <v:rect id="矩形 43" o:spid="_x0000_s108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79F87F54">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韩老师：13260001548（微信同步）</w:t>
      </w:r>
    </w:p>
    <w:p w14:paraId="085FA125">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2E6BF137">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2E2AB8BD">
      <w:pPr>
        <w:spacing w:line="360" w:lineRule="auto"/>
        <w:jc w:val="left"/>
        <w:rPr>
          <w:rFonts w:ascii="Arial Narrow" w:hAnsi="Arial Narrow" w:cs="Arial"/>
          <w:spacing w:val="6"/>
          <w:lang w:val="en-US"/>
        </w:rPr>
      </w:pPr>
      <w:r>
        <w:rPr>
          <w:rFonts w:hint="eastAsia" w:ascii="Times New Roman" w:hAnsi="Times New Roman" w:eastAsia="宋体" w:cs="Calibri"/>
          <w:kern w:val="0"/>
          <w:sz w:val="22"/>
          <w:szCs w:val="21"/>
          <w:lang w:val="en-US" w:eastAsia="zh-CN" w:bidi="ar-SA"/>
          <w14:ligatures w14:val="standardContextual"/>
        </w:rPr>
        <w:t xml:space="preserve"> </w:t>
      </w:r>
      <w:r>
        <w:rPr>
          <w:rFonts w:hint="eastAsia"/>
        </w:rPr>
        <w:drawing>
          <wp:inline distT="0" distB="0" distL="0" distR="0">
            <wp:extent cx="1439545" cy="1471930"/>
            <wp:effectExtent l="0" t="0" r="8255" b="13970"/>
            <wp:docPr id="2093250073" name="图片 2093250073" descr="C:/Users/Sep17/Desktop/工作/照片/淇微信.jpg淇微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Sep17/Desktop/工作/照片/淇微信.jpg淇微信"/>
                    <pic:cNvPicPr>
                      <a:picLocks noChangeAspect="1"/>
                    </pic:cNvPicPr>
                  </pic:nvPicPr>
                  <pic:blipFill>
                    <a:blip r:embed="rId7"/>
                    <a:srcRect l="1122" r="1122"/>
                    <a:stretch>
                      <a:fillRect/>
                    </a:stretch>
                  </pic:blipFill>
                  <pic:spPr>
                    <a:xfrm>
                      <a:off x="0" y="0"/>
                      <a:ext cx="1440000" cy="1471930"/>
                    </a:xfrm>
                    <a:prstGeom prst="rect">
                      <a:avLst/>
                    </a:prstGeom>
                  </pic:spPr>
                </pic:pic>
              </a:graphicData>
            </a:graphic>
          </wp:inline>
        </w:drawing>
      </w:r>
      <w:r>
        <w:rPr>
          <w:rFonts w:hint="eastAsia"/>
          <w:lang w:val="en-US" w:eastAsia="zh-CN"/>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8"/>
                    <a:srcRect l="5846" t="5929" r="5390" b="5307"/>
                    <a:stretch>
                      <a:fillRect/>
                    </a:stretch>
                  </pic:blipFill>
                  <pic:spPr>
                    <a:xfrm>
                      <a:off x="0" y="0"/>
                      <a:ext cx="1452880" cy="1452880"/>
                    </a:xfrm>
                    <a:prstGeom prst="rect">
                      <a:avLst/>
                    </a:prstGeom>
                  </pic:spPr>
                </pic:pic>
              </a:graphicData>
            </a:graphic>
          </wp:inline>
        </w:drawing>
      </w:r>
    </w:p>
    <w:p w14:paraId="12F188E7">
      <w:pPr>
        <w:spacing w:line="360" w:lineRule="auto"/>
        <w:jc w:val="left"/>
        <w:rPr>
          <w:rFonts w:ascii="Arial Narrow" w:hAnsi="Arial Narrow" w:cs="Arial"/>
          <w:spacing w:val="6"/>
          <w:lang w:val="en-US"/>
        </w:rPr>
      </w:pPr>
    </w:p>
    <w:p w14:paraId="01EC5AD9">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8DC9F2A-3868-40EF-92EB-A49EB1343F9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5973C20-CC84-4332-9038-C3357511D6E1}"/>
  </w:font>
  <w:font w:name="等线">
    <w:panose1 w:val="02010600030101010101"/>
    <w:charset w:val="86"/>
    <w:family w:val="auto"/>
    <w:pitch w:val="default"/>
    <w:sig w:usb0="A00002BF" w:usb1="38CF7CFA" w:usb2="00000016" w:usb3="00000000" w:csb0="0004000F" w:csb1="00000000"/>
    <w:embedRegular r:id="rId3" w:fontKey="{7E92EA3D-3E79-49F7-B3E8-3DB73518E7CF}"/>
  </w:font>
  <w:font w:name="方正公文小标宋">
    <w:panose1 w:val="02000500000000000000"/>
    <w:charset w:val="86"/>
    <w:family w:val="auto"/>
    <w:pitch w:val="default"/>
    <w:sig w:usb0="A00002BF" w:usb1="38CF7CFA" w:usb2="00000016" w:usb3="00000000" w:csb0="00040001" w:csb1="00000000"/>
    <w:embedRegular r:id="rId4" w:fontKey="{E3ACD4C2-B092-431B-9F62-73F1AADB6399}"/>
  </w:font>
  <w:font w:name="微软雅黑">
    <w:panose1 w:val="020B0503020204020204"/>
    <w:charset w:val="86"/>
    <w:family w:val="swiss"/>
    <w:pitch w:val="default"/>
    <w:sig w:usb0="80000287" w:usb1="2ACF3C50" w:usb2="00000016" w:usb3="00000000" w:csb0="0004001F" w:csb1="00000000"/>
    <w:embedRegular r:id="rId5" w:fontKey="{FC9EB122-8D68-48BD-BFC6-C299BCCD29C5}"/>
  </w:font>
  <w:font w:name="MiSans Medium">
    <w:panose1 w:val="00000600000000000000"/>
    <w:charset w:val="86"/>
    <w:family w:val="auto"/>
    <w:pitch w:val="default"/>
    <w:sig w:usb0="00000001" w:usb1="0A0F1810" w:usb2="00000016" w:usb3="00000000" w:csb0="00040001" w:csb1="00000000"/>
    <w:embedRegular r:id="rId6" w:fontKey="{4C782527-29A1-427B-A901-FB730052665E}"/>
  </w:font>
  <w:font w:name="Arial Narrow">
    <w:panose1 w:val="020B0606020202030204"/>
    <w:charset w:val="00"/>
    <w:family w:val="swiss"/>
    <w:pitch w:val="default"/>
    <w:sig w:usb0="00000287" w:usb1="00000800" w:usb2="00000000" w:usb3="00000000" w:csb0="2000009F" w:csb1="DFD70000"/>
    <w:embedRegular r:id="rId7" w:fontKey="{D7D7C604-3408-4BF8-B5F9-5B2B5B140EF8}"/>
  </w:font>
  <w:font w:name="Times New Roman Bold">
    <w:altName w:val="Times New Roman"/>
    <w:panose1 w:val="02020503050405090304"/>
    <w:charset w:val="00"/>
    <w:family w:val="auto"/>
    <w:pitch w:val="default"/>
    <w:sig w:usb0="00000000" w:usb1="00000000" w:usb2="00000001" w:usb3="00000000" w:csb0="400001BF" w:csb1="DFF70000"/>
    <w:embedRegular r:id="rId8" w:fontKey="{930E0708-C995-42B9-966B-17E6430DA4F3}"/>
  </w:font>
  <w:font w:name="WPSEMBED2">
    <w:panose1 w:val="020B0606020202030204"/>
    <w:charset w:val="00"/>
    <w:family w:val="auto"/>
    <w:pitch w:val="default"/>
    <w:sig w:usb0="00000287" w:usb1="00000800" w:usb2="00000000" w:usb3="00000000" w:csb0="2000009F" w:csb1="DFD70000"/>
  </w:font>
  <w:font w:name="WPSEMBED1">
    <w:panose1 w:val="00000600000000000000"/>
    <w:charset w:val="86"/>
    <w:family w:val="auto"/>
    <w:pitch w:val="default"/>
    <w:sig w:usb0="00000001" w:usb1="0A0F181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59AF0"/>
    <w:multiLevelType w:val="singleLevel"/>
    <w:tmpl w:val="B3959AF0"/>
    <w:lvl w:ilvl="0" w:tentative="0">
      <w:start w:val="1"/>
      <w:numFmt w:val="bullet"/>
      <w:lvlText w:val=""/>
      <w:lvlJc w:val="left"/>
      <w:pPr>
        <w:ind w:left="420" w:hanging="420"/>
      </w:pPr>
      <w:rPr>
        <w:rFonts w:hint="default" w:ascii="Wingdings" w:hAnsi="Wingdings"/>
        <w:sz w:val="18"/>
        <w:szCs w:val="18"/>
      </w:rPr>
    </w:lvl>
  </w:abstractNum>
  <w:abstractNum w:abstractNumId="1">
    <w:nsid w:val="017E7A02"/>
    <w:multiLevelType w:val="multilevel"/>
    <w:tmpl w:val="017E7A0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E1347B"/>
    <w:multiLevelType w:val="multilevel"/>
    <w:tmpl w:val="5AE1347B"/>
    <w:lvl w:ilvl="0" w:tentative="0">
      <w:start w:val="1"/>
      <w:numFmt w:val="bullet"/>
      <w:lvlText w:val=""/>
      <w:lvlJc w:val="left"/>
      <w:pPr>
        <w:ind w:left="840" w:hanging="420"/>
      </w:pPr>
      <w:rPr>
        <w:rFonts w:hint="default" w:ascii="Wingdings" w:hAnsi="Wingdings"/>
        <w:sz w:val="18"/>
        <w:szCs w:val="18"/>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71245D1"/>
    <w:multiLevelType w:val="multilevel"/>
    <w:tmpl w:val="771245D1"/>
    <w:lvl w:ilvl="0" w:tentative="0">
      <w:start w:val="1"/>
      <w:numFmt w:val="bullet"/>
      <w:lvlText w:val=""/>
      <w:lvlJc w:val="left"/>
      <w:pPr>
        <w:ind w:left="420" w:hanging="420"/>
      </w:pPr>
      <w:rPr>
        <w:rFonts w:hint="default" w:ascii="Wingdings" w:hAnsi="Wingdings"/>
        <w:sz w:val="18"/>
        <w:szCs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3680F76"/>
    <w:rsid w:val="03703AE3"/>
    <w:rsid w:val="05623468"/>
    <w:rsid w:val="07FB167D"/>
    <w:rsid w:val="090812A4"/>
    <w:rsid w:val="09CF2ED2"/>
    <w:rsid w:val="0A6F5E4D"/>
    <w:rsid w:val="0A7E6359"/>
    <w:rsid w:val="0A9D14CD"/>
    <w:rsid w:val="0AD971D1"/>
    <w:rsid w:val="0B5B68EE"/>
    <w:rsid w:val="0B79432C"/>
    <w:rsid w:val="0B9A4273"/>
    <w:rsid w:val="0C4A769D"/>
    <w:rsid w:val="0D8E27E0"/>
    <w:rsid w:val="1230601B"/>
    <w:rsid w:val="136B08A8"/>
    <w:rsid w:val="13824B5B"/>
    <w:rsid w:val="155062F9"/>
    <w:rsid w:val="15CE063D"/>
    <w:rsid w:val="161F618A"/>
    <w:rsid w:val="17C873DF"/>
    <w:rsid w:val="1B0B373B"/>
    <w:rsid w:val="1B216B68"/>
    <w:rsid w:val="1C7802AD"/>
    <w:rsid w:val="1DE21906"/>
    <w:rsid w:val="1EA21500"/>
    <w:rsid w:val="1F0F4FED"/>
    <w:rsid w:val="1F901016"/>
    <w:rsid w:val="20790B8D"/>
    <w:rsid w:val="23850595"/>
    <w:rsid w:val="23955730"/>
    <w:rsid w:val="23F42A3B"/>
    <w:rsid w:val="24C4455F"/>
    <w:rsid w:val="27D23FFF"/>
    <w:rsid w:val="294A2A46"/>
    <w:rsid w:val="29AE3D0A"/>
    <w:rsid w:val="29E42C0D"/>
    <w:rsid w:val="2A5F688F"/>
    <w:rsid w:val="2C900B3C"/>
    <w:rsid w:val="2CA36F2D"/>
    <w:rsid w:val="2D093B0B"/>
    <w:rsid w:val="2D195C55"/>
    <w:rsid w:val="2F6A1E60"/>
    <w:rsid w:val="300F3BCD"/>
    <w:rsid w:val="31E7004C"/>
    <w:rsid w:val="32A4272B"/>
    <w:rsid w:val="35F24B94"/>
    <w:rsid w:val="3960797D"/>
    <w:rsid w:val="3A2A25B3"/>
    <w:rsid w:val="3AD201EB"/>
    <w:rsid w:val="3E063608"/>
    <w:rsid w:val="40A354D7"/>
    <w:rsid w:val="419A2967"/>
    <w:rsid w:val="43DD7852"/>
    <w:rsid w:val="45EA0E77"/>
    <w:rsid w:val="45FD55EE"/>
    <w:rsid w:val="46301ED1"/>
    <w:rsid w:val="463445BE"/>
    <w:rsid w:val="46431172"/>
    <w:rsid w:val="47891ABA"/>
    <w:rsid w:val="494E5765"/>
    <w:rsid w:val="49892857"/>
    <w:rsid w:val="4A0D6FBD"/>
    <w:rsid w:val="4BAD461A"/>
    <w:rsid w:val="4CAC5368"/>
    <w:rsid w:val="4D072152"/>
    <w:rsid w:val="4D8F5229"/>
    <w:rsid w:val="4DB45778"/>
    <w:rsid w:val="4F12572E"/>
    <w:rsid w:val="50B03480"/>
    <w:rsid w:val="51280CB3"/>
    <w:rsid w:val="531D4FA4"/>
    <w:rsid w:val="556D20DC"/>
    <w:rsid w:val="56B20006"/>
    <w:rsid w:val="57044E2F"/>
    <w:rsid w:val="5CAB73AC"/>
    <w:rsid w:val="5CED5F56"/>
    <w:rsid w:val="5E2C608F"/>
    <w:rsid w:val="601F7C49"/>
    <w:rsid w:val="61A57F41"/>
    <w:rsid w:val="638B442C"/>
    <w:rsid w:val="65B91702"/>
    <w:rsid w:val="663366B5"/>
    <w:rsid w:val="6A532292"/>
    <w:rsid w:val="6A9A5538"/>
    <w:rsid w:val="6AA24C54"/>
    <w:rsid w:val="6C3473F3"/>
    <w:rsid w:val="6CA403CC"/>
    <w:rsid w:val="6D1944BE"/>
    <w:rsid w:val="71DD295D"/>
    <w:rsid w:val="790576B4"/>
    <w:rsid w:val="7A9A2C57"/>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pPr>
  </w:style>
  <w:style w:type="paragraph" w:styleId="3">
    <w:name w:val="header"/>
    <w:basedOn w:val="1"/>
    <w:link w:val="9"/>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99"/>
    <w:rPr>
      <w:rFonts w:cs="Times New Roman"/>
      <w:color w:val="0068B7"/>
      <w:u w:val="none"/>
    </w:rPr>
  </w:style>
  <w:style w:type="character" w:customStyle="1" w:styleId="9">
    <w:name w:val="页眉 字符"/>
    <w:basedOn w:val="7"/>
    <w:link w:val="3"/>
    <w:qFormat/>
    <w:uiPriority w:val="99"/>
  </w:style>
  <w:style w:type="character" w:customStyle="1" w:styleId="10">
    <w:name w:val="页脚 字符"/>
    <w:basedOn w:val="7"/>
    <w:link w:val="2"/>
    <w:qFormat/>
    <w:uiPriority w:val="99"/>
  </w:style>
  <w:style w:type="paragraph" w:styleId="11">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2">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3">
    <w:name w:val="Other|1_"/>
    <w:basedOn w:val="7"/>
    <w:link w:val="14"/>
    <w:qFormat/>
    <w:uiPriority w:val="0"/>
    <w:rPr>
      <w:sz w:val="26"/>
      <w:szCs w:val="26"/>
    </w:rPr>
  </w:style>
  <w:style w:type="paragraph" w:customStyle="1" w:styleId="14">
    <w:name w:val="Other|1"/>
    <w:basedOn w:val="1"/>
    <w:link w:val="13"/>
    <w:qFormat/>
    <w:uiPriority w:val="0"/>
    <w:pPr>
      <w:widowControl w:val="0"/>
      <w:jc w:val="center"/>
    </w:pPr>
    <w:rPr>
      <w:sz w:val="26"/>
      <w:szCs w:val="26"/>
    </w:r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1"/>
    <customShpInfo spid="_x0000_s1045"/>
    <customShpInfo spid="_x0000_s1036"/>
    <customShpInfo spid="_x0000_s1035"/>
    <customShpInfo spid="_x0000_s1046"/>
    <customShpInfo spid="_x0000_s1076"/>
    <customShpInfo spid="_x0000_s1077"/>
    <customShpInfo spid="_x0000_s1078"/>
    <customShpInfo spid="_x0000_s1079"/>
    <customShpInfo spid="_x0000_s1080"/>
    <customShpInfo spid="_x0000_s1081"/>
    <customShpInfo spid="_x0000_s1082"/>
    <customShpInfo spid="_x0000_s1083"/>
    <customShpInfo spid="_x0000_s108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1819</Words>
  <Characters>2830</Characters>
  <Lines>27</Lines>
  <Paragraphs>7</Paragraphs>
  <TotalTime>1</TotalTime>
  <ScaleCrop>false</ScaleCrop>
  <LinksUpToDate>false</LinksUpToDate>
  <CharactersWithSpaces>2967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十年前菇凉</cp:lastModifiedBy>
  <cp:lastPrinted>2023-08-28T17:43:00Z</cp:lastPrinted>
  <dcterms:modified xsi:type="dcterms:W3CDTF">2026-03-17T08:07:53Z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636B8D555A5C4C0D8C3F120BFD896F6B_12</vt:lpwstr>
  </property>
  <property fmtid="{D5CDD505-2E9C-101B-9397-08002B2CF9AE}" pid="4" name="KSOTemplateDocerSaveRecord">
    <vt:lpwstr>eyJoZGlkIjoiODAxYTAxYTM0YzdkZGEzYmNhNDgyODM1ZTkzMjY4OTEiLCJ1c2VySWQiOiI3NTA0ODkyNDkifQ==</vt:lpwstr>
  </property>
</Properties>
</file>