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217" w:afterAutospacing="0" w:line="360" w:lineRule="auto"/>
        <w:jc w:val="center"/>
        <w:rPr>
          <w:rFonts w:hint="eastAsia" w:ascii="仿宋" w:hAnsi="仿宋" w:eastAsia="仿宋" w:cs="仿宋"/>
          <w:b/>
          <w:bCs/>
          <w:color w:val="auto"/>
          <w:spacing w:val="7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pacing w:val="7"/>
          <w:sz w:val="40"/>
          <w:szCs w:val="40"/>
          <w:lang w:eastAsia="zh-CN"/>
        </w:rPr>
        <w:t>用人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pacing w:val="7"/>
          <w:sz w:val="40"/>
          <w:szCs w:val="40"/>
          <w:lang w:eastAsia="zh-CN"/>
        </w:rPr>
        <w:t>单位用工</w:t>
      </w:r>
      <w:r>
        <w:rPr>
          <w:rFonts w:hint="eastAsia" w:ascii="仿宋" w:hAnsi="仿宋" w:eastAsia="仿宋" w:cs="仿宋"/>
          <w:b/>
          <w:bCs/>
          <w:color w:val="auto"/>
          <w:spacing w:val="7"/>
          <w:sz w:val="40"/>
          <w:szCs w:val="40"/>
        </w:rPr>
        <w:t>注意事项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  <w:t>关于入职新签：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已建立劳动关系，未同时订立书面劳动合同的，应当自用工之日起一个月内订立书面劳动合同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用工单位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自用工之日起超过一个月不满一年未与劳动者订立书面劳动合同的，应当向劳动者每月支付二倍的工资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eastAsia="zh-CN"/>
        </w:rPr>
        <w:t>关于续签或终止：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08" w:firstLineChars="200"/>
        <w:textAlignment w:val="auto"/>
        <w:rPr>
          <w:rFonts w:hint="eastAsia" w:ascii="仿宋" w:hAnsi="仿宋" w:eastAsia="仿宋" w:cs="仿宋"/>
          <w:color w:val="auto"/>
          <w:spacing w:val="7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劳动者劳动合同到期前一个月，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  <w:t>用工单位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应就劳动合同续签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终止做出决策，如是续签，应在劳动合同期满前完成签订工作；如是终止，应在合同期满1个月前告知劳动者合同到期终止，不再续签。否则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  <w:t>用工单位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将承担法律风险和经济损失的后果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  <w:t>，依据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《劳动合同法》相关条款。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auto"/>
          <w:spacing w:val="7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  <w:t>关于离职停保：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color w:val="auto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 xml:space="preserve">    自2021年9月起，不再办理社保及公积金退费，若用工单位有离职员工，需停缴次月社保的，请务必于当月25日前将辞职信发至我司，否则产生的次月社保公积金等相关费用由用工单位自行承担。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lang w:eastAsia="zh-CN"/>
        </w:rPr>
        <w:t>关于工伤：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劳务派遣员工中，一旦有人发生工伤，请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shd w:val="clear" w:color="auto" w:fill="FFFFFF"/>
          <w:lang w:eastAsia="zh-CN"/>
        </w:rPr>
        <w:t>三日内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shd w:val="clear" w:color="auto" w:fill="FFFFFF"/>
        </w:rPr>
        <w:t>告知我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shd w:val="clear" w:color="auto" w:fill="FFFFFF"/>
          <w:lang w:eastAsia="zh-CN"/>
        </w:rPr>
        <w:t>司做工伤备案，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并在20日内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工伤发生的经过及诊断治疗材料，以书面形式提供给我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司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，以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我司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在30日内把完整材料送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工伤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部门做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工伤认定。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highlight w:val="none"/>
          <w:shd w:val="clear" w:color="auto" w:fill="FFFFFF"/>
        </w:rPr>
        <w:t>超过30日，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highlight w:val="none"/>
        </w:rPr>
        <w:t>不能享受工伤保险待遇，所产生的费用由用工单位承担。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pacing w:val="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2、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工伤人员应当在签订服务协议的医疗机构就医, 治疗工伤所需费用符合工伤保险诊疗项目目录、工伤保险药品目录、工伤保险住院服务标准的，从工伤保险基金支付。否则，工伤人员的诊疗费用工伤保险基金不予支付，其所产生的费用由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用工单位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或工伤人员自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承担。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工伤保险诊疗项目目录、工伤保险药品目录、工伤保险住院服务标准，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由国务院社会保险行政部门会同国务院卫生行政部门、食品药品监督管理部门等部门规定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，依据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《工伤保险条例》相关条款。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right"/>
        <w:textAlignment w:val="auto"/>
        <w:rPr>
          <w:rFonts w:hint="eastAsia" w:ascii="仿宋" w:hAnsi="仿宋" w:eastAsia="仿宋" w:cs="仿宋"/>
          <w:b/>
          <w:color w:val="auto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南京新翔人才服务有限公司                              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661" w:right="1420" w:bottom="417" w:left="1446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="宋体"/>
        <w:i/>
        <w:iCs/>
        <w:color w:val="808080" w:themeColor="text1" w:themeTint="80"/>
        <w:sz w:val="22"/>
        <w:szCs w:val="22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eastAsia="宋体"/>
        <w:lang w:eastAsia="zh-CN"/>
      </w:rPr>
      <w:drawing>
        <wp:inline distT="0" distB="0" distL="114300" distR="114300">
          <wp:extent cx="426085" cy="385445"/>
          <wp:effectExtent l="0" t="0" r="635" b="10795"/>
          <wp:docPr id="1" name="图片 1" descr="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08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DA43"/>
    <w:multiLevelType w:val="singleLevel"/>
    <w:tmpl w:val="2635DA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050D6"/>
    <w:rsid w:val="000B7D8C"/>
    <w:rsid w:val="000C0ACE"/>
    <w:rsid w:val="000E3CC4"/>
    <w:rsid w:val="00131209"/>
    <w:rsid w:val="00177435"/>
    <w:rsid w:val="002810F7"/>
    <w:rsid w:val="003442DE"/>
    <w:rsid w:val="003D34F9"/>
    <w:rsid w:val="0040627A"/>
    <w:rsid w:val="00452ED8"/>
    <w:rsid w:val="004A0CAD"/>
    <w:rsid w:val="007C448A"/>
    <w:rsid w:val="00876F61"/>
    <w:rsid w:val="00912089"/>
    <w:rsid w:val="0096072C"/>
    <w:rsid w:val="00982102"/>
    <w:rsid w:val="00B36FED"/>
    <w:rsid w:val="00B43DA3"/>
    <w:rsid w:val="00B82419"/>
    <w:rsid w:val="00C61D72"/>
    <w:rsid w:val="00C72A48"/>
    <w:rsid w:val="00CF5C7B"/>
    <w:rsid w:val="00DA08FC"/>
    <w:rsid w:val="00DC3857"/>
    <w:rsid w:val="00F410AF"/>
    <w:rsid w:val="00FF5AA8"/>
    <w:rsid w:val="06375C5B"/>
    <w:rsid w:val="06D7186C"/>
    <w:rsid w:val="0CB26074"/>
    <w:rsid w:val="0E881012"/>
    <w:rsid w:val="109843AB"/>
    <w:rsid w:val="10CF5728"/>
    <w:rsid w:val="122C3807"/>
    <w:rsid w:val="17060F89"/>
    <w:rsid w:val="199E36B2"/>
    <w:rsid w:val="1A6B5D2A"/>
    <w:rsid w:val="1A8523F0"/>
    <w:rsid w:val="1B260DE4"/>
    <w:rsid w:val="1C34196C"/>
    <w:rsid w:val="1CC96101"/>
    <w:rsid w:val="1E666AB9"/>
    <w:rsid w:val="1F7625EC"/>
    <w:rsid w:val="1FCD5283"/>
    <w:rsid w:val="212166D7"/>
    <w:rsid w:val="24210B30"/>
    <w:rsid w:val="2499417D"/>
    <w:rsid w:val="270227B6"/>
    <w:rsid w:val="27421771"/>
    <w:rsid w:val="30563CC1"/>
    <w:rsid w:val="339017A7"/>
    <w:rsid w:val="37967D01"/>
    <w:rsid w:val="39674178"/>
    <w:rsid w:val="3A497615"/>
    <w:rsid w:val="3B1A7046"/>
    <w:rsid w:val="3BA050D6"/>
    <w:rsid w:val="3E64322B"/>
    <w:rsid w:val="3E682365"/>
    <w:rsid w:val="3FAE2E97"/>
    <w:rsid w:val="402667C5"/>
    <w:rsid w:val="408A54A2"/>
    <w:rsid w:val="40E00302"/>
    <w:rsid w:val="412A3890"/>
    <w:rsid w:val="41891146"/>
    <w:rsid w:val="42076006"/>
    <w:rsid w:val="43D6024B"/>
    <w:rsid w:val="45A433FC"/>
    <w:rsid w:val="47621874"/>
    <w:rsid w:val="47EC1F0A"/>
    <w:rsid w:val="48BE0731"/>
    <w:rsid w:val="48C86B31"/>
    <w:rsid w:val="4A9B6A3E"/>
    <w:rsid w:val="4AF87041"/>
    <w:rsid w:val="4D6C755B"/>
    <w:rsid w:val="4DAA536A"/>
    <w:rsid w:val="4DDF6305"/>
    <w:rsid w:val="4F416022"/>
    <w:rsid w:val="4FD17B05"/>
    <w:rsid w:val="5050383F"/>
    <w:rsid w:val="542217A7"/>
    <w:rsid w:val="563068D7"/>
    <w:rsid w:val="56902CDE"/>
    <w:rsid w:val="56EB2BED"/>
    <w:rsid w:val="583762B5"/>
    <w:rsid w:val="584B2B55"/>
    <w:rsid w:val="59C42BC6"/>
    <w:rsid w:val="5AA92444"/>
    <w:rsid w:val="5CA53484"/>
    <w:rsid w:val="5CC45082"/>
    <w:rsid w:val="5D6C78F9"/>
    <w:rsid w:val="5E873F3C"/>
    <w:rsid w:val="5EA13477"/>
    <w:rsid w:val="5EF81B56"/>
    <w:rsid w:val="63B51570"/>
    <w:rsid w:val="69326717"/>
    <w:rsid w:val="6A101332"/>
    <w:rsid w:val="6AC95BCA"/>
    <w:rsid w:val="6CC13104"/>
    <w:rsid w:val="6EB404AB"/>
    <w:rsid w:val="6F2B7BD4"/>
    <w:rsid w:val="727F5C69"/>
    <w:rsid w:val="762A57DA"/>
    <w:rsid w:val="76AC4C6C"/>
    <w:rsid w:val="78EB0B51"/>
    <w:rsid w:val="7B626260"/>
    <w:rsid w:val="7C6C275C"/>
    <w:rsid w:val="7E7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2587</Words>
  <Characters>2598</Characters>
  <Lines>14</Lines>
  <Paragraphs>3</Paragraphs>
  <TotalTime>13</TotalTime>
  <ScaleCrop>false</ScaleCrop>
  <LinksUpToDate>false</LinksUpToDate>
  <CharactersWithSpaces>2757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2020-03-26T04:47:00Z</dcterms:created>
  <dc:creator>小丸子</dc:creator>
  <cp:lastModifiedBy>Wjj</cp:lastModifiedBy>
  <cp:lastPrinted>2020-07-15T01:16:00Z</cp:lastPrinted>
  <dcterms:modified xsi:type="dcterms:W3CDTF">2021-10-13T10:34:43Z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153A0ACE01324B86895AD07136E67064</vt:lpwstr>
  </property>
</Properties>
</file>