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highlight w:val="none"/>
          <w:shd w:val="clear" w:color="auto" w:fill="FFFFFF"/>
        </w:rPr>
      </w:pPr>
      <w:bookmarkStart w:id="0" w:name="OLE_LINK1"/>
      <w:bookmarkStart w:id="1" w:name="OLE_LINK2"/>
      <w:r>
        <w:rPr>
          <w:b/>
          <w:sz w:val="44"/>
          <w:szCs w:val="44"/>
          <w:highlight w:val="none"/>
        </w:rPr>
        <w:t>南京信息工程大学</w:t>
      </w:r>
      <w:bookmarkEnd w:id="0"/>
      <w:bookmarkEnd w:id="1"/>
      <w:r>
        <w:rPr>
          <w:rFonts w:hint="eastAsia" w:ascii="宋体" w:hAnsi="宋体"/>
          <w:b/>
          <w:sz w:val="44"/>
          <w:szCs w:val="44"/>
          <w:highlight w:val="none"/>
          <w:shd w:val="clear" w:color="auto" w:fill="FFFFFF"/>
        </w:rPr>
        <w:t>网络安全监测服务</w:t>
      </w:r>
    </w:p>
    <w:p>
      <w:pPr>
        <w:jc w:val="center"/>
        <w:rPr>
          <w:b/>
          <w:sz w:val="44"/>
          <w:szCs w:val="44"/>
          <w:highlight w:val="none"/>
        </w:rPr>
      </w:pP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8"/>
        <w:ind w:left="1470" w:right="1470"/>
        <w:rPr>
          <w:highlight w:val="none"/>
        </w:rPr>
      </w:pPr>
    </w:p>
    <w:p>
      <w:pPr>
        <w:jc w:val="center"/>
        <w:rPr>
          <w:rFonts w:ascii="宋体" w:hAnsi="宋体" w:cs="仿宋"/>
          <w:sz w:val="28"/>
          <w:szCs w:val="28"/>
          <w:highlight w:val="none"/>
          <w:u w:val="single"/>
        </w:rPr>
      </w:pPr>
      <w:r>
        <w:rPr>
          <w:rFonts w:hint="eastAsia" w:ascii="宋体" w:hAnsi="宋体" w:cs="仿宋"/>
          <w:sz w:val="28"/>
          <w:szCs w:val="28"/>
          <w:highlight w:val="none"/>
          <w:u w:val="single"/>
        </w:rPr>
        <w:t>（招标编号：JZCG-2021-00175）</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21年1</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1</w:t>
      </w:r>
      <w:r>
        <w:rPr>
          <w:rFonts w:hint="eastAsia" w:ascii="宋体" w:hAnsi="宋体" w:cs="仿宋"/>
          <w:sz w:val="28"/>
          <w:szCs w:val="28"/>
          <w:highlight w:val="none"/>
          <w:u w:val="single"/>
        </w:rPr>
        <w:t>5日10：</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信息化建设与管理处</w:t>
      </w:r>
      <w:r>
        <w:rPr>
          <w:rFonts w:ascii="宋体" w:hAnsi="宋体"/>
          <w:sz w:val="28"/>
          <w:szCs w:val="28"/>
          <w:highlight w:val="none"/>
        </w:rPr>
        <w:t>委托，就</w:t>
      </w:r>
      <w:r>
        <w:rPr>
          <w:rFonts w:hint="eastAsia" w:ascii="宋体" w:hAnsi="宋体"/>
          <w:sz w:val="28"/>
          <w:szCs w:val="28"/>
          <w:highlight w:val="none"/>
        </w:rPr>
        <w:t>网络安全监测服务项目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40"/>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40"/>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网络安全监测服务采购项目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4"/>
          <w:b/>
          <w:color w:val="auto"/>
          <w:sz w:val="24"/>
          <w:highlight w:val="none"/>
        </w:rPr>
        <w:t>https://bulletin.nuist.edu.cn/779/lis</w:t>
      </w:r>
      <w:r>
        <w:rPr>
          <w:rStyle w:val="24"/>
          <w:color w:val="auto"/>
          <w:sz w:val="24"/>
          <w:highlight w:val="none"/>
        </w:rPr>
        <w:t>t.htm</w:t>
      </w:r>
      <w:r>
        <w:rPr>
          <w:rStyle w:val="24"/>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8"/>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8"/>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Lines="100"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9.本项目</w:t>
      </w:r>
      <w:r>
        <w:rPr>
          <w:rFonts w:hint="eastAsia" w:ascii="宋体" w:hAnsi="宋体" w:cs="宋体"/>
          <w:bCs/>
          <w:sz w:val="28"/>
          <w:szCs w:val="28"/>
          <w:highlight w:val="none"/>
          <w:u w:val="single"/>
        </w:rPr>
        <w:t>不接受</w:t>
      </w:r>
      <w:r>
        <w:rPr>
          <w:rFonts w:hint="eastAsia" w:ascii="宋体" w:hAnsi="宋体" w:cs="宋体"/>
          <w:bCs/>
          <w:sz w:val="28"/>
          <w:szCs w:val="28"/>
          <w:highlight w:val="none"/>
        </w:rPr>
        <w:t>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六、本项目预算价（最高限价）为：每年不超23万元，总价两年不超46.00万元，本项目只接受人民币报价,投标人按年报价。</w:t>
      </w:r>
    </w:p>
    <w:p>
      <w:pPr>
        <w:spacing w:beforeLines="100" w:afterLines="100" w:line="360" w:lineRule="auto"/>
        <w:ind w:firstLine="548" w:firstLineChars="196"/>
        <w:jc w:val="center"/>
        <w:rPr>
          <w:rFonts w:ascii="黑体" w:hAnsi="黑体" w:eastAsia="黑体" w:cs="宋体"/>
          <w:sz w:val="28"/>
          <w:szCs w:val="28"/>
          <w:highlight w:val="none"/>
        </w:rPr>
      </w:pPr>
      <w:bookmarkStart w:id="4" w:name="_Hlk9866140"/>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仿宋" w:hAnsi="仿宋" w:eastAsia="仿宋" w:cs="仿宋"/>
          <w:b/>
          <w:bCs/>
          <w:i w:val="0"/>
          <w:iCs w:val="0"/>
          <w:caps w:val="0"/>
          <w:color w:val="000000"/>
          <w:spacing w:val="0"/>
          <w:kern w:val="0"/>
          <w:sz w:val="28"/>
          <w:szCs w:val="28"/>
          <w:highlight w:val="none"/>
          <w:lang w:val="en-US" w:eastAsia="zh-CN" w:bidi="ar"/>
        </w:rPr>
        <w:t>JZCG-2021-00175</w:t>
      </w:r>
      <w:r>
        <w:rPr>
          <w:rFonts w:hint="eastAsia" w:ascii="宋体" w:hAnsi="宋体" w:cs="宋体"/>
          <w:b/>
          <w:bCs/>
          <w:sz w:val="28"/>
          <w:szCs w:val="28"/>
          <w:highlight w:val="none"/>
        </w:rPr>
        <w:t>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Lines="100"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个工作日内，中标单位须及时缴纳中标价的10%作为履约保证金并前来我校领取《中标通知书》（一式二份）。</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ind w:firstLine="691" w:firstLineChars="247"/>
        <w:rPr>
          <w:rFonts w:ascii="宋体" w:hAnsi="宋体"/>
          <w:sz w:val="28"/>
          <w:szCs w:val="28"/>
          <w:highlight w:val="none"/>
        </w:rPr>
      </w:pPr>
      <w:r>
        <w:rPr>
          <w:rFonts w:hint="eastAsia" w:ascii="宋体" w:hAnsi="宋体"/>
          <w:sz w:val="28"/>
          <w:szCs w:val="28"/>
          <w:highlight w:val="none"/>
        </w:rPr>
        <w:t>合同签订后按年度考核，合同签订后第二个月进行年初考核，年初考核通过后支付当年服务款项的50%；每年服务结束进行年终考核，年终考核无服务质量问题后付当年服务款项的50%。如果服务期间发生质量问题，校方有权随时终止合同，并根据已完成工作量的60%支付服务款。如造成甲方损失的，乙方应承担赔偿责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bCs w:val="0"/>
          <w:sz w:val="28"/>
          <w:szCs w:val="28"/>
          <w:highlight w:val="none"/>
        </w:rPr>
        <w:t>“</w:t>
      </w:r>
      <w:r>
        <w:rPr>
          <w:rFonts w:hint="eastAsia" w:ascii="仿宋" w:hAnsi="仿宋" w:eastAsia="仿宋" w:cs="仿宋"/>
          <w:b/>
          <w:bCs w:val="0"/>
          <w:i w:val="0"/>
          <w:iCs w:val="0"/>
          <w:caps w:val="0"/>
          <w:color w:val="000000"/>
          <w:spacing w:val="0"/>
          <w:kern w:val="0"/>
          <w:sz w:val="28"/>
          <w:szCs w:val="28"/>
          <w:highlight w:val="none"/>
          <w:lang w:val="en-US" w:eastAsia="zh-CN" w:bidi="ar"/>
        </w:rPr>
        <w:t>JZCG-2021-00175</w:t>
      </w:r>
      <w:r>
        <w:rPr>
          <w:rFonts w:hint="eastAsia" w:ascii="宋体" w:hAnsi="宋体" w:cs="宋体"/>
          <w:b/>
          <w:bCs/>
          <w:sz w:val="28"/>
          <w:szCs w:val="28"/>
          <w:highlight w:val="none"/>
        </w:rPr>
        <w:t>资料费</w:t>
      </w:r>
      <w:r>
        <w:rPr>
          <w:rFonts w:hint="eastAsia" w:ascii="宋体" w:hAnsi="宋体" w:cs="宋体"/>
          <w:b/>
          <w:sz w:val="28"/>
          <w:szCs w:val="28"/>
          <w:highlight w:val="none"/>
        </w:rPr>
        <w:t>”</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履约保证金：一年中标价10%。</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总服务期完成，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Lines="100"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rPr>
        <w:t>1年1</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2日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（1）投标送达方式：</w:t>
      </w:r>
      <w:r>
        <w:rPr>
          <w:rFonts w:hint="eastAsia" w:ascii="宋体" w:hAnsi="宋体"/>
          <w:b/>
          <w:bCs/>
          <w:sz w:val="28"/>
          <w:szCs w:val="28"/>
          <w:highlight w:val="none"/>
          <w:u w:val="single"/>
        </w:rPr>
        <w:t>只接受以邮寄方式送达，并请务必用顺丰快递</w:t>
      </w:r>
      <w:r>
        <w:rPr>
          <w:rFonts w:hint="eastAsia" w:ascii="宋体" w:hAnsi="宋体"/>
          <w:sz w:val="28"/>
          <w:szCs w:val="28"/>
          <w:highlight w:val="none"/>
          <w:u w:val="single"/>
        </w:rPr>
        <w:t>，邮寄材料务必于投标截止时间前送达我校，请各投标单位自行安排邮寄时间，投标截止时间后，招标人不受理任何投标文件。</w:t>
      </w:r>
      <w:r>
        <w:rPr>
          <w:rFonts w:hint="eastAsia" w:ascii="宋体" w:hAnsi="宋体"/>
          <w:b/>
          <w:bCs/>
          <w:sz w:val="28"/>
          <w:szCs w:val="28"/>
          <w:highlight w:val="none"/>
          <w:u w:val="single"/>
        </w:rPr>
        <w:t>（注：由于疫情管理，我单位不接收顺丰同城急送，请各投标单位合理安排时间并自行负责）。（若后期有调整，会将调整信息发送到各投标单位报名邮箱，请各投标单位在投标前密切关注报名邮箱）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cs="宋体"/>
          <w:kern w:val="0"/>
          <w:sz w:val="28"/>
          <w:szCs w:val="28"/>
          <w:highlight w:val="none"/>
          <w:lang w:val="en-US" w:eastAsia="zh-CN"/>
        </w:rPr>
        <w:t>2022年1月5日09：00（北京时间）</w:t>
      </w:r>
      <w:r>
        <w:rPr>
          <w:rFonts w:hint="eastAsia" w:ascii="宋体" w:hAnsi="宋体"/>
          <w:sz w:val="28"/>
          <w:szCs w:val="28"/>
          <w:highlight w:val="none"/>
        </w:rPr>
        <w:t>。</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cs="宋体"/>
          <w:kern w:val="0"/>
          <w:sz w:val="28"/>
          <w:szCs w:val="28"/>
          <w:highlight w:val="none"/>
          <w:lang w:val="en-US" w:eastAsia="zh-CN"/>
        </w:rPr>
        <w:t>2022年1月5日09：00（北京时间）</w:t>
      </w:r>
      <w:r>
        <w:rPr>
          <w:rFonts w:hint="eastAsia" w:ascii="宋体" w:hAnsi="宋体"/>
          <w:sz w:val="28"/>
          <w:szCs w:val="28"/>
          <w:highlight w:val="none"/>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w:t>
      </w:r>
      <w:r>
        <w:rPr>
          <w:rFonts w:hint="eastAsia" w:ascii="宋体" w:hAnsi="宋体" w:cs="宋体"/>
          <w:sz w:val="28"/>
          <w:szCs w:val="28"/>
          <w:highlight w:val="none"/>
        </w:rPr>
        <w:t>位联系电话：15951611039，联系人：管老师。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rPr>
          <w:rStyle w:val="47"/>
          <w:rFonts w:ascii="宋体" w:hAnsi="Times New Roman" w:eastAsia="宋体"/>
          <w:sz w:val="28"/>
          <w:szCs w:val="28"/>
          <w:highlight w:val="none"/>
        </w:rPr>
      </w:pPr>
      <w:r>
        <w:rPr>
          <w:rStyle w:val="47"/>
          <w:rFonts w:ascii="宋体" w:hAnsi="宋体" w:eastAsia="宋体"/>
          <w:sz w:val="28"/>
          <w:szCs w:val="28"/>
          <w:highlight w:val="none"/>
        </w:rPr>
        <w:t>20</w:t>
      </w:r>
      <w:r>
        <w:rPr>
          <w:rStyle w:val="47"/>
          <w:rFonts w:hint="eastAsia" w:ascii="宋体" w:hAnsi="宋体" w:eastAsia="宋体"/>
          <w:sz w:val="28"/>
          <w:szCs w:val="28"/>
          <w:highlight w:val="none"/>
        </w:rPr>
        <w:t>2</w:t>
      </w:r>
      <w:r>
        <w:rPr>
          <w:rStyle w:val="47"/>
          <w:rFonts w:hint="eastAsia" w:ascii="宋体" w:hAnsi="宋体"/>
          <w:sz w:val="28"/>
          <w:szCs w:val="28"/>
          <w:highlight w:val="none"/>
        </w:rPr>
        <w:t>1</w:t>
      </w:r>
      <w:r>
        <w:rPr>
          <w:rStyle w:val="47"/>
          <w:rFonts w:hint="eastAsia" w:ascii="宋体" w:hAnsi="宋体" w:eastAsia="宋体"/>
          <w:sz w:val="28"/>
          <w:szCs w:val="28"/>
          <w:highlight w:val="none"/>
        </w:rPr>
        <w:t>年</w:t>
      </w:r>
      <w:r>
        <w:rPr>
          <w:rStyle w:val="47"/>
          <w:rFonts w:hint="eastAsia" w:ascii="宋体" w:hAnsi="宋体"/>
          <w:sz w:val="28"/>
          <w:szCs w:val="28"/>
          <w:highlight w:val="none"/>
        </w:rPr>
        <w:t>1</w:t>
      </w:r>
      <w:r>
        <w:rPr>
          <w:rStyle w:val="47"/>
          <w:rFonts w:hint="eastAsia" w:ascii="宋体" w:hAnsi="宋体"/>
          <w:sz w:val="28"/>
          <w:szCs w:val="28"/>
          <w:highlight w:val="none"/>
          <w:lang w:val="en-US"/>
        </w:rPr>
        <w:t>2</w:t>
      </w:r>
      <w:r>
        <w:rPr>
          <w:rStyle w:val="47"/>
          <w:rFonts w:hint="eastAsia" w:ascii="宋体" w:hAnsi="宋体" w:eastAsia="宋体"/>
          <w:sz w:val="28"/>
          <w:szCs w:val="28"/>
          <w:highlight w:val="none"/>
        </w:rPr>
        <w:t>月</w:t>
      </w:r>
      <w:r>
        <w:rPr>
          <w:rStyle w:val="47"/>
          <w:rFonts w:hint="eastAsia" w:ascii="宋体" w:hAnsi="宋体"/>
          <w:sz w:val="28"/>
          <w:szCs w:val="28"/>
          <w:highlight w:val="none"/>
          <w:lang w:val="en-US"/>
        </w:rPr>
        <w:t>1</w:t>
      </w:r>
      <w:r>
        <w:rPr>
          <w:rStyle w:val="47"/>
          <w:rFonts w:hint="eastAsia" w:ascii="宋体" w:hAnsi="宋体"/>
          <w:sz w:val="28"/>
          <w:szCs w:val="28"/>
          <w:highlight w:val="none"/>
        </w:rPr>
        <w:t>5</w:t>
      </w:r>
      <w:r>
        <w:rPr>
          <w:rStyle w:val="47"/>
          <w:rFonts w:hint="eastAsia" w:ascii="宋体" w:hAnsi="宋体" w:eastAsia="宋体"/>
          <w:sz w:val="28"/>
          <w:szCs w:val="28"/>
          <w:highlight w:val="none"/>
        </w:rPr>
        <w:t>日</w:t>
      </w:r>
    </w:p>
    <w:bookmarkEnd w:id="8"/>
    <w:p>
      <w:pPr>
        <w:pStyle w:val="10"/>
        <w:adjustRightInd w:val="0"/>
        <w:snapToGrid w:val="0"/>
        <w:spacing w:before="120" w:after="120" w:line="360" w:lineRule="auto"/>
        <w:rPr>
          <w:rStyle w:val="47"/>
          <w:rFonts w:ascii="宋体" w:hAnsi="宋体" w:eastAsia="宋体"/>
          <w:b w:val="0"/>
          <w:sz w:val="28"/>
          <w:szCs w:val="28"/>
          <w:highlight w:val="none"/>
        </w:rPr>
      </w:pPr>
      <w:r>
        <w:rPr>
          <w:rStyle w:val="47"/>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pStyle w:val="40"/>
        <w:numPr>
          <w:ilvl w:val="0"/>
          <w:numId w:val="1"/>
        </w:numPr>
        <w:ind w:firstLineChars="0"/>
        <w:rPr>
          <w:b/>
          <w:sz w:val="28"/>
          <w:szCs w:val="28"/>
          <w:highlight w:val="none"/>
        </w:rPr>
      </w:pPr>
      <w:bookmarkStart w:id="10" w:name="_Toc22578"/>
      <w:r>
        <w:rPr>
          <w:rFonts w:hint="eastAsia"/>
          <w:b/>
          <w:sz w:val="28"/>
          <w:szCs w:val="28"/>
          <w:highlight w:val="none"/>
        </w:rPr>
        <w:t>网络安全服务内容和详细要求</w:t>
      </w:r>
      <w:bookmarkEnd w:id="10"/>
    </w:p>
    <w:p>
      <w:pPr>
        <w:pStyle w:val="9"/>
        <w:ind w:left="0" w:leftChars="0" w:firstLine="280" w:firstLineChars="100"/>
        <w:jc w:val="left"/>
        <w:rPr>
          <w:rFonts w:ascii="宋体" w:hAnsi="宋体" w:cs="宋体"/>
          <w:sz w:val="28"/>
          <w:szCs w:val="28"/>
          <w:highlight w:val="none"/>
        </w:rPr>
      </w:pPr>
      <w:r>
        <w:rPr>
          <w:rFonts w:hint="eastAsia" w:ascii="宋体" w:hAnsi="宋体" w:cs="宋体"/>
          <w:sz w:val="28"/>
          <w:szCs w:val="28"/>
          <w:highlight w:val="none"/>
        </w:rPr>
        <w:t>为加强校园网站和业务系统的安全性，尽量降低系统安全风险，现购置2年网络安全服务。具体要求入下：</w:t>
      </w:r>
    </w:p>
    <w:p>
      <w:pPr>
        <w:rPr>
          <w:b/>
          <w:sz w:val="28"/>
          <w:szCs w:val="28"/>
          <w:highlight w:val="none"/>
        </w:rPr>
      </w:pPr>
      <w:r>
        <w:rPr>
          <w:rFonts w:hint="eastAsia"/>
          <w:b/>
          <w:sz w:val="28"/>
          <w:szCs w:val="28"/>
          <w:highlight w:val="none"/>
        </w:rPr>
        <w:t>1.网络安全服务内容</w:t>
      </w:r>
    </w:p>
    <w:tbl>
      <w:tblPr>
        <w:tblStyle w:val="18"/>
        <w:tblW w:w="8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338"/>
        <w:gridCol w:w="4332"/>
        <w:gridCol w:w="851"/>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sz w:val="28"/>
                <w:szCs w:val="28"/>
                <w:highlight w:val="none"/>
              </w:rPr>
            </w:pPr>
            <w:r>
              <w:rPr>
                <w:rFonts w:hint="eastAsia"/>
                <w:sz w:val="28"/>
                <w:szCs w:val="28"/>
                <w:highlight w:val="none"/>
              </w:rPr>
              <w:t>序号</w:t>
            </w:r>
          </w:p>
        </w:tc>
        <w:tc>
          <w:tcPr>
            <w:tcW w:w="1338" w:type="dxa"/>
            <w:vAlign w:val="center"/>
          </w:tcPr>
          <w:p>
            <w:pPr>
              <w:pStyle w:val="9"/>
              <w:ind w:left="0" w:leftChars="0"/>
              <w:jc w:val="center"/>
              <w:rPr>
                <w:sz w:val="28"/>
                <w:szCs w:val="28"/>
                <w:highlight w:val="none"/>
              </w:rPr>
            </w:pPr>
            <w:r>
              <w:rPr>
                <w:rFonts w:hint="eastAsia"/>
                <w:sz w:val="28"/>
                <w:szCs w:val="28"/>
                <w:highlight w:val="none"/>
              </w:rPr>
              <w:t>服务名称</w:t>
            </w:r>
          </w:p>
        </w:tc>
        <w:tc>
          <w:tcPr>
            <w:tcW w:w="4332" w:type="dxa"/>
          </w:tcPr>
          <w:p>
            <w:pPr>
              <w:pStyle w:val="9"/>
              <w:ind w:left="0" w:leftChars="0"/>
              <w:jc w:val="center"/>
              <w:rPr>
                <w:sz w:val="28"/>
                <w:szCs w:val="28"/>
                <w:highlight w:val="none"/>
              </w:rPr>
            </w:pPr>
            <w:r>
              <w:rPr>
                <w:rFonts w:hint="eastAsia"/>
                <w:sz w:val="28"/>
                <w:szCs w:val="28"/>
                <w:highlight w:val="none"/>
              </w:rPr>
              <w:t>服务内容</w:t>
            </w:r>
          </w:p>
        </w:tc>
        <w:tc>
          <w:tcPr>
            <w:tcW w:w="851" w:type="dxa"/>
            <w:vAlign w:val="center"/>
          </w:tcPr>
          <w:p>
            <w:pPr>
              <w:pStyle w:val="9"/>
              <w:ind w:left="0" w:leftChars="0"/>
              <w:jc w:val="center"/>
              <w:rPr>
                <w:sz w:val="28"/>
                <w:szCs w:val="28"/>
                <w:highlight w:val="none"/>
              </w:rPr>
            </w:pPr>
            <w:r>
              <w:rPr>
                <w:rFonts w:hint="eastAsia"/>
                <w:sz w:val="28"/>
                <w:szCs w:val="28"/>
                <w:highlight w:val="none"/>
              </w:rPr>
              <w:t>数量</w:t>
            </w:r>
          </w:p>
        </w:tc>
        <w:tc>
          <w:tcPr>
            <w:tcW w:w="775" w:type="dxa"/>
            <w:vAlign w:val="center"/>
          </w:tcPr>
          <w:p>
            <w:pPr>
              <w:pStyle w:val="9"/>
              <w:ind w:left="0" w:leftChars="0"/>
              <w:jc w:val="center"/>
              <w:rPr>
                <w:sz w:val="28"/>
                <w:szCs w:val="28"/>
                <w:highlight w:val="none"/>
              </w:rPr>
            </w:pPr>
            <w:r>
              <w:rPr>
                <w:rFonts w:hint="eastAsia"/>
                <w:sz w:val="28"/>
                <w:szCs w:val="28"/>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sz w:val="28"/>
                <w:szCs w:val="28"/>
                <w:highlight w:val="none"/>
              </w:rPr>
            </w:pPr>
            <w:r>
              <w:rPr>
                <w:rFonts w:hint="eastAsia"/>
                <w:sz w:val="28"/>
                <w:szCs w:val="28"/>
                <w:highlight w:val="none"/>
              </w:rPr>
              <w:t>1</w:t>
            </w:r>
          </w:p>
        </w:tc>
        <w:tc>
          <w:tcPr>
            <w:tcW w:w="1338" w:type="dxa"/>
            <w:vAlign w:val="center"/>
          </w:tcPr>
          <w:p>
            <w:pPr>
              <w:pStyle w:val="9"/>
              <w:ind w:left="0" w:leftChars="0"/>
              <w:rPr>
                <w:sz w:val="28"/>
                <w:szCs w:val="28"/>
                <w:highlight w:val="none"/>
              </w:rPr>
            </w:pPr>
            <w:r>
              <w:rPr>
                <w:rFonts w:hint="eastAsia" w:ascii="宋体" w:hAnsi="宋体" w:cs="宋体"/>
                <w:sz w:val="28"/>
                <w:szCs w:val="28"/>
                <w:highlight w:val="none"/>
              </w:rPr>
              <w:t>安全咨询</w:t>
            </w:r>
          </w:p>
        </w:tc>
        <w:tc>
          <w:tcPr>
            <w:tcW w:w="4332" w:type="dxa"/>
            <w:vAlign w:val="center"/>
          </w:tcPr>
          <w:p>
            <w:pPr>
              <w:pStyle w:val="9"/>
              <w:ind w:left="0" w:leftChars="0"/>
              <w:jc w:val="left"/>
              <w:rPr>
                <w:rFonts w:ascii="宋体" w:hAnsi="宋体" w:cs="宋体"/>
                <w:sz w:val="28"/>
                <w:szCs w:val="28"/>
                <w:highlight w:val="none"/>
              </w:rPr>
            </w:pPr>
            <w:r>
              <w:rPr>
                <w:rFonts w:hint="eastAsia" w:ascii="宋体" w:hAnsi="宋体" w:cs="宋体"/>
                <w:sz w:val="28"/>
                <w:szCs w:val="28"/>
                <w:highlight w:val="none"/>
              </w:rPr>
              <w:t>1、</w:t>
            </w:r>
            <w:r>
              <w:rPr>
                <w:rFonts w:hint="eastAsia" w:ascii="宋体" w:hAnsi="宋体"/>
                <w:sz w:val="28"/>
                <w:szCs w:val="28"/>
                <w:highlight w:val="none"/>
              </w:rPr>
              <w:t>提供网络安全咨询服务，解答我校在安全建设、运维过程中的安全问题。同时，全面了解我校安全建设现状，参照国家及教育行业相关标准，协助制定我校整体网络安全方案，方案应符合我校网络安全实际需求，便</w:t>
            </w:r>
            <w:r>
              <w:rPr>
                <w:rFonts w:hint="eastAsia" w:ascii="宋体" w:hAnsi="宋体" w:cs="宋体"/>
                <w:sz w:val="28"/>
                <w:szCs w:val="28"/>
                <w:highlight w:val="none"/>
              </w:rPr>
              <w:t>于我校结合自身情况进行安全建设。</w:t>
            </w:r>
          </w:p>
          <w:p>
            <w:pPr>
              <w:pStyle w:val="9"/>
              <w:ind w:left="0" w:leftChars="0"/>
              <w:jc w:val="left"/>
              <w:rPr>
                <w:rFonts w:ascii="宋体" w:hAnsi="宋体" w:cs="宋体"/>
                <w:sz w:val="28"/>
                <w:szCs w:val="28"/>
                <w:highlight w:val="none"/>
              </w:rPr>
            </w:pPr>
            <w:r>
              <w:rPr>
                <w:rFonts w:hint="eastAsia" w:ascii="宋体" w:hAnsi="宋体" w:cs="宋体"/>
                <w:sz w:val="28"/>
                <w:szCs w:val="28"/>
                <w:highlight w:val="none"/>
              </w:rPr>
              <w:t>2、咨询内容包含但不限于边界安全、应用安全、数据安全、内网安全、云计算安全、运维安全、安全服务等。</w:t>
            </w:r>
          </w:p>
          <w:p>
            <w:pPr>
              <w:pStyle w:val="9"/>
              <w:ind w:left="0" w:leftChars="0"/>
              <w:jc w:val="left"/>
              <w:rPr>
                <w:rFonts w:ascii="宋体" w:hAnsi="宋体"/>
                <w:sz w:val="28"/>
                <w:szCs w:val="28"/>
                <w:highlight w:val="none"/>
              </w:rPr>
            </w:pPr>
            <w:r>
              <w:rPr>
                <w:rFonts w:hint="eastAsia" w:ascii="宋体" w:hAnsi="宋体" w:cs="宋体"/>
                <w:sz w:val="28"/>
                <w:szCs w:val="28"/>
                <w:highlight w:val="none"/>
              </w:rPr>
              <w:t>3、提供7*24时网络安全咨询服务热线，解答我校在安全建设、运维过程中的安全问题。</w:t>
            </w:r>
          </w:p>
        </w:tc>
        <w:tc>
          <w:tcPr>
            <w:tcW w:w="851" w:type="dxa"/>
            <w:vAlign w:val="center"/>
          </w:tcPr>
          <w:p>
            <w:pPr>
              <w:pStyle w:val="9"/>
              <w:ind w:left="0" w:leftChars="0"/>
              <w:jc w:val="center"/>
              <w:rPr>
                <w:sz w:val="28"/>
                <w:szCs w:val="28"/>
                <w:highlight w:val="none"/>
              </w:rPr>
            </w:pPr>
            <w:r>
              <w:rPr>
                <w:rFonts w:hint="eastAsia"/>
                <w:sz w:val="28"/>
                <w:szCs w:val="28"/>
                <w:highlight w:val="none"/>
              </w:rPr>
              <w:t>2</w:t>
            </w:r>
          </w:p>
        </w:tc>
        <w:tc>
          <w:tcPr>
            <w:tcW w:w="775" w:type="dxa"/>
            <w:vAlign w:val="center"/>
          </w:tcPr>
          <w:p>
            <w:pPr>
              <w:pStyle w:val="9"/>
              <w:ind w:left="0" w:leftChars="0"/>
              <w:jc w:val="center"/>
              <w:rPr>
                <w:sz w:val="28"/>
                <w:szCs w:val="28"/>
                <w:highlight w:val="none"/>
              </w:rPr>
            </w:pPr>
            <w:r>
              <w:rPr>
                <w:rFonts w:hint="eastAsia"/>
                <w:sz w:val="28"/>
                <w:szCs w:val="2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sz w:val="28"/>
                <w:szCs w:val="28"/>
                <w:highlight w:val="none"/>
              </w:rPr>
            </w:pPr>
            <w:r>
              <w:rPr>
                <w:rFonts w:hint="eastAsia"/>
                <w:sz w:val="28"/>
                <w:szCs w:val="28"/>
                <w:highlight w:val="none"/>
              </w:rPr>
              <w:t>2</w:t>
            </w:r>
          </w:p>
        </w:tc>
        <w:tc>
          <w:tcPr>
            <w:tcW w:w="1338" w:type="dxa"/>
            <w:vAlign w:val="center"/>
          </w:tcPr>
          <w:p>
            <w:pPr>
              <w:pStyle w:val="9"/>
              <w:ind w:left="0" w:leftChars="0"/>
              <w:rPr>
                <w:rFonts w:ascii="宋体" w:hAnsi="宋体" w:cs="宋体"/>
                <w:sz w:val="28"/>
                <w:szCs w:val="28"/>
                <w:highlight w:val="none"/>
              </w:rPr>
            </w:pPr>
            <w:r>
              <w:rPr>
                <w:rFonts w:hint="eastAsia" w:ascii="宋体" w:hAnsi="宋体" w:cs="宋体"/>
                <w:sz w:val="28"/>
                <w:szCs w:val="28"/>
                <w:highlight w:val="none"/>
              </w:rPr>
              <w:t>敏感数据治理服务</w:t>
            </w:r>
          </w:p>
        </w:tc>
        <w:tc>
          <w:tcPr>
            <w:tcW w:w="4332" w:type="dxa"/>
            <w:vAlign w:val="center"/>
          </w:tcPr>
          <w:p>
            <w:pPr>
              <w:pStyle w:val="9"/>
              <w:ind w:left="0" w:leftChars="0"/>
              <w:jc w:val="left"/>
              <w:rPr>
                <w:rFonts w:ascii="宋体" w:hAnsi="宋体" w:cs="宋体"/>
                <w:sz w:val="28"/>
                <w:szCs w:val="28"/>
                <w:highlight w:val="none"/>
              </w:rPr>
            </w:pPr>
            <w:r>
              <w:rPr>
                <w:rFonts w:hint="eastAsia" w:ascii="宋体" w:hAnsi="宋体" w:cs="宋体"/>
                <w:sz w:val="28"/>
                <w:szCs w:val="28"/>
                <w:highlight w:val="none"/>
              </w:rPr>
              <w:t>1、针对学校常见的敏感数据泄露、弱口令等安全问题进行系统化治理服务。针对网站页面中的敏感数据泄露问题，需要通过被动防控的手段阻断具有敏感数据泄露页面的访问连接</w:t>
            </w:r>
          </w:p>
          <w:p>
            <w:pPr>
              <w:pStyle w:val="9"/>
              <w:ind w:left="0" w:leftChars="0"/>
              <w:jc w:val="left"/>
              <w:rPr>
                <w:rFonts w:ascii="宋体" w:hAnsi="宋体" w:cs="宋体"/>
                <w:sz w:val="28"/>
                <w:szCs w:val="28"/>
                <w:highlight w:val="none"/>
              </w:rPr>
            </w:pPr>
            <w:r>
              <w:rPr>
                <w:rFonts w:hint="eastAsia" w:ascii="宋体" w:hAnsi="宋体" w:cs="宋体"/>
                <w:sz w:val="28"/>
                <w:szCs w:val="28"/>
                <w:highlight w:val="none"/>
              </w:rPr>
              <w:t>2、针对弱口令等安全问题，需要协助学校制定应用安全开发策略加强后续的应用系统弱口令防护能力，并可针对开发效果进行验证。</w:t>
            </w:r>
          </w:p>
        </w:tc>
        <w:tc>
          <w:tcPr>
            <w:tcW w:w="851" w:type="dxa"/>
            <w:vAlign w:val="center"/>
          </w:tcPr>
          <w:p>
            <w:pPr>
              <w:pStyle w:val="9"/>
              <w:ind w:left="0" w:leftChars="0"/>
              <w:jc w:val="center"/>
              <w:rPr>
                <w:sz w:val="28"/>
                <w:szCs w:val="28"/>
                <w:highlight w:val="none"/>
              </w:rPr>
            </w:pPr>
            <w:r>
              <w:rPr>
                <w:rFonts w:hint="eastAsia"/>
                <w:sz w:val="28"/>
                <w:szCs w:val="28"/>
                <w:highlight w:val="none"/>
              </w:rPr>
              <w:t>2</w:t>
            </w:r>
          </w:p>
        </w:tc>
        <w:tc>
          <w:tcPr>
            <w:tcW w:w="775" w:type="dxa"/>
            <w:vAlign w:val="center"/>
          </w:tcPr>
          <w:p>
            <w:pPr>
              <w:pStyle w:val="9"/>
              <w:ind w:left="0" w:leftChars="0"/>
              <w:jc w:val="center"/>
              <w:rPr>
                <w:sz w:val="28"/>
                <w:szCs w:val="28"/>
                <w:highlight w:val="none"/>
              </w:rPr>
            </w:pPr>
            <w:r>
              <w:rPr>
                <w:rFonts w:hint="eastAsia"/>
                <w:sz w:val="28"/>
                <w:szCs w:val="2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sz w:val="28"/>
                <w:szCs w:val="28"/>
                <w:highlight w:val="none"/>
              </w:rPr>
            </w:pPr>
            <w:r>
              <w:rPr>
                <w:rFonts w:hint="eastAsia"/>
                <w:sz w:val="28"/>
                <w:szCs w:val="28"/>
                <w:highlight w:val="none"/>
              </w:rPr>
              <w:t>3</w:t>
            </w:r>
          </w:p>
        </w:tc>
        <w:tc>
          <w:tcPr>
            <w:tcW w:w="1338" w:type="dxa"/>
            <w:vAlign w:val="center"/>
          </w:tcPr>
          <w:p>
            <w:pPr>
              <w:pStyle w:val="9"/>
              <w:ind w:left="0" w:leftChars="0"/>
              <w:rPr>
                <w:sz w:val="28"/>
                <w:szCs w:val="28"/>
                <w:highlight w:val="none"/>
              </w:rPr>
            </w:pPr>
            <w:r>
              <w:rPr>
                <w:rFonts w:hint="eastAsia" w:ascii="宋体" w:hAnsi="宋体" w:cs="宋体"/>
                <w:sz w:val="28"/>
                <w:szCs w:val="28"/>
                <w:highlight w:val="none"/>
              </w:rPr>
              <w:t>网站安全监测服务</w:t>
            </w:r>
          </w:p>
        </w:tc>
        <w:tc>
          <w:tcPr>
            <w:tcW w:w="4332" w:type="dxa"/>
            <w:vAlign w:val="center"/>
          </w:tcPr>
          <w:p>
            <w:pPr>
              <w:pStyle w:val="9"/>
              <w:ind w:left="0" w:leftChars="0"/>
              <w:jc w:val="left"/>
              <w:rPr>
                <w:sz w:val="28"/>
                <w:szCs w:val="28"/>
                <w:highlight w:val="none"/>
              </w:rPr>
            </w:pPr>
            <w:r>
              <w:rPr>
                <w:rFonts w:hint="eastAsia" w:ascii="宋体" w:hAnsi="宋体" w:cs="宋体"/>
                <w:sz w:val="28"/>
                <w:szCs w:val="28"/>
                <w:highlight w:val="none"/>
              </w:rPr>
              <w:t>通过专业的网站安全检测平台对开放到互联网的网站系统开展安全监测，监测内容主要包括：网站破坏事件（如域名被劫持、网页被篡改）；有害程序事件（如病毒感染、网页挂马）；网站攻击事件（如拒绝服务攻击、扫描探测、漏洞攻击）；系统安全漏洞（如web应用漏洞检测）；网站信息内容监测（如敏感关键字、非法信息、涉密信息）等。</w:t>
            </w:r>
          </w:p>
        </w:tc>
        <w:tc>
          <w:tcPr>
            <w:tcW w:w="851" w:type="dxa"/>
            <w:vAlign w:val="center"/>
          </w:tcPr>
          <w:p>
            <w:pPr>
              <w:pStyle w:val="9"/>
              <w:ind w:left="0" w:leftChars="0"/>
              <w:jc w:val="center"/>
              <w:rPr>
                <w:sz w:val="28"/>
                <w:szCs w:val="28"/>
                <w:highlight w:val="none"/>
              </w:rPr>
            </w:pPr>
            <w:r>
              <w:rPr>
                <w:rFonts w:hint="eastAsia"/>
                <w:sz w:val="28"/>
                <w:szCs w:val="28"/>
                <w:highlight w:val="none"/>
              </w:rPr>
              <w:t>200</w:t>
            </w:r>
          </w:p>
        </w:tc>
        <w:tc>
          <w:tcPr>
            <w:tcW w:w="775" w:type="dxa"/>
            <w:vAlign w:val="center"/>
          </w:tcPr>
          <w:p>
            <w:pPr>
              <w:pStyle w:val="9"/>
              <w:ind w:left="0" w:leftChars="0"/>
              <w:jc w:val="center"/>
              <w:rPr>
                <w:sz w:val="28"/>
                <w:szCs w:val="28"/>
                <w:highlight w:val="none"/>
              </w:rPr>
            </w:pPr>
            <w:r>
              <w:rPr>
                <w:rFonts w:hint="eastAsia"/>
                <w:sz w:val="28"/>
                <w:szCs w:val="28"/>
                <w:highlight w:val="none"/>
              </w:rPr>
              <w:t>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sz w:val="28"/>
                <w:szCs w:val="28"/>
                <w:highlight w:val="none"/>
              </w:rPr>
            </w:pPr>
            <w:r>
              <w:rPr>
                <w:rFonts w:hint="eastAsia"/>
                <w:sz w:val="28"/>
                <w:szCs w:val="28"/>
                <w:highlight w:val="none"/>
              </w:rPr>
              <w:t>4</w:t>
            </w:r>
          </w:p>
        </w:tc>
        <w:tc>
          <w:tcPr>
            <w:tcW w:w="1338" w:type="dxa"/>
            <w:vAlign w:val="center"/>
          </w:tcPr>
          <w:p>
            <w:pPr>
              <w:pStyle w:val="9"/>
              <w:ind w:left="0" w:leftChars="0"/>
              <w:rPr>
                <w:sz w:val="28"/>
                <w:szCs w:val="28"/>
                <w:highlight w:val="none"/>
              </w:rPr>
            </w:pPr>
            <w:r>
              <w:rPr>
                <w:rFonts w:hint="eastAsia" w:ascii="宋体" w:hAnsi="宋体" w:cs="宋体"/>
                <w:sz w:val="28"/>
                <w:szCs w:val="28"/>
                <w:highlight w:val="none"/>
              </w:rPr>
              <w:t>渗透测试</w:t>
            </w:r>
          </w:p>
        </w:tc>
        <w:tc>
          <w:tcPr>
            <w:tcW w:w="4332" w:type="dxa"/>
            <w:vAlign w:val="center"/>
          </w:tcPr>
          <w:p>
            <w:pPr>
              <w:pStyle w:val="9"/>
              <w:ind w:left="0" w:leftChars="0"/>
              <w:jc w:val="left"/>
              <w:rPr>
                <w:rFonts w:ascii="宋体" w:hAnsi="宋体" w:cs="宋体"/>
                <w:sz w:val="28"/>
                <w:szCs w:val="28"/>
                <w:highlight w:val="none"/>
              </w:rPr>
            </w:pPr>
            <w:r>
              <w:rPr>
                <w:rFonts w:hint="eastAsia" w:ascii="宋体" w:hAnsi="宋体" w:cs="宋体"/>
                <w:sz w:val="28"/>
                <w:szCs w:val="28"/>
                <w:highlight w:val="none"/>
              </w:rPr>
              <w:t>1、针对学校核心网站及应用系统通过真实模拟黑客使用的工具、分析方法来对应用进行模拟攻击，由高级工程师进行深入的手工测试和分析，识别工具弱点扫描无法发现的问题。</w:t>
            </w:r>
          </w:p>
          <w:p>
            <w:pPr>
              <w:widowControl/>
              <w:adjustRightInd w:val="0"/>
              <w:snapToGrid w:val="0"/>
              <w:spacing w:line="360" w:lineRule="auto"/>
              <w:jc w:val="left"/>
              <w:rPr>
                <w:rFonts w:ascii="宋体" w:hAnsi="宋体" w:cs="宋体"/>
                <w:sz w:val="28"/>
                <w:szCs w:val="28"/>
                <w:highlight w:val="none"/>
              </w:rPr>
            </w:pPr>
            <w:r>
              <w:rPr>
                <w:rFonts w:hint="eastAsia" w:ascii="宋体" w:hAnsi="宋体" w:cs="宋体"/>
                <w:sz w:val="28"/>
                <w:szCs w:val="28"/>
                <w:highlight w:val="none"/>
              </w:rPr>
              <w:t>2、渗透测试检测内容包括逻辑缺陷、上传绕过、输入输出校验绕过、数据篡改、功能绕过、异常错误以及其他专项内容等。</w:t>
            </w:r>
          </w:p>
          <w:p>
            <w:pPr>
              <w:widowControl/>
              <w:adjustRightInd w:val="0"/>
              <w:snapToGrid w:val="0"/>
              <w:spacing w:line="360" w:lineRule="auto"/>
              <w:jc w:val="left"/>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bCs/>
                <w:sz w:val="28"/>
                <w:szCs w:val="28"/>
                <w:highlight w:val="none"/>
              </w:rPr>
              <w:t>渗透结束后要求生成相关报告并提供修复建议。</w:t>
            </w:r>
          </w:p>
          <w:p>
            <w:pPr>
              <w:widowControl/>
              <w:adjustRightInd w:val="0"/>
              <w:snapToGrid w:val="0"/>
              <w:spacing w:line="360" w:lineRule="auto"/>
              <w:jc w:val="left"/>
              <w:rPr>
                <w:rFonts w:ascii="宋体" w:hAnsi="宋体" w:cs="宋体"/>
                <w:sz w:val="28"/>
                <w:szCs w:val="28"/>
                <w:highlight w:val="none"/>
              </w:rPr>
            </w:pPr>
            <w:r>
              <w:rPr>
                <w:rFonts w:ascii="宋体" w:hAnsi="宋体" w:cs="宋体"/>
                <w:sz w:val="28"/>
                <w:szCs w:val="28"/>
                <w:highlight w:val="none"/>
              </w:rPr>
              <w:t>4、</w:t>
            </w:r>
            <w:r>
              <w:rPr>
                <w:rFonts w:hint="eastAsia" w:ascii="宋体" w:hAnsi="宋体" w:cs="宋体"/>
                <w:bCs/>
                <w:sz w:val="28"/>
                <w:szCs w:val="28"/>
                <w:highlight w:val="none"/>
              </w:rPr>
              <w:t>每年提供1次渗透测试服务，</w:t>
            </w:r>
            <w:r>
              <w:rPr>
                <w:rFonts w:hint="eastAsia" w:ascii="宋体" w:hAnsi="宋体" w:cs="宋体"/>
                <w:color w:val="000000" w:themeColor="text1"/>
                <w:sz w:val="28"/>
                <w:szCs w:val="28"/>
                <w:highlight w:val="none"/>
              </w:rPr>
              <w:t>服务对象为我校20个业务系统。</w:t>
            </w:r>
          </w:p>
        </w:tc>
        <w:tc>
          <w:tcPr>
            <w:tcW w:w="851" w:type="dxa"/>
            <w:vAlign w:val="center"/>
          </w:tcPr>
          <w:p>
            <w:pPr>
              <w:pStyle w:val="9"/>
              <w:ind w:left="0" w:leftChars="0"/>
              <w:jc w:val="center"/>
              <w:rPr>
                <w:sz w:val="28"/>
                <w:szCs w:val="28"/>
                <w:highlight w:val="none"/>
              </w:rPr>
            </w:pPr>
            <w:r>
              <w:rPr>
                <w:rFonts w:hint="eastAsia"/>
                <w:sz w:val="28"/>
                <w:szCs w:val="28"/>
                <w:highlight w:val="none"/>
              </w:rPr>
              <w:t>20</w:t>
            </w:r>
          </w:p>
        </w:tc>
        <w:tc>
          <w:tcPr>
            <w:tcW w:w="775" w:type="dxa"/>
            <w:vAlign w:val="center"/>
          </w:tcPr>
          <w:p>
            <w:pPr>
              <w:pStyle w:val="9"/>
              <w:ind w:left="0" w:leftChars="0"/>
              <w:jc w:val="center"/>
              <w:rPr>
                <w:sz w:val="28"/>
                <w:szCs w:val="28"/>
                <w:highlight w:val="none"/>
              </w:rPr>
            </w:pPr>
            <w:r>
              <w:rPr>
                <w:rFonts w:hint="eastAsia"/>
                <w:sz w:val="28"/>
                <w:szCs w:val="28"/>
                <w:highlight w:val="none"/>
              </w:rPr>
              <w:t>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sz w:val="28"/>
                <w:szCs w:val="28"/>
                <w:highlight w:val="none"/>
              </w:rPr>
            </w:pPr>
            <w:r>
              <w:rPr>
                <w:rFonts w:hint="eastAsia"/>
                <w:sz w:val="28"/>
                <w:szCs w:val="28"/>
                <w:highlight w:val="none"/>
              </w:rPr>
              <w:t>5</w:t>
            </w:r>
          </w:p>
        </w:tc>
        <w:tc>
          <w:tcPr>
            <w:tcW w:w="1338" w:type="dxa"/>
            <w:vAlign w:val="center"/>
          </w:tcPr>
          <w:p>
            <w:pPr>
              <w:pStyle w:val="9"/>
              <w:ind w:left="0" w:leftChars="0"/>
              <w:rPr>
                <w:sz w:val="28"/>
                <w:szCs w:val="28"/>
                <w:highlight w:val="none"/>
              </w:rPr>
            </w:pPr>
            <w:r>
              <w:rPr>
                <w:rFonts w:hint="eastAsia" w:ascii="宋体" w:hAnsi="宋体" w:cs="宋体"/>
                <w:sz w:val="28"/>
                <w:szCs w:val="28"/>
                <w:highlight w:val="none"/>
              </w:rPr>
              <w:t>漏洞扫描</w:t>
            </w:r>
          </w:p>
        </w:tc>
        <w:tc>
          <w:tcPr>
            <w:tcW w:w="4332" w:type="dxa"/>
            <w:vAlign w:val="center"/>
          </w:tcPr>
          <w:p>
            <w:pPr>
              <w:widowControl/>
              <w:adjustRightInd w:val="0"/>
              <w:snapToGrid w:val="0"/>
              <w:spacing w:line="336" w:lineRule="auto"/>
              <w:jc w:val="left"/>
              <w:textAlignment w:val="center"/>
              <w:rPr>
                <w:rFonts w:ascii="宋体" w:hAnsi="宋体" w:cs="宋体"/>
                <w:sz w:val="28"/>
                <w:szCs w:val="28"/>
                <w:highlight w:val="none"/>
              </w:rPr>
            </w:pPr>
            <w:r>
              <w:rPr>
                <w:rFonts w:hint="eastAsia" w:ascii="宋体" w:hAnsi="宋体" w:cs="宋体"/>
                <w:sz w:val="28"/>
                <w:szCs w:val="28"/>
                <w:highlight w:val="none"/>
              </w:rPr>
              <w:t>1、服务人员应使用自主研发的商用漏洞扫描工具对网站及应用系统进行漏洞扫描，发现扫描对象存在的web应用漏洞、主机操作系统漏洞、数据库漏洞、逻辑缺陷、弱口令、信息泄露等脆弱性问题。</w:t>
            </w:r>
          </w:p>
          <w:p>
            <w:pPr>
              <w:widowControl/>
              <w:adjustRightInd w:val="0"/>
              <w:snapToGrid w:val="0"/>
              <w:spacing w:line="336" w:lineRule="auto"/>
              <w:jc w:val="left"/>
              <w:textAlignment w:val="center"/>
              <w:rPr>
                <w:rFonts w:ascii="宋体" w:hAnsi="宋体" w:cs="宋体"/>
                <w:sz w:val="28"/>
                <w:szCs w:val="28"/>
                <w:highlight w:val="none"/>
              </w:rPr>
            </w:pPr>
            <w:r>
              <w:rPr>
                <w:rFonts w:hint="eastAsia" w:ascii="宋体" w:hAnsi="宋体" w:cs="宋体"/>
                <w:sz w:val="28"/>
                <w:szCs w:val="28"/>
                <w:highlight w:val="none"/>
              </w:rPr>
              <w:t>2、投标人应提交漏洞扫描工具的情况（包括但不限于：设备厂商、设备型号、漏洞库等）、漏洞扫描工作方案（包括但不限于：目标对象、扫描时间、风险规避措施等）及漏洞扫描申请，校方授权后，方可进行。</w:t>
            </w:r>
          </w:p>
          <w:p>
            <w:pPr>
              <w:widowControl/>
              <w:adjustRightInd w:val="0"/>
              <w:snapToGrid w:val="0"/>
              <w:spacing w:line="336" w:lineRule="auto"/>
              <w:jc w:val="left"/>
              <w:textAlignment w:val="center"/>
              <w:rPr>
                <w:rFonts w:ascii="宋体" w:hAnsi="宋体" w:cs="宋体"/>
                <w:sz w:val="28"/>
                <w:szCs w:val="28"/>
                <w:highlight w:val="none"/>
              </w:rPr>
            </w:pPr>
            <w:r>
              <w:rPr>
                <w:rFonts w:hint="eastAsia" w:ascii="宋体" w:hAnsi="宋体" w:cs="宋体"/>
                <w:sz w:val="28"/>
                <w:szCs w:val="28"/>
                <w:highlight w:val="none"/>
              </w:rPr>
              <w:t>3、服务供应商应对漏洞扫描结果进行人工验证，保证漏洞扫描结果的真实性。</w:t>
            </w:r>
          </w:p>
          <w:p>
            <w:pPr>
              <w:pStyle w:val="9"/>
              <w:ind w:left="0" w:leftChars="0"/>
              <w:jc w:val="left"/>
              <w:rPr>
                <w:rFonts w:ascii="宋体" w:hAnsi="宋体" w:cs="宋体"/>
                <w:sz w:val="28"/>
                <w:szCs w:val="28"/>
                <w:highlight w:val="none"/>
              </w:rPr>
            </w:pPr>
            <w:r>
              <w:rPr>
                <w:rFonts w:hint="eastAsia" w:ascii="宋体" w:hAnsi="宋体" w:cs="宋体"/>
                <w:sz w:val="28"/>
                <w:szCs w:val="28"/>
                <w:highlight w:val="none"/>
              </w:rPr>
              <w:t>4、服务供应商应提交针对性的解决方案，保证漏洞修复可落地。</w:t>
            </w:r>
          </w:p>
          <w:p>
            <w:pPr>
              <w:rPr>
                <w:sz w:val="28"/>
                <w:szCs w:val="28"/>
                <w:highlight w:val="none"/>
              </w:rPr>
            </w:pPr>
            <w:r>
              <w:rPr>
                <w:sz w:val="28"/>
                <w:szCs w:val="28"/>
                <w:highlight w:val="none"/>
              </w:rPr>
              <w:t>5、</w:t>
            </w:r>
            <w:r>
              <w:rPr>
                <w:rFonts w:hint="eastAsia"/>
                <w:sz w:val="28"/>
                <w:szCs w:val="28"/>
                <w:highlight w:val="none"/>
              </w:rPr>
              <w:t>每年提供4次漏洞扫描服务，服务对象为我校100台服务器。</w:t>
            </w:r>
          </w:p>
        </w:tc>
        <w:tc>
          <w:tcPr>
            <w:tcW w:w="851" w:type="dxa"/>
            <w:vAlign w:val="center"/>
          </w:tcPr>
          <w:p>
            <w:pPr>
              <w:pStyle w:val="9"/>
              <w:ind w:left="0" w:leftChars="0"/>
              <w:jc w:val="center"/>
              <w:rPr>
                <w:sz w:val="28"/>
                <w:szCs w:val="28"/>
                <w:highlight w:val="none"/>
              </w:rPr>
            </w:pPr>
            <w:r>
              <w:rPr>
                <w:rFonts w:hint="eastAsia"/>
                <w:sz w:val="28"/>
                <w:szCs w:val="28"/>
                <w:highlight w:val="none"/>
              </w:rPr>
              <w:t>100</w:t>
            </w:r>
          </w:p>
        </w:tc>
        <w:tc>
          <w:tcPr>
            <w:tcW w:w="775" w:type="dxa"/>
            <w:vAlign w:val="center"/>
          </w:tcPr>
          <w:p>
            <w:pPr>
              <w:pStyle w:val="9"/>
              <w:ind w:left="0" w:leftChars="0"/>
              <w:jc w:val="center"/>
              <w:rPr>
                <w:sz w:val="28"/>
                <w:szCs w:val="28"/>
                <w:highlight w:val="none"/>
              </w:rPr>
            </w:pPr>
            <w:r>
              <w:rPr>
                <w:rFonts w:hint="eastAsia"/>
                <w:sz w:val="28"/>
                <w:szCs w:val="28"/>
                <w:highlight w:val="none"/>
              </w:rPr>
              <w:t>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color w:val="000000" w:themeColor="text1"/>
                <w:sz w:val="28"/>
                <w:szCs w:val="28"/>
                <w:highlight w:val="none"/>
              </w:rPr>
            </w:pPr>
            <w:r>
              <w:rPr>
                <w:rFonts w:hint="eastAsia"/>
                <w:color w:val="000000" w:themeColor="text1"/>
                <w:sz w:val="28"/>
                <w:szCs w:val="28"/>
                <w:highlight w:val="none"/>
              </w:rPr>
              <w:t>6</w:t>
            </w:r>
          </w:p>
        </w:tc>
        <w:tc>
          <w:tcPr>
            <w:tcW w:w="1338" w:type="dxa"/>
            <w:vAlign w:val="center"/>
          </w:tcPr>
          <w:p>
            <w:pPr>
              <w:pStyle w:val="9"/>
              <w:ind w:left="0" w:leftChars="0"/>
              <w:rPr>
                <w:color w:val="000000" w:themeColor="text1"/>
                <w:sz w:val="28"/>
                <w:szCs w:val="28"/>
                <w:highlight w:val="none"/>
              </w:rPr>
            </w:pPr>
            <w:r>
              <w:rPr>
                <w:rFonts w:hint="eastAsia" w:ascii="宋体" w:hAnsi="宋体" w:cs="宋体"/>
                <w:sz w:val="28"/>
                <w:szCs w:val="28"/>
                <w:highlight w:val="none"/>
              </w:rPr>
              <w:t>Web资产梳理</w:t>
            </w:r>
          </w:p>
        </w:tc>
        <w:tc>
          <w:tcPr>
            <w:tcW w:w="4332" w:type="dxa"/>
            <w:vAlign w:val="center"/>
          </w:tcPr>
          <w:p>
            <w:pPr>
              <w:widowControl/>
              <w:adjustRightInd w:val="0"/>
              <w:snapToGrid w:val="0"/>
              <w:spacing w:line="336" w:lineRule="auto"/>
              <w:jc w:val="left"/>
              <w:textAlignment w:val="center"/>
              <w:rPr>
                <w:rFonts w:ascii="宋体" w:hAnsi="宋体" w:cs="宋体"/>
                <w:sz w:val="28"/>
                <w:szCs w:val="28"/>
                <w:highlight w:val="none"/>
              </w:rPr>
            </w:pPr>
            <w:r>
              <w:rPr>
                <w:rFonts w:hint="eastAsia" w:ascii="宋体" w:hAnsi="宋体" w:cs="宋体"/>
                <w:sz w:val="28"/>
                <w:szCs w:val="28"/>
                <w:highlight w:val="none"/>
              </w:rPr>
              <w:t>1、投标人通过专业的Web资产梳理工具，为学校提供Web资产梳理服务。</w:t>
            </w:r>
          </w:p>
          <w:p>
            <w:pPr>
              <w:widowControl/>
              <w:adjustRightInd w:val="0"/>
              <w:snapToGrid w:val="0"/>
              <w:spacing w:line="336" w:lineRule="auto"/>
              <w:jc w:val="left"/>
              <w:textAlignment w:val="center"/>
              <w:rPr>
                <w:rFonts w:ascii="宋体" w:hAnsi="宋体" w:cs="宋体"/>
                <w:sz w:val="28"/>
                <w:szCs w:val="28"/>
                <w:highlight w:val="none"/>
              </w:rPr>
            </w:pPr>
            <w:r>
              <w:rPr>
                <w:rFonts w:hint="eastAsia" w:ascii="宋体" w:hAnsi="宋体" w:cs="宋体"/>
                <w:sz w:val="28"/>
                <w:szCs w:val="28"/>
                <w:highlight w:val="none"/>
              </w:rPr>
              <w:t>2、Web资产梳理阶段应依托学校现有资产台账，以资产核验模式开展，同时借助于Web资产梳理工具，通过信息收集模式综合分析，确保明确已知资产+未知资产。</w:t>
            </w:r>
          </w:p>
          <w:p>
            <w:pPr>
              <w:widowControl/>
              <w:adjustRightInd w:val="0"/>
              <w:snapToGrid w:val="0"/>
              <w:spacing w:line="360" w:lineRule="auto"/>
              <w:rPr>
                <w:rFonts w:ascii="宋体" w:hAnsi="宋体" w:cs="宋体"/>
                <w:bCs/>
                <w:sz w:val="28"/>
                <w:szCs w:val="28"/>
                <w:highlight w:val="none"/>
              </w:rPr>
            </w:pPr>
            <w:r>
              <w:rPr>
                <w:rFonts w:ascii="宋体" w:hAnsi="宋体" w:cs="宋体"/>
                <w:sz w:val="28"/>
                <w:szCs w:val="28"/>
                <w:highlight w:val="none"/>
              </w:rPr>
              <w:t>3、</w:t>
            </w:r>
            <w:r>
              <w:rPr>
                <w:rFonts w:hint="eastAsia" w:ascii="宋体" w:hAnsi="宋体" w:cs="宋体"/>
                <w:bCs/>
                <w:sz w:val="28"/>
                <w:szCs w:val="28"/>
                <w:highlight w:val="none"/>
              </w:rPr>
              <w:t>每年提供1次Web资产梳理服务。</w:t>
            </w:r>
          </w:p>
        </w:tc>
        <w:tc>
          <w:tcPr>
            <w:tcW w:w="851" w:type="dxa"/>
            <w:vAlign w:val="center"/>
          </w:tcPr>
          <w:p>
            <w:pPr>
              <w:pStyle w:val="9"/>
              <w:ind w:left="0" w:leftChars="0"/>
              <w:jc w:val="center"/>
              <w:rPr>
                <w:sz w:val="28"/>
                <w:szCs w:val="28"/>
                <w:highlight w:val="none"/>
              </w:rPr>
            </w:pPr>
            <w:r>
              <w:rPr>
                <w:rFonts w:hint="eastAsia"/>
                <w:sz w:val="28"/>
                <w:szCs w:val="28"/>
                <w:highlight w:val="none"/>
              </w:rPr>
              <w:t>1</w:t>
            </w:r>
          </w:p>
        </w:tc>
        <w:tc>
          <w:tcPr>
            <w:tcW w:w="775" w:type="dxa"/>
            <w:vAlign w:val="center"/>
          </w:tcPr>
          <w:p>
            <w:pPr>
              <w:pStyle w:val="9"/>
              <w:ind w:left="0" w:leftChars="0"/>
              <w:jc w:val="center"/>
              <w:rPr>
                <w:sz w:val="28"/>
                <w:szCs w:val="28"/>
                <w:highlight w:val="none"/>
              </w:rPr>
            </w:pPr>
            <w:r>
              <w:rPr>
                <w:rFonts w:hint="eastAsia"/>
                <w:sz w:val="28"/>
                <w:szCs w:val="28"/>
                <w:highlight w:val="none"/>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color w:val="000000" w:themeColor="text1"/>
                <w:sz w:val="28"/>
                <w:szCs w:val="28"/>
                <w:highlight w:val="none"/>
              </w:rPr>
            </w:pPr>
            <w:r>
              <w:rPr>
                <w:rFonts w:hint="eastAsia"/>
                <w:color w:val="000000" w:themeColor="text1"/>
                <w:sz w:val="28"/>
                <w:szCs w:val="28"/>
                <w:highlight w:val="none"/>
              </w:rPr>
              <w:t>7</w:t>
            </w:r>
          </w:p>
        </w:tc>
        <w:tc>
          <w:tcPr>
            <w:tcW w:w="1338" w:type="dxa"/>
            <w:vAlign w:val="center"/>
          </w:tcPr>
          <w:p>
            <w:pPr>
              <w:pStyle w:val="9"/>
              <w:ind w:left="0" w:leftChars="0"/>
              <w:rPr>
                <w:color w:val="000000" w:themeColor="text1"/>
                <w:sz w:val="28"/>
                <w:szCs w:val="28"/>
                <w:highlight w:val="none"/>
              </w:rPr>
            </w:pPr>
            <w:r>
              <w:rPr>
                <w:rFonts w:hint="eastAsia" w:ascii="宋体" w:hAnsi="宋体" w:cs="宋体"/>
                <w:sz w:val="28"/>
                <w:szCs w:val="28"/>
                <w:highlight w:val="none"/>
              </w:rPr>
              <w:t>漏洞复测服务</w:t>
            </w:r>
          </w:p>
        </w:tc>
        <w:tc>
          <w:tcPr>
            <w:tcW w:w="4332" w:type="dxa"/>
            <w:vAlign w:val="center"/>
          </w:tcPr>
          <w:p>
            <w:pPr>
              <w:widowControl/>
              <w:adjustRightInd w:val="0"/>
              <w:snapToGrid w:val="0"/>
              <w:spacing w:line="336" w:lineRule="auto"/>
              <w:jc w:val="left"/>
              <w:textAlignment w:val="center"/>
              <w:rPr>
                <w:rFonts w:ascii="宋体" w:hAnsi="宋体" w:cs="宋体"/>
                <w:sz w:val="28"/>
                <w:szCs w:val="28"/>
                <w:highlight w:val="none"/>
              </w:rPr>
            </w:pPr>
            <w:r>
              <w:rPr>
                <w:rFonts w:hint="eastAsia" w:ascii="宋体" w:hAnsi="宋体" w:cs="宋体"/>
                <w:sz w:val="28"/>
                <w:szCs w:val="28"/>
                <w:highlight w:val="none"/>
              </w:rPr>
              <w:t>1、针对漏洞扫描、渗透测试、网站安全监测、安全运维平台分析日志中发现的安全漏洞和配置缺陷，要求服务供应商根据提供的报告，定期对存在的问题进行漏洞复测，以确保漏洞已经修复。</w:t>
            </w:r>
          </w:p>
          <w:p>
            <w:pPr>
              <w:widowControl/>
              <w:adjustRightInd w:val="0"/>
              <w:snapToGrid w:val="0"/>
              <w:spacing w:line="336" w:lineRule="auto"/>
              <w:jc w:val="left"/>
              <w:textAlignment w:val="center"/>
              <w:rPr>
                <w:rFonts w:ascii="宋体" w:hAnsi="宋体" w:cs="宋体"/>
                <w:sz w:val="28"/>
                <w:szCs w:val="28"/>
                <w:highlight w:val="none"/>
              </w:rPr>
            </w:pPr>
            <w:r>
              <w:rPr>
                <w:rFonts w:hint="eastAsia" w:ascii="宋体" w:hAnsi="宋体" w:cs="宋体"/>
                <w:sz w:val="28"/>
                <w:szCs w:val="28"/>
                <w:highlight w:val="none"/>
              </w:rPr>
              <w:t>2、在完成漏洞复测后，安全服务专家将与之前的报告进行比对，并输出《漏洞复测报告》，确认修复动作的有效性。如评估期内依然无法修复漏洞的，安全服务专家也应在《漏洞复测报告》中指明现在依然存在的问题，并指导管理员继续进行漏洞和配置修复动作。</w:t>
            </w:r>
          </w:p>
          <w:p>
            <w:pPr>
              <w:widowControl/>
              <w:adjustRightInd w:val="0"/>
              <w:snapToGrid w:val="0"/>
              <w:spacing w:line="360" w:lineRule="auto"/>
              <w:rPr>
                <w:rFonts w:ascii="宋体" w:hAnsi="宋体" w:cs="宋体"/>
                <w:bCs/>
                <w:sz w:val="28"/>
                <w:szCs w:val="28"/>
                <w:highlight w:val="none"/>
              </w:rPr>
            </w:pPr>
            <w:r>
              <w:rPr>
                <w:rFonts w:ascii="宋体" w:hAnsi="宋体" w:cs="宋体"/>
                <w:sz w:val="28"/>
                <w:szCs w:val="28"/>
                <w:highlight w:val="none"/>
              </w:rPr>
              <w:t>3、</w:t>
            </w:r>
            <w:r>
              <w:rPr>
                <w:rFonts w:hint="eastAsia" w:ascii="宋体" w:hAnsi="宋体" w:cs="宋体"/>
                <w:bCs/>
                <w:sz w:val="28"/>
                <w:szCs w:val="28"/>
                <w:highlight w:val="none"/>
              </w:rPr>
              <w:t>每年提供4次漏洞复测服务，依据渗透测试、漏洞扫描工作情况开展。</w:t>
            </w:r>
          </w:p>
        </w:tc>
        <w:tc>
          <w:tcPr>
            <w:tcW w:w="851" w:type="dxa"/>
            <w:vAlign w:val="center"/>
          </w:tcPr>
          <w:p>
            <w:pPr>
              <w:pStyle w:val="9"/>
              <w:ind w:left="0" w:leftChars="0"/>
              <w:jc w:val="center"/>
              <w:rPr>
                <w:sz w:val="28"/>
                <w:szCs w:val="28"/>
                <w:highlight w:val="none"/>
              </w:rPr>
            </w:pPr>
            <w:r>
              <w:rPr>
                <w:rFonts w:hint="eastAsia"/>
                <w:sz w:val="28"/>
                <w:szCs w:val="28"/>
                <w:highlight w:val="none"/>
              </w:rPr>
              <w:t>100</w:t>
            </w:r>
          </w:p>
        </w:tc>
        <w:tc>
          <w:tcPr>
            <w:tcW w:w="775" w:type="dxa"/>
            <w:vAlign w:val="center"/>
          </w:tcPr>
          <w:p>
            <w:pPr>
              <w:pStyle w:val="9"/>
              <w:ind w:left="0" w:leftChars="0"/>
              <w:jc w:val="center"/>
              <w:rPr>
                <w:sz w:val="28"/>
                <w:szCs w:val="28"/>
                <w:highlight w:val="none"/>
              </w:rPr>
            </w:pPr>
            <w:r>
              <w:rPr>
                <w:rFonts w:hint="eastAsia"/>
                <w:sz w:val="28"/>
                <w:szCs w:val="28"/>
                <w:highlight w:val="none"/>
              </w:rPr>
              <w:t>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color w:val="000000" w:themeColor="text1"/>
                <w:sz w:val="28"/>
                <w:szCs w:val="28"/>
                <w:highlight w:val="none"/>
              </w:rPr>
            </w:pPr>
            <w:r>
              <w:rPr>
                <w:rFonts w:hint="eastAsia"/>
                <w:color w:val="000000" w:themeColor="text1"/>
                <w:sz w:val="28"/>
                <w:szCs w:val="28"/>
                <w:highlight w:val="none"/>
              </w:rPr>
              <w:t>8</w:t>
            </w:r>
          </w:p>
        </w:tc>
        <w:tc>
          <w:tcPr>
            <w:tcW w:w="1338" w:type="dxa"/>
            <w:vAlign w:val="center"/>
          </w:tcPr>
          <w:p>
            <w:pPr>
              <w:pStyle w:val="9"/>
              <w:ind w:left="0" w:leftChars="0"/>
              <w:rPr>
                <w:color w:val="000000" w:themeColor="text1"/>
                <w:sz w:val="28"/>
                <w:szCs w:val="28"/>
                <w:highlight w:val="none"/>
              </w:rPr>
            </w:pPr>
            <w:r>
              <w:rPr>
                <w:rFonts w:hint="eastAsia" w:ascii="宋体" w:hAnsi="宋体" w:cs="宋体"/>
                <w:sz w:val="28"/>
                <w:szCs w:val="28"/>
                <w:highlight w:val="none"/>
              </w:rPr>
              <w:t>应急响应服务</w:t>
            </w:r>
          </w:p>
        </w:tc>
        <w:tc>
          <w:tcPr>
            <w:tcW w:w="4332" w:type="dxa"/>
            <w:vAlign w:val="center"/>
          </w:tcPr>
          <w:p>
            <w:pPr>
              <w:widowControl/>
              <w:adjustRightInd w:val="0"/>
              <w:snapToGrid w:val="0"/>
              <w:spacing w:line="360" w:lineRule="auto"/>
              <w:rPr>
                <w:rFonts w:ascii="宋体" w:hAnsi="宋体" w:cs="宋体"/>
                <w:sz w:val="28"/>
                <w:szCs w:val="28"/>
                <w:highlight w:val="none"/>
              </w:rPr>
            </w:pPr>
            <w:r>
              <w:rPr>
                <w:rFonts w:hint="eastAsia" w:ascii="宋体" w:hAnsi="宋体" w:cs="宋体"/>
                <w:sz w:val="28"/>
                <w:szCs w:val="28"/>
                <w:highlight w:val="none"/>
              </w:rPr>
              <w:t>1、当学校发生紧急网络安全事件时，派遣安全专家前往现场进行应急响应工作，2小时内到达现场，协助解决安全事件，查找攻击来源，定位攻击者所利用的漏洞，查杀服务器操作系统中发现的病毒或木马，分析样本。</w:t>
            </w:r>
          </w:p>
          <w:p>
            <w:pPr>
              <w:widowControl/>
              <w:adjustRightInd w:val="0"/>
              <w:snapToGrid w:val="0"/>
              <w:spacing w:line="360" w:lineRule="auto"/>
              <w:rPr>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每年提供至少3次应急响应服务。</w:t>
            </w:r>
          </w:p>
        </w:tc>
        <w:tc>
          <w:tcPr>
            <w:tcW w:w="851" w:type="dxa"/>
            <w:vAlign w:val="center"/>
          </w:tcPr>
          <w:p>
            <w:pPr>
              <w:pStyle w:val="9"/>
              <w:ind w:left="0" w:leftChars="0"/>
              <w:jc w:val="center"/>
              <w:rPr>
                <w:sz w:val="28"/>
                <w:szCs w:val="28"/>
                <w:highlight w:val="none"/>
              </w:rPr>
            </w:pPr>
            <w:r>
              <w:rPr>
                <w:rFonts w:hint="eastAsia"/>
                <w:sz w:val="28"/>
                <w:szCs w:val="28"/>
                <w:highlight w:val="none"/>
              </w:rPr>
              <w:t>3</w:t>
            </w:r>
          </w:p>
        </w:tc>
        <w:tc>
          <w:tcPr>
            <w:tcW w:w="775" w:type="dxa"/>
            <w:vAlign w:val="center"/>
          </w:tcPr>
          <w:p>
            <w:pPr>
              <w:pStyle w:val="9"/>
              <w:ind w:left="0" w:leftChars="0"/>
              <w:jc w:val="center"/>
              <w:rPr>
                <w:sz w:val="28"/>
                <w:szCs w:val="28"/>
                <w:highlight w:val="none"/>
              </w:rPr>
            </w:pPr>
            <w:r>
              <w:rPr>
                <w:rFonts w:hint="eastAsia"/>
                <w:sz w:val="28"/>
                <w:szCs w:val="28"/>
                <w:highlight w:val="none"/>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color w:val="000000" w:themeColor="text1"/>
                <w:sz w:val="28"/>
                <w:szCs w:val="28"/>
                <w:highlight w:val="none"/>
              </w:rPr>
            </w:pPr>
            <w:r>
              <w:rPr>
                <w:rFonts w:hint="eastAsia"/>
                <w:color w:val="000000" w:themeColor="text1"/>
                <w:sz w:val="28"/>
                <w:szCs w:val="28"/>
                <w:highlight w:val="none"/>
              </w:rPr>
              <w:t>9</w:t>
            </w:r>
          </w:p>
        </w:tc>
        <w:tc>
          <w:tcPr>
            <w:tcW w:w="1338" w:type="dxa"/>
            <w:vAlign w:val="center"/>
          </w:tcPr>
          <w:p>
            <w:pPr>
              <w:pStyle w:val="9"/>
              <w:ind w:left="0" w:leftChars="0"/>
              <w:rPr>
                <w:color w:val="000000" w:themeColor="text1"/>
                <w:sz w:val="28"/>
                <w:szCs w:val="28"/>
                <w:highlight w:val="none"/>
              </w:rPr>
            </w:pPr>
            <w:r>
              <w:rPr>
                <w:rFonts w:hint="eastAsia" w:ascii="宋体" w:hAnsi="宋体" w:cs="宋体"/>
                <w:sz w:val="28"/>
                <w:szCs w:val="28"/>
                <w:highlight w:val="none"/>
              </w:rPr>
              <w:t>应急演练服务</w:t>
            </w:r>
          </w:p>
        </w:tc>
        <w:tc>
          <w:tcPr>
            <w:tcW w:w="4332" w:type="dxa"/>
            <w:vAlign w:val="center"/>
          </w:tcPr>
          <w:p>
            <w:pPr>
              <w:widowControl/>
              <w:adjustRightInd w:val="0"/>
              <w:snapToGrid w:val="0"/>
              <w:spacing w:line="360" w:lineRule="auto"/>
              <w:rPr>
                <w:rFonts w:ascii="宋体" w:hAnsi="宋体" w:cs="宋体"/>
                <w:sz w:val="28"/>
                <w:szCs w:val="28"/>
                <w:highlight w:val="none"/>
              </w:rPr>
            </w:pPr>
            <w:r>
              <w:rPr>
                <w:rFonts w:hint="eastAsia" w:ascii="宋体" w:hAnsi="宋体" w:cs="宋体"/>
                <w:sz w:val="28"/>
                <w:szCs w:val="28"/>
                <w:highlight w:val="none"/>
              </w:rPr>
              <w:t>1、配合学校制定应急演练方案，开展应急演练。应派遣具有丰富经验的高级安全服务专家到现场，根据校方需求进行应急预案编制，包括：拒绝服务攻击DDOS、网页篡改、病毒事件等场景，包括需求调研、预案编制、修改完善等工作内容，并配合客户进行现场应急预案的操作演练，目的在于检查应急预案的可行性，同时提升客户安全工作人员的事件应急处理能力。</w:t>
            </w:r>
          </w:p>
          <w:p>
            <w:pPr>
              <w:widowControl/>
              <w:adjustRightInd w:val="0"/>
              <w:snapToGrid w:val="0"/>
              <w:spacing w:line="360" w:lineRule="auto"/>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协助校方制定应急演练方案，并协助校方组织实战攻防演练工作。在演练前期，安全服务专家将配合客户进行实战攻防演练环境搭建与调试，同时配合客户完成应急预案的编制工作。在演练过程中，提供实战攻防演练过程中的技术保障支撑工作，保证实战攻防演练过程的连贯性。在演练结束后，安全服务专家将协助客户开展实战攻防演练复盘总结，同时输出报告。</w:t>
            </w:r>
          </w:p>
          <w:p>
            <w:pPr>
              <w:widowControl/>
              <w:adjustRightInd w:val="0"/>
              <w:snapToGrid w:val="0"/>
              <w:spacing w:line="360" w:lineRule="auto"/>
              <w:rPr>
                <w:rFonts w:ascii="宋体" w:hAnsi="宋体" w:cs="宋体"/>
                <w:bCs/>
                <w:sz w:val="28"/>
                <w:szCs w:val="28"/>
                <w:highlight w:val="none"/>
              </w:rPr>
            </w:pPr>
            <w:r>
              <w:rPr>
                <w:rFonts w:ascii="宋体" w:hAnsi="宋体" w:cs="宋体"/>
                <w:sz w:val="28"/>
                <w:szCs w:val="28"/>
                <w:highlight w:val="none"/>
              </w:rPr>
              <w:t>3、</w:t>
            </w:r>
            <w:r>
              <w:rPr>
                <w:rFonts w:hint="eastAsia" w:ascii="宋体" w:hAnsi="宋体" w:cs="宋体"/>
                <w:bCs/>
                <w:sz w:val="28"/>
                <w:szCs w:val="28"/>
                <w:highlight w:val="none"/>
              </w:rPr>
              <w:t>每年提供1次应急演练服务。</w:t>
            </w:r>
          </w:p>
        </w:tc>
        <w:tc>
          <w:tcPr>
            <w:tcW w:w="851" w:type="dxa"/>
            <w:vAlign w:val="center"/>
          </w:tcPr>
          <w:p>
            <w:pPr>
              <w:pStyle w:val="9"/>
              <w:ind w:left="0" w:leftChars="0"/>
              <w:jc w:val="center"/>
              <w:rPr>
                <w:sz w:val="28"/>
                <w:szCs w:val="28"/>
                <w:highlight w:val="none"/>
              </w:rPr>
            </w:pPr>
            <w:r>
              <w:rPr>
                <w:rFonts w:hint="eastAsia"/>
                <w:sz w:val="28"/>
                <w:szCs w:val="28"/>
                <w:highlight w:val="none"/>
              </w:rPr>
              <w:t>1</w:t>
            </w:r>
          </w:p>
        </w:tc>
        <w:tc>
          <w:tcPr>
            <w:tcW w:w="775" w:type="dxa"/>
            <w:vAlign w:val="center"/>
          </w:tcPr>
          <w:p>
            <w:pPr>
              <w:pStyle w:val="9"/>
              <w:ind w:left="0" w:leftChars="0"/>
              <w:jc w:val="center"/>
              <w:rPr>
                <w:sz w:val="28"/>
                <w:szCs w:val="28"/>
                <w:highlight w:val="none"/>
              </w:rPr>
            </w:pPr>
            <w:r>
              <w:rPr>
                <w:rFonts w:hint="eastAsia"/>
                <w:sz w:val="28"/>
                <w:szCs w:val="28"/>
                <w:highlight w:val="none"/>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color w:val="000000" w:themeColor="text1"/>
                <w:sz w:val="28"/>
                <w:szCs w:val="28"/>
                <w:highlight w:val="none"/>
              </w:rPr>
            </w:pPr>
            <w:r>
              <w:rPr>
                <w:rFonts w:hint="eastAsia"/>
                <w:color w:val="000000" w:themeColor="text1"/>
                <w:sz w:val="28"/>
                <w:szCs w:val="28"/>
                <w:highlight w:val="none"/>
              </w:rPr>
              <w:t>10</w:t>
            </w:r>
          </w:p>
        </w:tc>
        <w:tc>
          <w:tcPr>
            <w:tcW w:w="1338" w:type="dxa"/>
            <w:vAlign w:val="center"/>
          </w:tcPr>
          <w:p>
            <w:pPr>
              <w:pStyle w:val="9"/>
              <w:ind w:left="0" w:leftChars="0"/>
              <w:rPr>
                <w:color w:val="000000" w:themeColor="text1"/>
                <w:sz w:val="28"/>
                <w:szCs w:val="28"/>
                <w:highlight w:val="none"/>
              </w:rPr>
            </w:pPr>
            <w:r>
              <w:rPr>
                <w:rFonts w:hint="eastAsia" w:ascii="宋体" w:hAnsi="宋体" w:cs="宋体"/>
                <w:sz w:val="28"/>
                <w:szCs w:val="28"/>
                <w:highlight w:val="none"/>
              </w:rPr>
              <w:t>重要时期网络安全保障</w:t>
            </w:r>
          </w:p>
        </w:tc>
        <w:tc>
          <w:tcPr>
            <w:tcW w:w="4332" w:type="dxa"/>
            <w:vAlign w:val="center"/>
          </w:tcPr>
          <w:p>
            <w:pPr>
              <w:widowControl/>
              <w:adjustRightInd w:val="0"/>
              <w:snapToGrid w:val="0"/>
              <w:spacing w:line="360" w:lineRule="auto"/>
              <w:rPr>
                <w:rFonts w:ascii="宋体" w:hAnsi="宋体" w:cs="宋体"/>
                <w:sz w:val="28"/>
                <w:szCs w:val="28"/>
                <w:highlight w:val="none"/>
              </w:rPr>
            </w:pPr>
            <w:r>
              <w:rPr>
                <w:rFonts w:hint="eastAsia" w:ascii="宋体" w:hAnsi="宋体" w:cs="宋体"/>
                <w:sz w:val="28"/>
                <w:szCs w:val="28"/>
                <w:highlight w:val="none"/>
              </w:rPr>
              <w:t>1、在重大节日、重要会议、江苏省网信办通知的重要时期及学校放假期间，派遣安全专家前往现场提供安全保障工作，对业务系统的安全状况进行实时监控和日志分析，并协助处理信息安全事件。</w:t>
            </w:r>
          </w:p>
          <w:p>
            <w:pPr>
              <w:tabs>
                <w:tab w:val="left" w:pos="720"/>
              </w:tabs>
              <w:adjustRightInd w:val="0"/>
              <w:snapToGrid w:val="0"/>
              <w:spacing w:line="360" w:lineRule="auto"/>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在重保期间内协助我校进行网络防护体系加固，服务供应商需要自行提供内网威胁感知、态势感知等安全工具支撑重要时期安全保障工作，保障重要时期安全保障工作的效果与质量。</w:t>
            </w:r>
          </w:p>
          <w:p>
            <w:pPr>
              <w:tabs>
                <w:tab w:val="left" w:pos="720"/>
              </w:tabs>
              <w:adjustRightInd w:val="0"/>
              <w:snapToGrid w:val="0"/>
              <w:spacing w:line="360" w:lineRule="auto"/>
              <w:rPr>
                <w:rFonts w:ascii="宋体" w:hAnsi="宋体" w:cs="宋体"/>
                <w:sz w:val="28"/>
                <w:szCs w:val="28"/>
                <w:highlight w:val="none"/>
              </w:rPr>
            </w:pPr>
            <w:r>
              <w:rPr>
                <w:rFonts w:ascii="宋体" w:hAnsi="宋体" w:cs="宋体"/>
                <w:sz w:val="28"/>
                <w:szCs w:val="28"/>
                <w:highlight w:val="none"/>
              </w:rPr>
              <w:t>4、</w:t>
            </w:r>
            <w:r>
              <w:rPr>
                <w:rFonts w:hint="eastAsia" w:ascii="宋体" w:hAnsi="宋体" w:cs="宋体"/>
                <w:bCs/>
                <w:sz w:val="28"/>
                <w:szCs w:val="28"/>
                <w:highlight w:val="none"/>
              </w:rPr>
              <w:t>每年提供现场提供10人天安全保障服务，远程提供不少于30人天安全保障服务。</w:t>
            </w:r>
          </w:p>
        </w:tc>
        <w:tc>
          <w:tcPr>
            <w:tcW w:w="851" w:type="dxa"/>
            <w:vAlign w:val="center"/>
          </w:tcPr>
          <w:p>
            <w:pPr>
              <w:pStyle w:val="9"/>
              <w:ind w:left="0" w:leftChars="0"/>
              <w:jc w:val="center"/>
              <w:rPr>
                <w:sz w:val="28"/>
                <w:szCs w:val="28"/>
                <w:highlight w:val="none"/>
              </w:rPr>
            </w:pPr>
            <w:r>
              <w:rPr>
                <w:rFonts w:hint="eastAsia"/>
                <w:sz w:val="28"/>
                <w:szCs w:val="28"/>
                <w:highlight w:val="none"/>
              </w:rPr>
              <w:t>2</w:t>
            </w:r>
          </w:p>
        </w:tc>
        <w:tc>
          <w:tcPr>
            <w:tcW w:w="775" w:type="dxa"/>
            <w:vAlign w:val="center"/>
          </w:tcPr>
          <w:p>
            <w:pPr>
              <w:pStyle w:val="9"/>
              <w:ind w:left="0" w:leftChars="0"/>
              <w:jc w:val="center"/>
              <w:rPr>
                <w:sz w:val="28"/>
                <w:szCs w:val="28"/>
                <w:highlight w:val="none"/>
              </w:rPr>
            </w:pPr>
            <w:r>
              <w:rPr>
                <w:rFonts w:hint="eastAsia"/>
                <w:sz w:val="28"/>
                <w:szCs w:val="2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color w:val="000000" w:themeColor="text1"/>
                <w:sz w:val="28"/>
                <w:szCs w:val="28"/>
                <w:highlight w:val="none"/>
              </w:rPr>
            </w:pPr>
            <w:r>
              <w:rPr>
                <w:rFonts w:hint="eastAsia"/>
                <w:color w:val="000000" w:themeColor="text1"/>
                <w:sz w:val="28"/>
                <w:szCs w:val="28"/>
                <w:highlight w:val="none"/>
              </w:rPr>
              <w:t>11</w:t>
            </w:r>
          </w:p>
        </w:tc>
        <w:tc>
          <w:tcPr>
            <w:tcW w:w="1338" w:type="dxa"/>
            <w:vAlign w:val="center"/>
          </w:tcPr>
          <w:p>
            <w:pPr>
              <w:pStyle w:val="9"/>
              <w:ind w:left="0" w:leftChars="0"/>
              <w:rPr>
                <w:color w:val="000000" w:themeColor="text1"/>
                <w:sz w:val="28"/>
                <w:szCs w:val="28"/>
                <w:highlight w:val="none"/>
              </w:rPr>
            </w:pPr>
            <w:r>
              <w:rPr>
                <w:rFonts w:hint="eastAsia" w:ascii="宋体" w:hAnsi="宋体" w:cs="宋体"/>
                <w:sz w:val="28"/>
                <w:szCs w:val="28"/>
                <w:highlight w:val="none"/>
              </w:rPr>
              <w:t>安全预警服务</w:t>
            </w:r>
          </w:p>
        </w:tc>
        <w:tc>
          <w:tcPr>
            <w:tcW w:w="4332" w:type="dxa"/>
            <w:vAlign w:val="center"/>
          </w:tcPr>
          <w:p>
            <w:pPr>
              <w:pStyle w:val="9"/>
              <w:ind w:left="0" w:leftChars="0"/>
              <w:jc w:val="left"/>
              <w:rPr>
                <w:color w:val="000000" w:themeColor="text1"/>
                <w:sz w:val="28"/>
                <w:szCs w:val="28"/>
                <w:highlight w:val="none"/>
              </w:rPr>
            </w:pPr>
            <w:r>
              <w:rPr>
                <w:rFonts w:hint="eastAsia" w:ascii="宋体" w:hAnsi="宋体" w:cs="宋体"/>
                <w:sz w:val="28"/>
                <w:szCs w:val="28"/>
                <w:highlight w:val="none"/>
              </w:rPr>
              <w:t>以邮件、文件、电话等方式，将安全技术和安全信息及时传递给客户，使客户能保持对信息安全最新动态的认识，提前预知风险，每月末以邮件方式提交安全月报。安全通告内容至少包括：目前主流操作系统的安全漏洞补丁；信息安全业界最新动态与技术；国内外最新信息安全趋势；紧急安全事件通告；最新的国内、外行业安全政策及法律法规。</w:t>
            </w:r>
          </w:p>
        </w:tc>
        <w:tc>
          <w:tcPr>
            <w:tcW w:w="851" w:type="dxa"/>
            <w:vAlign w:val="center"/>
          </w:tcPr>
          <w:p>
            <w:pPr>
              <w:pStyle w:val="9"/>
              <w:ind w:left="0" w:leftChars="0"/>
              <w:jc w:val="center"/>
              <w:rPr>
                <w:sz w:val="28"/>
                <w:szCs w:val="28"/>
                <w:highlight w:val="none"/>
              </w:rPr>
            </w:pPr>
            <w:r>
              <w:rPr>
                <w:rFonts w:hint="eastAsia"/>
                <w:sz w:val="28"/>
                <w:szCs w:val="28"/>
                <w:highlight w:val="none"/>
              </w:rPr>
              <w:t>2</w:t>
            </w:r>
          </w:p>
        </w:tc>
        <w:tc>
          <w:tcPr>
            <w:tcW w:w="775" w:type="dxa"/>
            <w:vAlign w:val="center"/>
          </w:tcPr>
          <w:p>
            <w:pPr>
              <w:pStyle w:val="9"/>
              <w:ind w:left="0" w:leftChars="0"/>
              <w:jc w:val="center"/>
              <w:rPr>
                <w:sz w:val="28"/>
                <w:szCs w:val="28"/>
                <w:highlight w:val="none"/>
              </w:rPr>
            </w:pPr>
            <w:r>
              <w:rPr>
                <w:rFonts w:hint="eastAsia"/>
                <w:sz w:val="28"/>
                <w:szCs w:val="28"/>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color w:val="000000" w:themeColor="text1"/>
                <w:sz w:val="28"/>
                <w:szCs w:val="28"/>
                <w:highlight w:val="none"/>
              </w:rPr>
            </w:pPr>
            <w:r>
              <w:rPr>
                <w:rFonts w:hint="eastAsia"/>
                <w:color w:val="000000" w:themeColor="text1"/>
                <w:sz w:val="28"/>
                <w:szCs w:val="28"/>
                <w:highlight w:val="none"/>
              </w:rPr>
              <w:t>12</w:t>
            </w:r>
          </w:p>
        </w:tc>
        <w:tc>
          <w:tcPr>
            <w:tcW w:w="1338" w:type="dxa"/>
            <w:vAlign w:val="center"/>
          </w:tcPr>
          <w:p>
            <w:pPr>
              <w:pStyle w:val="9"/>
              <w:ind w:left="0" w:leftChars="0"/>
              <w:rPr>
                <w:color w:val="000000" w:themeColor="text1"/>
                <w:sz w:val="28"/>
                <w:szCs w:val="28"/>
                <w:highlight w:val="none"/>
              </w:rPr>
            </w:pPr>
            <w:r>
              <w:rPr>
                <w:rFonts w:hint="eastAsia" w:ascii="宋体" w:hAnsi="宋体" w:cs="宋体"/>
                <w:sz w:val="28"/>
                <w:szCs w:val="28"/>
                <w:highlight w:val="none"/>
              </w:rPr>
              <w:t>安全培训</w:t>
            </w:r>
          </w:p>
        </w:tc>
        <w:tc>
          <w:tcPr>
            <w:tcW w:w="4332" w:type="dxa"/>
            <w:vAlign w:val="center"/>
          </w:tcPr>
          <w:p>
            <w:pPr>
              <w:tabs>
                <w:tab w:val="left" w:pos="720"/>
              </w:tabs>
              <w:adjustRightInd w:val="0"/>
              <w:snapToGrid w:val="0"/>
              <w:spacing w:line="360" w:lineRule="auto"/>
              <w:rPr>
                <w:rFonts w:ascii="宋体" w:hAnsi="宋体" w:cs="宋体"/>
                <w:sz w:val="28"/>
                <w:szCs w:val="28"/>
                <w:highlight w:val="none"/>
              </w:rPr>
            </w:pPr>
            <w:r>
              <w:rPr>
                <w:rFonts w:hint="eastAsia" w:ascii="宋体" w:hAnsi="宋体" w:cs="宋体"/>
                <w:sz w:val="28"/>
                <w:szCs w:val="28"/>
                <w:highlight w:val="none"/>
              </w:rPr>
              <w:t>1、投标人通过专业的培训团队，为学校相关人员提供从信息安全意识、信息安全技能、信息安全管理等多方面提供安全培训服务。</w:t>
            </w:r>
          </w:p>
          <w:p>
            <w:pPr>
              <w:tabs>
                <w:tab w:val="left" w:pos="720"/>
              </w:tabs>
              <w:adjustRightInd w:val="0"/>
              <w:snapToGrid w:val="0"/>
              <w:spacing w:line="360" w:lineRule="auto"/>
              <w:rPr>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每年提供2次安全培训服务，不限参与人数，每次培训时间不少于1人天。</w:t>
            </w:r>
          </w:p>
        </w:tc>
        <w:tc>
          <w:tcPr>
            <w:tcW w:w="851" w:type="dxa"/>
            <w:vAlign w:val="center"/>
          </w:tcPr>
          <w:p>
            <w:pPr>
              <w:pStyle w:val="9"/>
              <w:ind w:left="0" w:leftChars="0"/>
              <w:jc w:val="center"/>
              <w:rPr>
                <w:sz w:val="28"/>
                <w:szCs w:val="28"/>
                <w:highlight w:val="none"/>
              </w:rPr>
            </w:pPr>
            <w:r>
              <w:rPr>
                <w:sz w:val="28"/>
                <w:szCs w:val="28"/>
                <w:highlight w:val="none"/>
              </w:rPr>
              <w:t>2</w:t>
            </w:r>
          </w:p>
        </w:tc>
        <w:tc>
          <w:tcPr>
            <w:tcW w:w="775" w:type="dxa"/>
            <w:vAlign w:val="center"/>
          </w:tcPr>
          <w:p>
            <w:pPr>
              <w:pStyle w:val="9"/>
              <w:ind w:left="0" w:leftChars="0"/>
              <w:jc w:val="center"/>
              <w:rPr>
                <w:sz w:val="28"/>
                <w:szCs w:val="28"/>
                <w:highlight w:val="none"/>
              </w:rPr>
            </w:pPr>
            <w:r>
              <w:rPr>
                <w:rFonts w:hint="eastAsia"/>
                <w:sz w:val="28"/>
                <w:szCs w:val="28"/>
                <w:highlight w:val="none"/>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pStyle w:val="9"/>
              <w:ind w:left="0" w:leftChars="0"/>
              <w:jc w:val="center"/>
              <w:rPr>
                <w:color w:val="000000" w:themeColor="text1"/>
                <w:sz w:val="28"/>
                <w:szCs w:val="28"/>
                <w:highlight w:val="none"/>
              </w:rPr>
            </w:pPr>
            <w:r>
              <w:rPr>
                <w:rFonts w:hint="eastAsia"/>
                <w:color w:val="000000" w:themeColor="text1"/>
                <w:sz w:val="28"/>
                <w:szCs w:val="28"/>
                <w:highlight w:val="none"/>
              </w:rPr>
              <w:t>13</w:t>
            </w:r>
          </w:p>
        </w:tc>
        <w:tc>
          <w:tcPr>
            <w:tcW w:w="1338" w:type="dxa"/>
            <w:vAlign w:val="center"/>
          </w:tcPr>
          <w:p>
            <w:pPr>
              <w:pStyle w:val="9"/>
              <w:ind w:left="0" w:leftChars="0"/>
              <w:rPr>
                <w:rFonts w:ascii="宋体" w:hAnsi="宋体" w:cs="宋体"/>
                <w:sz w:val="28"/>
                <w:szCs w:val="28"/>
                <w:highlight w:val="none"/>
              </w:rPr>
            </w:pPr>
            <w:r>
              <w:rPr>
                <w:rFonts w:hint="eastAsia" w:ascii="宋体" w:hAnsi="宋体" w:cs="宋体"/>
                <w:sz w:val="28"/>
                <w:szCs w:val="28"/>
                <w:highlight w:val="none"/>
              </w:rPr>
              <w:t>安全运维平台分析服务</w:t>
            </w:r>
          </w:p>
        </w:tc>
        <w:tc>
          <w:tcPr>
            <w:tcW w:w="4332" w:type="dxa"/>
            <w:vAlign w:val="center"/>
          </w:tcPr>
          <w:p>
            <w:pPr>
              <w:tabs>
                <w:tab w:val="left" w:pos="720"/>
              </w:tabs>
              <w:adjustRightInd w:val="0"/>
              <w:snapToGrid w:val="0"/>
              <w:spacing w:line="360" w:lineRule="auto"/>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投标人在中标后需部署一套安全态势感知硬件平台在学校，实现校园内网7*24小时安全态势监测、报警服务。</w:t>
            </w:r>
          </w:p>
          <w:p>
            <w:pPr>
              <w:tabs>
                <w:tab w:val="left" w:pos="720"/>
              </w:tabs>
              <w:adjustRightInd w:val="0"/>
              <w:snapToGrid w:val="0"/>
              <w:spacing w:line="360" w:lineRule="auto"/>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、支持自定义告警规则，根据安全设备CPU利用率、内存利用率、整机流量、接口流量、安全设备下线、并发会话、接口断开、接口上下行流量过界等做为触发条件，及时反馈纳管安全设备运行态势（提供截图）。</w:t>
            </w:r>
          </w:p>
        </w:tc>
        <w:tc>
          <w:tcPr>
            <w:tcW w:w="851" w:type="dxa"/>
            <w:vAlign w:val="center"/>
          </w:tcPr>
          <w:p>
            <w:pPr>
              <w:pStyle w:val="9"/>
              <w:ind w:left="0" w:leftChars="0"/>
              <w:jc w:val="center"/>
              <w:rPr>
                <w:sz w:val="28"/>
                <w:szCs w:val="28"/>
                <w:highlight w:val="none"/>
              </w:rPr>
            </w:pPr>
            <w:r>
              <w:rPr>
                <w:rFonts w:hint="eastAsia"/>
                <w:sz w:val="28"/>
                <w:szCs w:val="28"/>
                <w:highlight w:val="none"/>
              </w:rPr>
              <w:t>2</w:t>
            </w:r>
          </w:p>
        </w:tc>
        <w:tc>
          <w:tcPr>
            <w:tcW w:w="775" w:type="dxa"/>
            <w:vAlign w:val="center"/>
          </w:tcPr>
          <w:p>
            <w:pPr>
              <w:pStyle w:val="9"/>
              <w:ind w:left="0" w:leftChars="0"/>
              <w:jc w:val="center"/>
              <w:rPr>
                <w:sz w:val="28"/>
                <w:szCs w:val="28"/>
                <w:highlight w:val="none"/>
              </w:rPr>
            </w:pPr>
            <w:r>
              <w:rPr>
                <w:rFonts w:hint="eastAsia"/>
                <w:sz w:val="28"/>
                <w:szCs w:val="28"/>
                <w:highlight w:val="none"/>
              </w:rPr>
              <w:t>年</w:t>
            </w:r>
          </w:p>
        </w:tc>
      </w:tr>
    </w:tbl>
    <w:p>
      <w:pPr>
        <w:rPr>
          <w:b/>
          <w:sz w:val="28"/>
          <w:szCs w:val="28"/>
          <w:highlight w:val="none"/>
        </w:rPr>
      </w:pPr>
      <w:r>
        <w:rPr>
          <w:rFonts w:hint="eastAsia"/>
          <w:b/>
          <w:sz w:val="28"/>
          <w:szCs w:val="28"/>
          <w:highlight w:val="none"/>
        </w:rPr>
        <w:t>2.网络安全服务详细要求</w:t>
      </w:r>
    </w:p>
    <w:p>
      <w:pPr>
        <w:rPr>
          <w:b/>
          <w:sz w:val="28"/>
          <w:szCs w:val="28"/>
          <w:highlight w:val="none"/>
        </w:rPr>
      </w:pPr>
      <w:bookmarkStart w:id="11" w:name="_Hlk43736629"/>
      <w:r>
        <w:rPr>
          <w:rFonts w:hint="eastAsia"/>
          <w:b/>
          <w:sz w:val="28"/>
          <w:szCs w:val="28"/>
          <w:highlight w:val="none"/>
        </w:rPr>
        <w:t>2.1网站安全监测服务</w:t>
      </w:r>
    </w:p>
    <w:p>
      <w:pPr>
        <w:widowControl/>
        <w:adjustRightInd w:val="0"/>
        <w:snapToGrid w:val="0"/>
        <w:spacing w:line="360" w:lineRule="auto"/>
        <w:ind w:firstLine="420" w:firstLineChars="150"/>
        <w:rPr>
          <w:rFonts w:ascii="宋体" w:hAnsi="宋体" w:cs="宋体"/>
          <w:bCs/>
          <w:kern w:val="0"/>
          <w:sz w:val="28"/>
          <w:szCs w:val="28"/>
          <w:highlight w:val="none"/>
        </w:rPr>
      </w:pPr>
      <w:r>
        <w:rPr>
          <w:rFonts w:hint="eastAsia" w:ascii="宋体" w:hAnsi="宋体" w:cs="宋体"/>
          <w:kern w:val="0"/>
          <w:sz w:val="28"/>
          <w:szCs w:val="28"/>
          <w:highlight w:val="none"/>
        </w:rPr>
        <w:t>投标方应通过专业的网站安全检测平台对开放到互联网的网站系统开展安全监测，监测内容主要包括：网站破坏事件（如域名被劫持、网页被篡改）；有害程序事件（如病毒感染、网页挂马）</w:t>
      </w:r>
      <w:r>
        <w:rPr>
          <w:rFonts w:hint="eastAsia" w:ascii="宋体" w:hAnsi="宋体" w:cs="宋体"/>
          <w:bCs/>
          <w:kern w:val="0"/>
          <w:sz w:val="28"/>
          <w:szCs w:val="28"/>
          <w:highlight w:val="none"/>
        </w:rPr>
        <w:t>；网站攻击事件（如拒绝服务攻击、扫描探测、漏洞攻击）；系统安全漏洞（如web应用漏洞检测）；网站信息内容监测（如敏感关键字、非法信息、涉密信息）等。并在每月提供网站安全监测统计报表。</w:t>
      </w:r>
    </w:p>
    <w:p>
      <w:pPr>
        <w:rPr>
          <w:b/>
          <w:sz w:val="28"/>
          <w:szCs w:val="28"/>
          <w:highlight w:val="none"/>
        </w:rPr>
      </w:pPr>
      <w:r>
        <w:rPr>
          <w:rFonts w:hint="eastAsia"/>
          <w:b/>
          <w:sz w:val="28"/>
          <w:szCs w:val="28"/>
          <w:highlight w:val="none"/>
        </w:rPr>
        <w:t>2.3敏感数据治理服务</w:t>
      </w:r>
    </w:p>
    <w:p>
      <w:pPr>
        <w:widowControl/>
        <w:adjustRightInd w:val="0"/>
        <w:snapToGrid w:val="0"/>
        <w:spacing w:line="360" w:lineRule="auto"/>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针对学校常见的敏感数据泄露、弱口令等安全问题进行系统化治理服务。针对网站页面中的敏感数据泄露问题，需要通过实时被动防控的手段阻断具有敏感数据（身份证号、银行卡号）泄露页面的访问连接；针对弱口令等安全问题，需要协助学校制定应用安全开发策略加强后续的应用系统弱口令防护能力，并可针对开发效果进行验证。</w:t>
      </w:r>
    </w:p>
    <w:p>
      <w:pPr>
        <w:widowControl/>
        <w:adjustRightInd w:val="0"/>
        <w:snapToGrid w:val="0"/>
        <w:spacing w:line="360" w:lineRule="auto"/>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▲投标人使用的被动防控工具应具备阻断存在敏感数据（身份证号、银行卡号）泄露网页访问的功能效果。（提供界面截图证明并提供承诺函）</w:t>
      </w:r>
    </w:p>
    <w:bookmarkEnd w:id="11"/>
    <w:p>
      <w:pPr>
        <w:rPr>
          <w:rFonts w:ascii="宋体" w:hAnsi="宋体" w:cs="宋体"/>
          <w:b/>
          <w:kern w:val="0"/>
          <w:sz w:val="28"/>
          <w:szCs w:val="28"/>
          <w:highlight w:val="none"/>
        </w:rPr>
      </w:pPr>
      <w:bookmarkStart w:id="12" w:name="_Toc10635"/>
      <w:r>
        <w:rPr>
          <w:rFonts w:hint="eastAsia"/>
          <w:b/>
          <w:sz w:val="28"/>
          <w:szCs w:val="28"/>
          <w:highlight w:val="none"/>
        </w:rPr>
        <w:t>2.2 渗透测试</w:t>
      </w:r>
      <w:bookmarkEnd w:id="12"/>
    </w:p>
    <w:p>
      <w:pPr>
        <w:widowControl/>
        <w:adjustRightInd w:val="0"/>
        <w:snapToGrid w:val="0"/>
        <w:spacing w:line="360" w:lineRule="auto"/>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针对学校核心网站及应用系统通过真实模拟黑客使用的工具、分析方法来对应用进行模拟攻击，由高级工程师进行深入的手工测试和分析，识别工具弱点扫描无法发现的问题。</w:t>
      </w:r>
    </w:p>
    <w:p>
      <w:pPr>
        <w:widowControl/>
        <w:adjustRightInd w:val="0"/>
        <w:snapToGrid w:val="0"/>
        <w:spacing w:line="360" w:lineRule="auto"/>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主要分析内容包括逻辑缺陷、上传绕过、输入输出校验绕过、数据篡改、功能绕过、异常错误以及其他专项内容等。</w:t>
      </w:r>
    </w:p>
    <w:p>
      <w:pPr>
        <w:widowControl/>
        <w:adjustRightInd w:val="0"/>
        <w:snapToGrid w:val="0"/>
        <w:spacing w:line="360" w:lineRule="auto"/>
        <w:ind w:firstLine="420" w:firstLineChars="150"/>
        <w:jc w:val="left"/>
        <w:rPr>
          <w:rFonts w:ascii="宋体" w:hAnsi="Calibri"/>
          <w:sz w:val="28"/>
          <w:szCs w:val="28"/>
          <w:highlight w:val="none"/>
        </w:rPr>
      </w:pPr>
      <w:bookmarkStart w:id="13" w:name="_Hlk43548862"/>
      <w:r>
        <w:rPr>
          <w:rFonts w:hint="eastAsia" w:ascii="宋体" w:cs="宋体"/>
          <w:kern w:val="0"/>
          <w:sz w:val="28"/>
          <w:szCs w:val="28"/>
          <w:highlight w:val="none"/>
        </w:rPr>
        <w:t>▲</w:t>
      </w:r>
      <w:r>
        <w:rPr>
          <w:rFonts w:hint="eastAsia" w:ascii="宋体" w:hAnsi="Calibri"/>
          <w:sz w:val="28"/>
          <w:szCs w:val="28"/>
          <w:highlight w:val="none"/>
        </w:rPr>
        <w:t>投标人为国家信息安全漏洞库（CNNVD）技术支撑单位（二级及以上）和网络安全应急服务支撑单位（省级及以上）（需提供相关截图或者盖章的证明材料）。</w:t>
      </w:r>
      <w:bookmarkEnd w:id="13"/>
    </w:p>
    <w:p>
      <w:pPr>
        <w:rPr>
          <w:b/>
          <w:sz w:val="28"/>
          <w:szCs w:val="28"/>
          <w:highlight w:val="none"/>
        </w:rPr>
      </w:pPr>
      <w:bookmarkStart w:id="14" w:name="_Toc4183"/>
      <w:r>
        <w:rPr>
          <w:rFonts w:hint="eastAsia"/>
          <w:b/>
          <w:sz w:val="28"/>
          <w:szCs w:val="28"/>
          <w:highlight w:val="none"/>
        </w:rPr>
        <w:t>2.3 漏洞扫描</w:t>
      </w:r>
      <w:bookmarkEnd w:id="14"/>
    </w:p>
    <w:p>
      <w:pPr>
        <w:widowControl/>
        <w:adjustRightInd w:val="0"/>
        <w:snapToGrid w:val="0"/>
        <w:spacing w:line="360" w:lineRule="auto"/>
        <w:rPr>
          <w:rFonts w:ascii="宋体" w:hAnsi="宋体" w:cs="宋体"/>
          <w:kern w:val="0"/>
          <w:sz w:val="28"/>
          <w:szCs w:val="28"/>
          <w:highlight w:val="none"/>
        </w:rPr>
      </w:pPr>
      <w:bookmarkStart w:id="15" w:name="_Hlk43736922"/>
      <w:r>
        <w:rPr>
          <w:rFonts w:hint="eastAsia" w:ascii="宋体" w:hAnsi="宋体" w:cs="宋体"/>
          <w:kern w:val="0"/>
          <w:sz w:val="28"/>
          <w:szCs w:val="28"/>
          <w:highlight w:val="none"/>
        </w:rPr>
        <w:t>（1）</w:t>
      </w:r>
      <w:bookmarkEnd w:id="15"/>
      <w:r>
        <w:rPr>
          <w:rFonts w:hint="eastAsia" w:ascii="宋体" w:hAnsi="宋体" w:cs="宋体"/>
          <w:kern w:val="0"/>
          <w:sz w:val="28"/>
          <w:szCs w:val="28"/>
          <w:highlight w:val="none"/>
        </w:rPr>
        <w:t>服务人员应使用自主研发的商用漏洞扫描工具对网站及应用系统进行漏洞扫描，发现扫描对象存在的web应用漏洞、主机操作系统漏洞、数据库漏洞、逻辑缺陷、弱口令、信息泄露等脆弱性问题。</w:t>
      </w:r>
    </w:p>
    <w:p>
      <w:pPr>
        <w:widowControl/>
        <w:adjustRightInd w:val="0"/>
        <w:snapToGrid w:val="0"/>
        <w:spacing w:line="360" w:lineRule="auto"/>
        <w:rPr>
          <w:rFonts w:ascii="宋体" w:hAnsi="宋体" w:cs="宋体"/>
          <w:kern w:val="0"/>
          <w:sz w:val="28"/>
          <w:szCs w:val="28"/>
          <w:highlight w:val="none"/>
        </w:rPr>
      </w:pPr>
      <w:r>
        <w:rPr>
          <w:rFonts w:hint="eastAsia" w:ascii="宋体" w:hAnsi="宋体" w:cs="宋体"/>
          <w:kern w:val="0"/>
          <w:sz w:val="28"/>
          <w:szCs w:val="28"/>
          <w:highlight w:val="none"/>
        </w:rPr>
        <w:t>（2）中标人应提交漏洞扫描工具的情况（包括但不限于：设备厂商、设备型号、漏洞库等）、漏洞扫描工作方案（包括但不限于：目标对象、扫描时间、风险规避措施等）及漏洞扫描申请，校方授权后，方可进行。</w:t>
      </w:r>
    </w:p>
    <w:p>
      <w:pPr>
        <w:widowControl/>
        <w:adjustRightInd w:val="0"/>
        <w:snapToGrid w:val="0"/>
        <w:spacing w:line="360" w:lineRule="auto"/>
        <w:rPr>
          <w:rFonts w:ascii="宋体" w:hAnsi="宋体" w:cs="宋体"/>
          <w:kern w:val="0"/>
          <w:sz w:val="28"/>
          <w:szCs w:val="28"/>
          <w:highlight w:val="none"/>
        </w:rPr>
      </w:pPr>
      <w:r>
        <w:rPr>
          <w:rFonts w:hint="eastAsia" w:ascii="宋体" w:hAnsi="宋体" w:cs="宋体"/>
          <w:kern w:val="0"/>
          <w:sz w:val="28"/>
          <w:szCs w:val="28"/>
          <w:highlight w:val="none"/>
        </w:rPr>
        <w:t>（3）中标人应对漏洞扫描结果进行人工验证，保证漏洞扫描结果的真实性。</w:t>
      </w:r>
    </w:p>
    <w:p>
      <w:pPr>
        <w:widowControl/>
        <w:adjustRightInd w:val="0"/>
        <w:snapToGrid w:val="0"/>
        <w:spacing w:line="360" w:lineRule="auto"/>
        <w:rPr>
          <w:rFonts w:ascii="宋体" w:hAnsi="宋体" w:cs="宋体"/>
          <w:kern w:val="0"/>
          <w:sz w:val="28"/>
          <w:szCs w:val="28"/>
          <w:highlight w:val="none"/>
        </w:rPr>
      </w:pPr>
      <w:r>
        <w:rPr>
          <w:rFonts w:hint="eastAsia" w:ascii="宋体" w:hAnsi="宋体" w:cs="宋体"/>
          <w:kern w:val="0"/>
          <w:sz w:val="28"/>
          <w:szCs w:val="28"/>
          <w:highlight w:val="none"/>
        </w:rPr>
        <w:t>（4）中标人应提交针对性的解决方案，保证漏洞修复可落地。</w:t>
      </w:r>
    </w:p>
    <w:p>
      <w:pPr>
        <w:widowControl/>
        <w:adjustRightInd w:val="0"/>
        <w:snapToGrid w:val="0"/>
        <w:spacing w:line="360" w:lineRule="auto"/>
        <w:jc w:val="left"/>
        <w:rPr>
          <w:rFonts w:ascii="宋体" w:hAnsi="宋体" w:cs="宋体"/>
          <w:bCs/>
          <w:kern w:val="0"/>
          <w:sz w:val="28"/>
          <w:szCs w:val="28"/>
          <w:highlight w:val="none"/>
        </w:rPr>
      </w:pPr>
      <w:bookmarkStart w:id="16" w:name="_Hlk43736553"/>
      <w:r>
        <w:rPr>
          <w:rFonts w:hint="eastAsia" w:ascii="宋体" w:hAnsi="宋体" w:cs="宋体"/>
          <w:bCs/>
          <w:kern w:val="0"/>
          <w:sz w:val="28"/>
          <w:szCs w:val="28"/>
          <w:highlight w:val="none"/>
        </w:rPr>
        <w:t>▲为了更好地为我校提供安全检测与漏洞扫描服务，投标人的漏洞扫描服务应加入微软安全响应中心发起的MAPP计划，可以在微软发布每月安全公告之前获取到微软产品的详细漏洞信息提前进行安全检测，须提供微软官网的截图证明。</w:t>
      </w:r>
    </w:p>
    <w:bookmarkEnd w:id="16"/>
    <w:p>
      <w:pPr>
        <w:rPr>
          <w:b/>
          <w:sz w:val="28"/>
          <w:szCs w:val="28"/>
          <w:highlight w:val="none"/>
        </w:rPr>
      </w:pPr>
      <w:bookmarkStart w:id="17" w:name="_Toc18631"/>
      <w:bookmarkStart w:id="18" w:name="_Hlk43737368"/>
      <w:r>
        <w:rPr>
          <w:rFonts w:hint="eastAsia"/>
          <w:b/>
          <w:sz w:val="28"/>
          <w:szCs w:val="28"/>
          <w:highlight w:val="none"/>
        </w:rPr>
        <w:t>2.4 漏洞复测服务</w:t>
      </w:r>
      <w:bookmarkEnd w:id="17"/>
    </w:p>
    <w:p>
      <w:pPr>
        <w:tabs>
          <w:tab w:val="left" w:pos="720"/>
        </w:tabs>
        <w:adjustRightInd w:val="0"/>
        <w:snapToGrid w:val="0"/>
        <w:spacing w:line="360" w:lineRule="auto"/>
        <w:rPr>
          <w:rFonts w:ascii="宋体" w:hAnsi="宋体"/>
          <w:sz w:val="28"/>
          <w:szCs w:val="28"/>
          <w:highlight w:val="none"/>
        </w:rPr>
      </w:pPr>
      <w:r>
        <w:rPr>
          <w:rFonts w:hint="eastAsia" w:ascii="宋体" w:hAnsi="宋体"/>
          <w:sz w:val="28"/>
          <w:szCs w:val="28"/>
          <w:highlight w:val="none"/>
        </w:rPr>
        <w:t>（1）针对漏洞扫描、渗透测试、安全运维平台分析日志、内网资产流量分析中发现的安全漏洞和配置缺陷，要求服务供应商根据提供的报告，定期对存在的问题进行漏洞复测，以确保漏洞已经修复。</w:t>
      </w:r>
    </w:p>
    <w:p>
      <w:pPr>
        <w:tabs>
          <w:tab w:val="left" w:pos="720"/>
        </w:tabs>
        <w:adjustRightInd w:val="0"/>
        <w:snapToGrid w:val="0"/>
        <w:spacing w:line="360" w:lineRule="auto"/>
        <w:rPr>
          <w:rFonts w:ascii="宋体" w:hAnsi="宋体"/>
          <w:sz w:val="28"/>
          <w:szCs w:val="28"/>
          <w:highlight w:val="none"/>
        </w:rPr>
      </w:pPr>
      <w:r>
        <w:rPr>
          <w:rFonts w:hint="eastAsia" w:ascii="宋体" w:hAnsi="宋体"/>
          <w:sz w:val="28"/>
          <w:szCs w:val="28"/>
          <w:highlight w:val="none"/>
        </w:rPr>
        <w:t>（2）在完成漏洞复测后，安全服务专家将与之前的报告进行比对，并输出《漏洞复测报告》，确认修复动作的有效性。如评估期内依然无法修复漏洞的，安全服务专家也应在《漏洞复测报告》中指明现在依然存在的问题，并指导管理员继续进行漏洞和配置修复动作。</w:t>
      </w:r>
    </w:p>
    <w:bookmarkEnd w:id="18"/>
    <w:p>
      <w:pPr>
        <w:rPr>
          <w:b/>
          <w:sz w:val="28"/>
          <w:szCs w:val="28"/>
          <w:highlight w:val="none"/>
        </w:rPr>
      </w:pPr>
      <w:bookmarkStart w:id="19" w:name="_Toc31857"/>
      <w:bookmarkStart w:id="20" w:name="_Hlk43737399"/>
      <w:r>
        <w:rPr>
          <w:rFonts w:hint="eastAsia"/>
          <w:b/>
          <w:sz w:val="28"/>
          <w:szCs w:val="28"/>
          <w:highlight w:val="none"/>
        </w:rPr>
        <w:t>2.5应急响应服务</w:t>
      </w:r>
      <w:bookmarkEnd w:id="19"/>
    </w:p>
    <w:p>
      <w:pPr>
        <w:tabs>
          <w:tab w:val="left" w:pos="720"/>
        </w:tabs>
        <w:adjustRightInd w:val="0"/>
        <w:snapToGrid w:val="0"/>
        <w:spacing w:line="360" w:lineRule="auto"/>
        <w:rPr>
          <w:rFonts w:ascii="宋体" w:hAnsi="宋体"/>
          <w:sz w:val="28"/>
          <w:szCs w:val="28"/>
          <w:highlight w:val="none"/>
        </w:rPr>
      </w:pPr>
      <w:r>
        <w:rPr>
          <w:rFonts w:hint="eastAsia" w:ascii="宋体" w:hAnsi="宋体"/>
          <w:sz w:val="28"/>
          <w:szCs w:val="28"/>
          <w:highlight w:val="none"/>
        </w:rPr>
        <w:t>当学校发生紧急网络安全事件时，派遣安全专家前往现场进行应急响应工作，2小时内到达现场，协助解决安全事件，查找攻击来源，定位攻击者所利用的漏洞，查杀服务器操作系统中发现的病毒或木马，分析样本。</w:t>
      </w:r>
      <w:bookmarkEnd w:id="20"/>
      <w:bookmarkStart w:id="21" w:name="_Toc8245"/>
    </w:p>
    <w:p>
      <w:pPr>
        <w:tabs>
          <w:tab w:val="left" w:pos="720"/>
        </w:tabs>
        <w:adjustRightInd w:val="0"/>
        <w:snapToGrid w:val="0"/>
        <w:spacing w:line="360" w:lineRule="auto"/>
        <w:rPr>
          <w:rFonts w:ascii="宋体" w:hAnsi="宋体"/>
          <w:sz w:val="28"/>
          <w:szCs w:val="28"/>
          <w:highlight w:val="none"/>
        </w:rPr>
      </w:pPr>
      <w:r>
        <w:rPr>
          <w:rFonts w:hint="eastAsia"/>
          <w:b/>
          <w:sz w:val="28"/>
          <w:szCs w:val="28"/>
          <w:highlight w:val="none"/>
        </w:rPr>
        <w:t>2</w:t>
      </w:r>
      <w:bookmarkStart w:id="22" w:name="_Hlk43737695"/>
      <w:r>
        <w:rPr>
          <w:rFonts w:hint="eastAsia"/>
          <w:b/>
          <w:sz w:val="28"/>
          <w:szCs w:val="28"/>
          <w:highlight w:val="none"/>
        </w:rPr>
        <w:t>.6应急演练</w:t>
      </w:r>
      <w:bookmarkEnd w:id="21"/>
      <w:bookmarkEnd w:id="22"/>
      <w:r>
        <w:rPr>
          <w:rFonts w:hint="eastAsia"/>
          <w:b/>
          <w:sz w:val="28"/>
          <w:szCs w:val="28"/>
          <w:highlight w:val="none"/>
        </w:rPr>
        <w:t>服务</w:t>
      </w:r>
    </w:p>
    <w:p>
      <w:pPr>
        <w:tabs>
          <w:tab w:val="left" w:pos="720"/>
        </w:tabs>
        <w:adjustRightInd w:val="0"/>
        <w:snapToGrid w:val="0"/>
        <w:spacing w:line="360" w:lineRule="auto"/>
        <w:rPr>
          <w:rFonts w:ascii="宋体" w:hAnsi="宋体"/>
          <w:sz w:val="28"/>
          <w:szCs w:val="28"/>
          <w:highlight w:val="none"/>
        </w:rPr>
      </w:pPr>
      <w:r>
        <w:rPr>
          <w:rFonts w:hint="eastAsia" w:ascii="宋体" w:hAnsi="宋体"/>
          <w:sz w:val="28"/>
          <w:szCs w:val="28"/>
          <w:highlight w:val="none"/>
        </w:rPr>
        <w:t>（1）配合学校制定应急演练方案，开展应急演练。投标人应派遣具有丰富经验的高级安全服务专家到现场，根据校方需求进行应急预案编制，包括：拒绝服务攻击DDOS、网页篡改、病毒事件等场景，包括需求调研、预案编制、修改完善等工作内容，并配合客户进行现场应急预案的操作演练，目的在于检查应急预案的可行性，同时提升客户安全工作人员的事件应急处理能力。</w:t>
      </w:r>
    </w:p>
    <w:p>
      <w:pPr>
        <w:tabs>
          <w:tab w:val="left" w:pos="720"/>
        </w:tabs>
        <w:adjustRightInd w:val="0"/>
        <w:snapToGrid w:val="0"/>
        <w:spacing w:line="360" w:lineRule="auto"/>
        <w:rPr>
          <w:rFonts w:ascii="宋体" w:hAnsi="宋体"/>
          <w:sz w:val="28"/>
          <w:szCs w:val="28"/>
          <w:highlight w:val="none"/>
        </w:rPr>
      </w:pPr>
      <w:r>
        <w:rPr>
          <w:rFonts w:hint="eastAsia" w:ascii="宋体" w:hAnsi="宋体"/>
          <w:sz w:val="28"/>
          <w:szCs w:val="28"/>
          <w:highlight w:val="none"/>
        </w:rPr>
        <w:t>（2）投标人协助校方制定应急演练方案，并协助校方组织实战攻防演练工作。在演练前期，安全服务专家将配合客户进行实战攻防演练环境搭建与调试，同时配合客户完成应急预案的编制工作。在演练过程中，提供实战攻防演练过程中的技术保障支撑工作，保证实战攻防演练过程的连贯性。在演练结束后，安全服务专家将协助客户开展实战攻防演练复盘总结，同时输出报告。</w:t>
      </w:r>
      <w:bookmarkStart w:id="23" w:name="_Toc14225"/>
    </w:p>
    <w:p>
      <w:pPr>
        <w:tabs>
          <w:tab w:val="left" w:pos="720"/>
        </w:tabs>
        <w:adjustRightInd w:val="0"/>
        <w:snapToGrid w:val="0"/>
        <w:spacing w:line="360" w:lineRule="auto"/>
        <w:rPr>
          <w:rFonts w:ascii="宋体" w:hAnsi="宋体"/>
          <w:b/>
          <w:bCs/>
          <w:kern w:val="0"/>
          <w:sz w:val="28"/>
          <w:szCs w:val="28"/>
          <w:highlight w:val="none"/>
        </w:rPr>
      </w:pPr>
      <w:r>
        <w:rPr>
          <w:rFonts w:hint="eastAsia" w:ascii="宋体" w:hAnsi="宋体"/>
          <w:b/>
          <w:bCs/>
          <w:kern w:val="0"/>
          <w:sz w:val="28"/>
          <w:szCs w:val="28"/>
          <w:highlight w:val="none"/>
        </w:rPr>
        <w:t>2.7重要时期网络安全保障</w:t>
      </w:r>
      <w:bookmarkEnd w:id="23"/>
    </w:p>
    <w:p>
      <w:pPr>
        <w:tabs>
          <w:tab w:val="left" w:pos="720"/>
        </w:tabs>
        <w:adjustRightInd w:val="0"/>
        <w:snapToGrid w:val="0"/>
        <w:spacing w:line="360" w:lineRule="auto"/>
        <w:ind w:firstLine="420" w:firstLineChars="150"/>
        <w:rPr>
          <w:rFonts w:ascii="宋体" w:hAnsi="宋体"/>
          <w:sz w:val="28"/>
          <w:szCs w:val="28"/>
          <w:highlight w:val="none"/>
        </w:rPr>
      </w:pPr>
      <w:r>
        <w:rPr>
          <w:rFonts w:hint="eastAsia" w:ascii="宋体" w:cs="宋体"/>
          <w:kern w:val="0"/>
          <w:sz w:val="28"/>
          <w:szCs w:val="28"/>
          <w:highlight w:val="none"/>
        </w:rPr>
        <w:t>▲</w:t>
      </w:r>
      <w:r>
        <w:rPr>
          <w:rFonts w:hint="eastAsia" w:ascii="宋体" w:hAnsi="宋体"/>
          <w:sz w:val="28"/>
          <w:szCs w:val="28"/>
          <w:highlight w:val="none"/>
        </w:rPr>
        <w:t>在重大节日、重要会议、江苏省网信办通知的重要时期及学校放假期间，派遣安全专家前往现场提供安全保障工作，对业务系统的安全状况进行实时监控和日志分析，并协助处理信息安全事件。</w:t>
      </w:r>
    </w:p>
    <w:p>
      <w:pPr>
        <w:tabs>
          <w:tab w:val="left" w:pos="720"/>
        </w:tabs>
        <w:adjustRightInd w:val="0"/>
        <w:snapToGrid w:val="0"/>
        <w:spacing w:line="360" w:lineRule="auto"/>
        <w:rPr>
          <w:rFonts w:ascii="宋体" w:hAnsi="宋体"/>
          <w:sz w:val="28"/>
          <w:szCs w:val="28"/>
          <w:highlight w:val="none"/>
        </w:rPr>
      </w:pPr>
      <w:r>
        <w:rPr>
          <w:rFonts w:hint="eastAsia" w:ascii="宋体" w:hAnsi="宋体"/>
          <w:sz w:val="28"/>
          <w:szCs w:val="28"/>
          <w:highlight w:val="none"/>
        </w:rPr>
        <w:t>（1）现场值守</w:t>
      </w:r>
    </w:p>
    <w:p>
      <w:pPr>
        <w:tabs>
          <w:tab w:val="left" w:pos="72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连通性监控：通过系统自带的Ping工具或第三方监控工具，对目标网站的连通性进行实时监控，一旦网站的连通性出现异常，安全服务专家将在第一时间对其进行快速处理。</w:t>
      </w:r>
    </w:p>
    <w:p>
      <w:pPr>
        <w:tabs>
          <w:tab w:val="left" w:pos="72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运行状态监控：通过流量分析系统之类的工具，对目标系统的出入流量进行实时监测，分析其流量、并发、会话、全链接、半链接等关键数据，并同时对系统、数据库、中间件的日志进行分析并形成日志审计记录，从而有效评估系统的运行状态是否正常。</w:t>
      </w:r>
    </w:p>
    <w:p>
      <w:pPr>
        <w:tabs>
          <w:tab w:val="left" w:pos="72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安全状态监控：通过防火墙、WAF、IPS、态势感知等设备，对目标系统的安全状态进行实时监控，实时了解系统的安全状况。</w:t>
      </w:r>
    </w:p>
    <w:p>
      <w:pPr>
        <w:tabs>
          <w:tab w:val="left" w:pos="720"/>
        </w:tabs>
        <w:adjustRightInd w:val="0"/>
        <w:snapToGrid w:val="0"/>
        <w:spacing w:line="360" w:lineRule="auto"/>
        <w:rPr>
          <w:rFonts w:ascii="宋体" w:hAnsi="宋体"/>
          <w:sz w:val="28"/>
          <w:szCs w:val="28"/>
          <w:highlight w:val="none"/>
        </w:rPr>
      </w:pPr>
      <w:r>
        <w:rPr>
          <w:rFonts w:hint="eastAsia" w:ascii="宋体" w:hAnsi="宋体"/>
          <w:sz w:val="28"/>
          <w:szCs w:val="28"/>
          <w:highlight w:val="none"/>
        </w:rPr>
        <w:t>（2）预案制定</w:t>
      </w:r>
    </w:p>
    <w:p>
      <w:pPr>
        <w:tabs>
          <w:tab w:val="left" w:pos="72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安全服务专家将根据目标系统的安全现状，结合业界主流的网络攻击手法，分析系统可能遭受的攻击行为及其影响范围、严重程度，并和管理员一起，提前制定对应的系统安全应急响应预案。</w:t>
      </w:r>
    </w:p>
    <w:p>
      <w:pPr>
        <w:tabs>
          <w:tab w:val="left" w:pos="72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通过制定应急响应预案，可以在入侵攻击事件发生前防患于未然，当攻击事件发生时，可根据预案进行快速响应，从而在最短的时间恢复系统的正常运行。</w:t>
      </w:r>
    </w:p>
    <w:p>
      <w:pPr>
        <w:tabs>
          <w:tab w:val="left" w:pos="720"/>
        </w:tabs>
        <w:adjustRightInd w:val="0"/>
        <w:snapToGrid w:val="0"/>
        <w:spacing w:line="360" w:lineRule="auto"/>
        <w:rPr>
          <w:rFonts w:ascii="宋体" w:hAnsi="宋体"/>
          <w:sz w:val="28"/>
          <w:szCs w:val="28"/>
          <w:highlight w:val="none"/>
        </w:rPr>
      </w:pPr>
      <w:r>
        <w:rPr>
          <w:rFonts w:hint="eastAsia" w:ascii="宋体" w:hAnsi="宋体"/>
          <w:sz w:val="28"/>
          <w:szCs w:val="28"/>
          <w:highlight w:val="none"/>
        </w:rPr>
        <w:t>（3）应急处理</w:t>
      </w:r>
    </w:p>
    <w:p>
      <w:pPr>
        <w:tabs>
          <w:tab w:val="left" w:pos="72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当信息系统遭受真实的黑客攻击时，安全服务专家将根据应急响应预案，通过PDCERF应急响应流程进行快速响应，对入侵事件进行检测、抑制、处理，查找入侵来源并恢复系统正常运行。</w:t>
      </w:r>
    </w:p>
    <w:p>
      <w:pPr>
        <w:tabs>
          <w:tab w:val="left" w:pos="720"/>
        </w:tabs>
        <w:adjustRightInd w:val="0"/>
        <w:snapToGrid w:val="0"/>
        <w:spacing w:line="360" w:lineRule="auto"/>
        <w:rPr>
          <w:rFonts w:ascii="宋体" w:hAnsi="宋体"/>
          <w:sz w:val="28"/>
          <w:szCs w:val="28"/>
          <w:highlight w:val="none"/>
        </w:rPr>
      </w:pPr>
      <w:r>
        <w:rPr>
          <w:rFonts w:ascii="宋体" w:hAnsi="宋体"/>
          <w:sz w:val="28"/>
          <w:szCs w:val="28"/>
          <w:highlight w:val="none"/>
        </w:rPr>
        <w:t>（4）</w:t>
      </w:r>
      <w:r>
        <w:rPr>
          <w:rFonts w:hint="eastAsia" w:ascii="宋体" w:hAnsi="宋体"/>
          <w:sz w:val="28"/>
          <w:szCs w:val="28"/>
          <w:highlight w:val="none"/>
        </w:rPr>
        <w:t>网络防护体系优化</w:t>
      </w:r>
    </w:p>
    <w:p>
      <w:pPr>
        <w:rPr>
          <w:rFonts w:ascii="宋体" w:hAnsi="宋体"/>
          <w:b/>
          <w:bCs/>
          <w:sz w:val="28"/>
          <w:szCs w:val="28"/>
          <w:highlight w:val="none"/>
        </w:rPr>
      </w:pPr>
      <w:r>
        <w:rPr>
          <w:rFonts w:hint="eastAsia" w:ascii="宋体" w:hAnsi="宋体"/>
          <w:sz w:val="28"/>
          <w:szCs w:val="28"/>
          <w:highlight w:val="none"/>
        </w:rPr>
        <w:t>在重保期间内协助我校进行网络防护体系加固，服务供应商需要自行提供内网威胁感知、态势感知等安全工具支撑重要时期安全保障工作，保障重要时期安全保障工作的效果与质量。</w:t>
      </w:r>
    </w:p>
    <w:p>
      <w:pPr>
        <w:rPr>
          <w:rFonts w:ascii="宋体" w:hAnsi="宋体"/>
          <w:b/>
          <w:bCs/>
          <w:sz w:val="28"/>
          <w:szCs w:val="28"/>
          <w:highlight w:val="none"/>
        </w:rPr>
      </w:pPr>
      <w:r>
        <w:rPr>
          <w:rFonts w:ascii="宋体" w:hAnsi="宋体"/>
          <w:b/>
          <w:bCs/>
          <w:sz w:val="28"/>
          <w:szCs w:val="28"/>
          <w:highlight w:val="none"/>
        </w:rPr>
        <w:t>三、付款方式：</w:t>
      </w:r>
    </w:p>
    <w:p>
      <w:pPr>
        <w:ind w:firstLine="411" w:firstLineChars="147"/>
        <w:rPr>
          <w:rFonts w:hint="eastAsia" w:ascii="宋体" w:hAnsi="宋体"/>
          <w:sz w:val="28"/>
          <w:szCs w:val="28"/>
          <w:highlight w:val="none"/>
        </w:rPr>
      </w:pPr>
      <w:r>
        <w:rPr>
          <w:rFonts w:hint="eastAsia" w:ascii="宋体" w:hAnsi="宋体"/>
          <w:sz w:val="28"/>
          <w:szCs w:val="28"/>
          <w:highlight w:val="none"/>
        </w:rPr>
        <w:t>合同签订后按年度考核，合同签订后第二个月进行年初考核，年初考核通过后支付当年服务款项的50%；每年服务结束进行年终考核，年终考核无服务质量问题后付当年服务款项的50%。如果服务期间发生质量问题，校方有权随时终止合同，并根据已完成工作量的60%支付服务款。如造成甲方损失的，乙方应承担赔偿责任。具体考核办法见服务要求。</w:t>
      </w:r>
    </w:p>
    <w:p>
      <w:pPr>
        <w:ind w:firstLine="354" w:firstLineChars="147"/>
        <w:rPr>
          <w:b/>
          <w:bCs w:val="0"/>
          <w:highlight w:val="none"/>
          <w:lang w:val="zh-CN"/>
        </w:rPr>
      </w:pPr>
      <w:bookmarkStart w:id="25" w:name="_GoBack"/>
      <w:r>
        <w:rPr>
          <w:rFonts w:hint="eastAsia" w:ascii="宋体" w:eastAsia="宋体"/>
          <w:b/>
          <w:bCs w:val="0"/>
          <w:sz w:val="24"/>
          <w:szCs w:val="24"/>
          <w:highlight w:val="none"/>
        </w:rPr>
        <w:t>（本部分内容由南京信息工程大学信息化建设与管理处提供并负责）</w:t>
      </w:r>
    </w:p>
    <w:bookmarkEnd w:id="25"/>
    <w:p>
      <w:pPr>
        <w:widowControl/>
        <w:jc w:val="left"/>
        <w:rPr>
          <w:rFonts w:hint="eastAsia"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24"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24"/>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adjustRightInd w:val="0"/>
        <w:snapToGrid w:val="0"/>
        <w:spacing w:line="360" w:lineRule="exact"/>
        <w:ind w:firstLine="420" w:firstLineChars="200"/>
        <w:jc w:val="left"/>
        <w:rPr>
          <w:rFonts w:ascii="微软雅黑" w:hAnsi="微软雅黑" w:cs="微软雅黑"/>
          <w:szCs w:val="21"/>
          <w:highlight w:val="none"/>
        </w:rPr>
      </w:pPr>
      <w:r>
        <w:rPr>
          <w:rFonts w:hint="eastAsia" w:ascii="微软雅黑" w:hAnsi="微软雅黑" w:cs="微软雅黑"/>
          <w:szCs w:val="21"/>
          <w:highlight w:val="none"/>
        </w:rPr>
        <w:t>本项目对中标单位单位进行考核（百分制），详细考核机制如下：</w:t>
      </w:r>
    </w:p>
    <w:tbl>
      <w:tblPr>
        <w:tblStyle w:val="17"/>
        <w:tblpPr w:leftFromText="180" w:rightFromText="180" w:vertAnchor="text" w:horzAnchor="page" w:tblpX="1074" w:tblpY="288"/>
        <w:tblOverlap w:val="never"/>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485"/>
        <w:gridCol w:w="720"/>
        <w:gridCol w:w="4804"/>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1215"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考核</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考核项目</w:t>
            </w:r>
          </w:p>
        </w:tc>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分值</w:t>
            </w: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评价描述</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工作考核</w:t>
            </w:r>
          </w:p>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(80分)</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任务完成效率</w:t>
            </w:r>
          </w:p>
        </w:tc>
        <w:tc>
          <w:tcPr>
            <w:tcW w:w="720"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jc w:val="center"/>
              <w:rPr>
                <w:rFonts w:ascii="微软雅黑" w:hAnsi="微软雅黑" w:cs="微软雅黑"/>
                <w:kern w:val="0"/>
                <w:szCs w:val="21"/>
                <w:highlight w:val="none"/>
              </w:rPr>
            </w:pPr>
            <w:r>
              <w:rPr>
                <w:rFonts w:hint="eastAsia" w:ascii="微软雅黑" w:hAnsi="微软雅黑" w:cs="微软雅黑"/>
                <w:kern w:val="0"/>
                <w:szCs w:val="21"/>
                <w:highlight w:val="none"/>
              </w:rPr>
              <w:t>40</w:t>
            </w: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未充分规划、在规定时间内不能完成任务</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任务完成质量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jc w:val="center"/>
              <w:rPr>
                <w:rFonts w:ascii="微软雅黑" w:hAnsi="微软雅黑" w:cs="微软雅黑"/>
                <w:kern w:val="0"/>
                <w:szCs w:val="21"/>
                <w:highlight w:val="none"/>
              </w:rPr>
            </w:pPr>
            <w:r>
              <w:rPr>
                <w:rFonts w:hint="eastAsia" w:ascii="微软雅黑" w:hAnsi="微软雅黑" w:cs="微软雅黑"/>
                <w:kern w:val="0"/>
                <w:szCs w:val="21"/>
                <w:highlight w:val="none"/>
              </w:rPr>
              <w:t>40</w:t>
            </w: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出现质量异常（因服务工作失误导致学校业务短时间中断、服务人员泄露服务数据、服务效率较低导致项目存在延缓风险等）</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出现重大质量异常（服务工作失误导致学校业务长时间中断、服务人员泄露服务核心敏感数据、服务过程重复返工导致进度拖延等）</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出现上级通报的安全事件（没有提前预判与探测出来告知学校的）一次</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超过2小时未响应，响应客户需求被动，消极处理问题</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由于不及时响应客户需求，甲方收到投诉</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因供应商原因导致上级部门对学校信息安全类考核未达标</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每次扣10分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人员考核</w:t>
            </w:r>
          </w:p>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(20分)</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服务质量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jc w:val="center"/>
              <w:rPr>
                <w:rFonts w:ascii="微软雅黑" w:hAnsi="微软雅黑" w:cs="微软雅黑"/>
                <w:kern w:val="0"/>
                <w:szCs w:val="21"/>
                <w:highlight w:val="none"/>
              </w:rPr>
            </w:pPr>
            <w:r>
              <w:rPr>
                <w:rFonts w:hint="eastAsia" w:ascii="微软雅黑" w:hAnsi="微软雅黑" w:cs="微软雅黑"/>
                <w:kern w:val="0"/>
                <w:szCs w:val="21"/>
                <w:highlight w:val="none"/>
              </w:rPr>
              <w:t>20</w:t>
            </w: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不注重沟通，遇到问题以强硬或回避的态度来应对</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微软雅黑" w:hAnsi="微软雅黑" w:cs="微软雅黑"/>
                <w:kern w:val="0"/>
                <w:szCs w:val="21"/>
                <w:highlight w:val="none"/>
              </w:rPr>
            </w:pPr>
          </w:p>
        </w:tc>
        <w:tc>
          <w:tcPr>
            <w:tcW w:w="4804"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服务态度差，甲方收到投诉</w:t>
            </w:r>
          </w:p>
        </w:tc>
        <w:tc>
          <w:tcPr>
            <w:tcW w:w="1607" w:type="dxa"/>
            <w:tcBorders>
              <w:top w:val="single" w:color="auto" w:sz="4" w:space="0"/>
              <w:left w:val="single" w:color="auto" w:sz="4" w:space="0"/>
              <w:bottom w:val="single" w:color="auto" w:sz="4" w:space="0"/>
              <w:right w:val="single" w:color="auto" w:sz="4" w:space="0"/>
            </w:tcBorders>
            <w:vAlign w:val="center"/>
          </w:tcPr>
          <w:p>
            <w:pPr>
              <w:widowControl/>
              <w:wordWrap w:val="0"/>
              <w:spacing w:line="360" w:lineRule="exact"/>
              <w:rPr>
                <w:rFonts w:ascii="微软雅黑" w:hAnsi="微软雅黑" w:cs="微软雅黑"/>
                <w:kern w:val="0"/>
                <w:szCs w:val="21"/>
                <w:highlight w:val="none"/>
              </w:rPr>
            </w:pPr>
            <w:r>
              <w:rPr>
                <w:rFonts w:hint="eastAsia" w:ascii="微软雅黑" w:hAnsi="微软雅黑" w:cs="微软雅黑"/>
                <w:kern w:val="0"/>
                <w:szCs w:val="21"/>
                <w:highlight w:val="none"/>
              </w:rPr>
              <w:t>每次扣5分</w:t>
            </w:r>
          </w:p>
        </w:tc>
      </w:tr>
    </w:tbl>
    <w:p>
      <w:pPr>
        <w:adjustRightInd w:val="0"/>
        <w:snapToGrid w:val="0"/>
        <w:spacing w:line="360" w:lineRule="exact"/>
        <w:ind w:firstLine="420" w:firstLineChars="200"/>
        <w:jc w:val="left"/>
        <w:rPr>
          <w:rFonts w:ascii="微软雅黑" w:hAnsi="微软雅黑" w:cs="微软雅黑"/>
          <w:kern w:val="0"/>
          <w:szCs w:val="21"/>
          <w:highlight w:val="none"/>
        </w:rPr>
      </w:pPr>
      <w:r>
        <w:rPr>
          <w:rFonts w:hint="eastAsia" w:ascii="微软雅黑" w:hAnsi="微软雅黑" w:cs="微软雅黑"/>
          <w:kern w:val="0"/>
          <w:szCs w:val="21"/>
          <w:highlight w:val="none"/>
        </w:rPr>
        <w:t>考核初始赋值100分。考核表格包括但不限于以上内容，在实际运作中不断完善。</w:t>
      </w:r>
    </w:p>
    <w:p>
      <w:pPr>
        <w:adjustRightInd w:val="0"/>
        <w:snapToGrid w:val="0"/>
        <w:spacing w:line="360" w:lineRule="exact"/>
        <w:ind w:firstLine="420" w:firstLineChars="200"/>
        <w:jc w:val="left"/>
        <w:rPr>
          <w:rFonts w:ascii="微软雅黑" w:hAnsi="微软雅黑" w:cs="微软雅黑"/>
          <w:kern w:val="0"/>
          <w:szCs w:val="21"/>
          <w:highlight w:val="none"/>
        </w:rPr>
      </w:pPr>
      <w:r>
        <w:rPr>
          <w:rFonts w:hint="eastAsia" w:ascii="微软雅黑" w:hAnsi="微软雅黑" w:cs="微软雅黑"/>
          <w:kern w:val="0"/>
          <w:szCs w:val="21"/>
          <w:highlight w:val="none"/>
        </w:rPr>
        <w:t>每个考核项目扣分项最多将该项分值扣到0分。</w:t>
      </w:r>
    </w:p>
    <w:p>
      <w:pPr>
        <w:adjustRightInd w:val="0"/>
        <w:snapToGrid w:val="0"/>
        <w:spacing w:line="360" w:lineRule="exact"/>
        <w:ind w:firstLine="420" w:firstLineChars="200"/>
        <w:jc w:val="left"/>
        <w:rPr>
          <w:rFonts w:ascii="微软雅黑" w:hAnsi="微软雅黑" w:cs="微软雅黑"/>
          <w:szCs w:val="28"/>
          <w:highlight w:val="none"/>
        </w:rPr>
      </w:pPr>
      <w:r>
        <w:rPr>
          <w:rFonts w:hint="eastAsia" w:ascii="微软雅黑" w:hAnsi="微软雅黑" w:cs="微软雅黑"/>
          <w:kern w:val="0"/>
          <w:szCs w:val="21"/>
          <w:highlight w:val="none"/>
        </w:rPr>
        <w:t>考核分数为100分的，按期全额退还履约保证金；</w:t>
      </w:r>
    </w:p>
    <w:p>
      <w:pPr>
        <w:adjustRightInd w:val="0"/>
        <w:snapToGrid w:val="0"/>
        <w:spacing w:line="360" w:lineRule="exact"/>
        <w:ind w:firstLine="420" w:firstLineChars="200"/>
        <w:jc w:val="left"/>
        <w:rPr>
          <w:rFonts w:ascii="微软雅黑" w:hAnsi="微软雅黑" w:cs="微软雅黑"/>
          <w:kern w:val="0"/>
          <w:szCs w:val="21"/>
          <w:highlight w:val="none"/>
        </w:rPr>
      </w:pPr>
      <w:r>
        <w:rPr>
          <w:rFonts w:hint="eastAsia" w:ascii="微软雅黑" w:hAnsi="微软雅黑" w:cs="微软雅黑"/>
          <w:kern w:val="0"/>
          <w:szCs w:val="21"/>
          <w:highlight w:val="none"/>
        </w:rPr>
        <w:t>考核分数在【80,100】分之间，将要求中标人对运维团队责任人进行谈话，并责令整改，并扣除履约保证金的20%。</w:t>
      </w:r>
    </w:p>
    <w:p>
      <w:pPr>
        <w:adjustRightInd w:val="0"/>
        <w:snapToGrid w:val="0"/>
        <w:spacing w:line="360" w:lineRule="exact"/>
        <w:ind w:firstLine="420" w:firstLineChars="200"/>
        <w:jc w:val="left"/>
        <w:rPr>
          <w:rFonts w:ascii="微软雅黑" w:hAnsi="微软雅黑" w:cs="微软雅黑"/>
          <w:color w:val="FF0000"/>
          <w:kern w:val="0"/>
          <w:szCs w:val="21"/>
          <w:highlight w:val="none"/>
        </w:rPr>
      </w:pPr>
      <w:r>
        <w:rPr>
          <w:rFonts w:hint="eastAsia" w:ascii="微软雅黑" w:hAnsi="微软雅黑" w:cs="微软雅黑"/>
          <w:kern w:val="0"/>
          <w:szCs w:val="21"/>
          <w:highlight w:val="none"/>
        </w:rPr>
        <w:t>考核分数在【60,80）分之间的，中标人须立即进行整改，并扣减50%履约保证金。</w:t>
      </w:r>
    </w:p>
    <w:p>
      <w:pPr>
        <w:adjustRightInd w:val="0"/>
        <w:snapToGrid w:val="0"/>
        <w:spacing w:line="360" w:lineRule="exact"/>
        <w:ind w:firstLine="420" w:firstLineChars="200"/>
        <w:jc w:val="left"/>
        <w:rPr>
          <w:rFonts w:ascii="微软雅黑" w:hAnsi="微软雅黑" w:cs="微软雅黑"/>
          <w:kern w:val="0"/>
          <w:szCs w:val="21"/>
          <w:highlight w:val="none"/>
        </w:rPr>
      </w:pPr>
      <w:r>
        <w:rPr>
          <w:rFonts w:hint="eastAsia" w:ascii="微软雅黑" w:hAnsi="微软雅黑" w:cs="微软雅黑"/>
          <w:kern w:val="0"/>
          <w:szCs w:val="21"/>
          <w:highlight w:val="none"/>
        </w:rPr>
        <w:t>考核分数在60分以下的，扣除成交人的全部履约保证金，并将成交人信息列入学校信息安全黑名单，并在学校内部全校通报，校方将终止合同。</w:t>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tbl>
      <w:tblPr>
        <w:tblStyle w:val="17"/>
        <w:tblW w:w="8672" w:type="dxa"/>
        <w:jc w:val="center"/>
        <w:tblLayout w:type="fixed"/>
        <w:tblCellMar>
          <w:top w:w="0" w:type="dxa"/>
          <w:left w:w="108" w:type="dxa"/>
          <w:bottom w:w="0" w:type="dxa"/>
          <w:right w:w="108" w:type="dxa"/>
        </w:tblCellMar>
      </w:tblPr>
      <w:tblGrid>
        <w:gridCol w:w="1589"/>
        <w:gridCol w:w="7083"/>
      </w:tblGrid>
      <w:tr>
        <w:tblPrEx>
          <w:tblCellMar>
            <w:top w:w="0" w:type="dxa"/>
            <w:left w:w="108" w:type="dxa"/>
            <w:bottom w:w="0" w:type="dxa"/>
            <w:right w:w="108" w:type="dxa"/>
          </w:tblCellMar>
        </w:tblPrEx>
        <w:trPr>
          <w:trHeight w:val="592"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bCs/>
                <w:sz w:val="28"/>
                <w:szCs w:val="28"/>
                <w:highlight w:val="none"/>
              </w:rPr>
            </w:pPr>
            <w:r>
              <w:rPr>
                <w:rFonts w:hint="eastAsia" w:ascii="宋体" w:hAnsi="宋体"/>
                <w:b/>
                <w:bCs/>
                <w:sz w:val="28"/>
                <w:szCs w:val="28"/>
                <w:highlight w:val="none"/>
              </w:rPr>
              <w:t>评审因素</w:t>
            </w:r>
          </w:p>
        </w:tc>
        <w:tc>
          <w:tcPr>
            <w:tcW w:w="708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b/>
                <w:bCs/>
                <w:sz w:val="28"/>
                <w:szCs w:val="28"/>
                <w:highlight w:val="none"/>
              </w:rPr>
            </w:pPr>
            <w:r>
              <w:rPr>
                <w:rFonts w:hint="eastAsia" w:ascii="宋体" w:hAnsi="宋体"/>
                <w:b/>
                <w:bCs/>
                <w:sz w:val="28"/>
                <w:szCs w:val="28"/>
                <w:highlight w:val="none"/>
              </w:rPr>
              <w:t>评审标准</w:t>
            </w:r>
          </w:p>
        </w:tc>
      </w:tr>
      <w:tr>
        <w:tblPrEx>
          <w:tblCellMar>
            <w:top w:w="0" w:type="dxa"/>
            <w:left w:w="108" w:type="dxa"/>
            <w:bottom w:w="0" w:type="dxa"/>
            <w:right w:w="108" w:type="dxa"/>
          </w:tblCellMar>
        </w:tblPrEx>
        <w:trPr>
          <w:trHeight w:val="1322"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highlight w:val="none"/>
              </w:rPr>
            </w:pPr>
            <w:r>
              <w:rPr>
                <w:rFonts w:hint="eastAsia" w:ascii="宋体" w:hAnsi="宋体"/>
                <w:sz w:val="28"/>
                <w:szCs w:val="28"/>
                <w:highlight w:val="none"/>
              </w:rPr>
              <w:t>价格</w:t>
            </w:r>
          </w:p>
          <w:p>
            <w:pPr>
              <w:spacing w:line="380" w:lineRule="exact"/>
              <w:jc w:val="center"/>
              <w:rPr>
                <w:rFonts w:ascii="宋体" w:hAnsi="宋体" w:cs="Arial"/>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5分）</w:t>
            </w:r>
          </w:p>
        </w:tc>
        <w:tc>
          <w:tcPr>
            <w:tcW w:w="7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8"/>
                <w:szCs w:val="28"/>
                <w:highlight w:val="none"/>
              </w:rPr>
            </w:pPr>
            <w:r>
              <w:rPr>
                <w:rFonts w:hint="eastAsia" w:ascii="宋体" w:hAnsi="宋体"/>
                <w:sz w:val="28"/>
                <w:szCs w:val="28"/>
                <w:highlight w:val="none"/>
              </w:rPr>
              <w:t>采用低价优先法计算，即满足招标文件要求且投标价格最低的投标报价为评标基准价，其价格分为满分。其他服务供应商的价格分统一按照下列公式计算:投标报价得分=(评标基准价/投标报价)×25（小数点保留两位）</w:t>
            </w:r>
          </w:p>
        </w:tc>
      </w:tr>
      <w:tr>
        <w:tblPrEx>
          <w:tblCellMar>
            <w:top w:w="0" w:type="dxa"/>
            <w:left w:w="108" w:type="dxa"/>
            <w:bottom w:w="0" w:type="dxa"/>
            <w:right w:w="108" w:type="dxa"/>
          </w:tblCellMar>
        </w:tblPrEx>
        <w:trPr>
          <w:trHeight w:val="416"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highlight w:val="none"/>
              </w:rPr>
            </w:pPr>
            <w:r>
              <w:rPr>
                <w:rFonts w:hint="eastAsia" w:ascii="宋体" w:hAnsi="宋体"/>
                <w:sz w:val="28"/>
                <w:szCs w:val="28"/>
                <w:highlight w:val="none"/>
              </w:rPr>
              <w:t>技术能力</w:t>
            </w:r>
          </w:p>
          <w:p>
            <w:pPr>
              <w:spacing w:line="380" w:lineRule="exact"/>
              <w:jc w:val="center"/>
              <w:rPr>
                <w:rFonts w:ascii="宋体" w:hAnsi="宋体" w:cs="Arial"/>
                <w:sz w:val="28"/>
                <w:szCs w:val="28"/>
                <w:highlight w:val="none"/>
              </w:rPr>
            </w:pPr>
            <w:r>
              <w:rPr>
                <w:rFonts w:hint="eastAsia" w:ascii="宋体" w:hAnsi="宋体"/>
                <w:sz w:val="28"/>
                <w:szCs w:val="28"/>
                <w:highlight w:val="none"/>
              </w:rPr>
              <w:t>（</w:t>
            </w:r>
            <w:r>
              <w:rPr>
                <w:rFonts w:ascii="宋体" w:hAnsi="宋体"/>
                <w:sz w:val="28"/>
                <w:szCs w:val="28"/>
                <w:highlight w:val="none"/>
              </w:rPr>
              <w:t>25</w:t>
            </w:r>
            <w:r>
              <w:rPr>
                <w:rFonts w:hint="eastAsia" w:ascii="宋体" w:hAnsi="宋体"/>
                <w:sz w:val="28"/>
                <w:szCs w:val="28"/>
                <w:highlight w:val="none"/>
              </w:rPr>
              <w:t>分）</w:t>
            </w:r>
          </w:p>
        </w:tc>
        <w:tc>
          <w:tcPr>
            <w:tcW w:w="7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8"/>
                <w:szCs w:val="28"/>
                <w:highlight w:val="none"/>
              </w:rPr>
            </w:pPr>
            <w:r>
              <w:rPr>
                <w:rFonts w:hint="eastAsia" w:ascii="宋体" w:hAnsi="宋体"/>
                <w:sz w:val="28"/>
                <w:szCs w:val="28"/>
                <w:highlight w:val="none"/>
              </w:rPr>
              <w:t>完全满足或优于招标文件技术要求的得</w:t>
            </w:r>
            <w:r>
              <w:rPr>
                <w:rFonts w:ascii="宋体" w:hAnsi="宋体"/>
                <w:sz w:val="28"/>
                <w:szCs w:val="28"/>
                <w:highlight w:val="none"/>
              </w:rPr>
              <w:t>25</w:t>
            </w:r>
            <w:r>
              <w:rPr>
                <w:rFonts w:hint="eastAsia" w:ascii="宋体" w:hAnsi="宋体"/>
                <w:sz w:val="28"/>
                <w:szCs w:val="28"/>
                <w:highlight w:val="none"/>
              </w:rPr>
              <w:t>分，打“▲”指标为重要技术要求，有一项不满足扣4分；非“▲”指标如有负偏离，每有一项扣2分，扣完为止。</w:t>
            </w:r>
          </w:p>
          <w:p>
            <w:pPr>
              <w:spacing w:line="380" w:lineRule="exact"/>
              <w:rPr>
                <w:rFonts w:ascii="宋体" w:hAnsi="宋体"/>
                <w:sz w:val="28"/>
                <w:szCs w:val="28"/>
                <w:highlight w:val="none"/>
              </w:rPr>
            </w:pPr>
            <w:r>
              <w:rPr>
                <w:rFonts w:hint="eastAsia" w:ascii="微软雅黑" w:hAnsi="微软雅黑" w:cs="微软雅黑"/>
                <w:color w:val="000000"/>
                <w:kern w:val="0"/>
                <w:sz w:val="28"/>
                <w:szCs w:val="28"/>
                <w:highlight w:val="none"/>
              </w:rPr>
              <w:t>（注：加</w:t>
            </w:r>
            <w:r>
              <w:rPr>
                <w:rFonts w:hint="eastAsia" w:ascii="宋体" w:hAnsi="宋体"/>
                <w:sz w:val="28"/>
                <w:szCs w:val="28"/>
                <w:highlight w:val="none"/>
              </w:rPr>
              <w:t>▲</w:t>
            </w:r>
            <w:r>
              <w:rPr>
                <w:rFonts w:hint="eastAsia" w:ascii="微软雅黑" w:hAnsi="微软雅黑" w:cs="微软雅黑"/>
                <w:color w:val="000000"/>
                <w:kern w:val="0"/>
                <w:sz w:val="28"/>
                <w:szCs w:val="28"/>
                <w:highlight w:val="none"/>
              </w:rPr>
              <w:t>项参数指标，需要提供相关机构检测报告或产品彩页或官网截图</w:t>
            </w:r>
            <w:r>
              <w:rPr>
                <w:rFonts w:hint="eastAsia" w:ascii="宋体" w:hAnsi="宋体"/>
                <w:sz w:val="28"/>
                <w:szCs w:val="28"/>
                <w:highlight w:val="none"/>
              </w:rPr>
              <w:t>或产品说明书</w:t>
            </w:r>
            <w:r>
              <w:rPr>
                <w:rFonts w:hint="eastAsia" w:ascii="微软雅黑" w:hAnsi="微软雅黑" w:cs="微软雅黑"/>
                <w:color w:val="000000"/>
                <w:kern w:val="0"/>
                <w:sz w:val="28"/>
                <w:szCs w:val="28"/>
                <w:highlight w:val="none"/>
              </w:rPr>
              <w:t>或其他相关证明材料并加盖公章，否则视为未响应</w:t>
            </w:r>
            <w:r>
              <w:rPr>
                <w:rFonts w:hint="eastAsia" w:ascii="宋体" w:hAnsi="宋体"/>
                <w:sz w:val="28"/>
                <w:szCs w:val="28"/>
                <w:highlight w:val="none"/>
              </w:rPr>
              <w:t>）。</w:t>
            </w:r>
          </w:p>
        </w:tc>
      </w:tr>
      <w:tr>
        <w:tblPrEx>
          <w:tblCellMar>
            <w:top w:w="0" w:type="dxa"/>
            <w:left w:w="108" w:type="dxa"/>
            <w:bottom w:w="0" w:type="dxa"/>
            <w:right w:w="108" w:type="dxa"/>
          </w:tblCellMar>
        </w:tblPrEx>
        <w:trPr>
          <w:trHeight w:val="1288"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highlight w:val="none"/>
              </w:rPr>
            </w:pPr>
            <w:r>
              <w:rPr>
                <w:rFonts w:hint="eastAsia" w:ascii="宋体" w:hAnsi="宋体"/>
                <w:sz w:val="28"/>
                <w:szCs w:val="28"/>
                <w:highlight w:val="none"/>
              </w:rPr>
              <w:t>服务方案</w:t>
            </w:r>
          </w:p>
          <w:p>
            <w:pPr>
              <w:spacing w:line="380" w:lineRule="exact"/>
              <w:jc w:val="center"/>
              <w:rPr>
                <w:rFonts w:ascii="宋体" w:hAnsi="宋体"/>
                <w:sz w:val="28"/>
                <w:szCs w:val="28"/>
                <w:highlight w:val="none"/>
              </w:rPr>
            </w:pPr>
            <w:r>
              <w:rPr>
                <w:rFonts w:hint="eastAsia" w:ascii="宋体" w:hAnsi="宋体"/>
                <w:sz w:val="28"/>
                <w:szCs w:val="28"/>
                <w:highlight w:val="none"/>
              </w:rPr>
              <w:t>（28分）</w:t>
            </w:r>
          </w:p>
        </w:tc>
        <w:tc>
          <w:tcPr>
            <w:tcW w:w="7083"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8"/>
                <w:szCs w:val="28"/>
                <w:highlight w:val="none"/>
              </w:rPr>
            </w:pPr>
            <w:r>
              <w:rPr>
                <w:rFonts w:hint="eastAsia" w:ascii="宋体" w:hAnsi="宋体"/>
                <w:sz w:val="28"/>
                <w:szCs w:val="28"/>
                <w:highlight w:val="none"/>
              </w:rPr>
              <w:t>（1）安全服务技术方案（13分）评委根据提供的安全服务技术方案，要求结合采购人实际情况及行业特点进行综合评分，优秀的得13分、良好的得9分，一般的5分，没有不得分。</w:t>
            </w:r>
          </w:p>
          <w:p>
            <w:pPr>
              <w:spacing w:line="380" w:lineRule="exact"/>
              <w:rPr>
                <w:rFonts w:ascii="宋体" w:hAnsi="宋体"/>
                <w:sz w:val="28"/>
                <w:szCs w:val="28"/>
                <w:highlight w:val="none"/>
              </w:rPr>
            </w:pPr>
            <w:r>
              <w:rPr>
                <w:rFonts w:hint="eastAsia" w:ascii="宋体" w:hAnsi="宋体"/>
                <w:sz w:val="28"/>
                <w:szCs w:val="28"/>
                <w:highlight w:val="none"/>
              </w:rPr>
              <w:t>（2）项目实施方案（15分）评委根据供应商提供的项目实施方案（从实施团队成员、项目管理、项目组织能力和项目进度安排等）进行综合评分，优秀的得15分、良好的得11分，一般的7分，没有不得分。</w:t>
            </w:r>
          </w:p>
        </w:tc>
      </w:tr>
      <w:tr>
        <w:tblPrEx>
          <w:tblCellMar>
            <w:top w:w="0" w:type="dxa"/>
            <w:left w:w="108" w:type="dxa"/>
            <w:bottom w:w="0" w:type="dxa"/>
            <w:right w:w="108" w:type="dxa"/>
          </w:tblCellMar>
        </w:tblPrEx>
        <w:trPr>
          <w:trHeight w:val="862"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highlight w:val="none"/>
              </w:rPr>
            </w:pPr>
            <w:r>
              <w:rPr>
                <w:rFonts w:hint="eastAsia" w:ascii="宋体" w:hAnsi="宋体"/>
                <w:sz w:val="28"/>
                <w:szCs w:val="28"/>
                <w:highlight w:val="none"/>
              </w:rPr>
              <w:t>服务能力</w:t>
            </w:r>
          </w:p>
          <w:p>
            <w:pPr>
              <w:spacing w:line="380" w:lineRule="exact"/>
              <w:jc w:val="center"/>
              <w:rPr>
                <w:rFonts w:ascii="宋体" w:hAnsi="宋体"/>
                <w:sz w:val="28"/>
                <w:szCs w:val="28"/>
                <w:highlight w:val="none"/>
              </w:rPr>
            </w:pPr>
            <w:r>
              <w:rPr>
                <w:rFonts w:hint="eastAsia" w:ascii="宋体" w:hAnsi="宋体"/>
                <w:sz w:val="28"/>
                <w:szCs w:val="28"/>
                <w:highlight w:val="none"/>
              </w:rPr>
              <w:t>（15分）</w:t>
            </w:r>
          </w:p>
        </w:tc>
        <w:tc>
          <w:tcPr>
            <w:tcW w:w="708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w:t>
            </w:r>
            <w:r>
              <w:rPr>
                <w:rFonts w:ascii="宋体" w:hAnsi="宋体" w:cs="宋体"/>
                <w:color w:val="000000"/>
                <w:kern w:val="0"/>
                <w:sz w:val="28"/>
                <w:szCs w:val="28"/>
                <w:highlight w:val="none"/>
              </w:rPr>
              <w:t>1</w:t>
            </w:r>
            <w:r>
              <w:rPr>
                <w:rFonts w:hint="eastAsia" w:ascii="宋体" w:hAnsi="宋体" w:cs="宋体"/>
                <w:color w:val="000000"/>
                <w:kern w:val="0"/>
                <w:sz w:val="28"/>
                <w:szCs w:val="28"/>
                <w:highlight w:val="none"/>
              </w:rPr>
              <w:t>）工作人员能力（5分）：项目经理同时具有</w:t>
            </w:r>
            <w:r>
              <w:rPr>
                <w:rFonts w:ascii="宋体" w:hAnsi="宋体" w:cs="宋体"/>
                <w:color w:val="000000"/>
                <w:kern w:val="0"/>
                <w:sz w:val="28"/>
                <w:szCs w:val="28"/>
                <w:highlight w:val="none"/>
              </w:rPr>
              <w:t>CISSP、CISAW（风险管理专业级）、CISAW（安全运维专业级）认证证书</w:t>
            </w:r>
            <w:r>
              <w:rPr>
                <w:rFonts w:hint="eastAsia" w:ascii="宋体" w:hAnsi="宋体" w:cs="宋体"/>
                <w:color w:val="000000"/>
                <w:kern w:val="0"/>
                <w:sz w:val="28"/>
                <w:szCs w:val="28"/>
                <w:highlight w:val="none"/>
              </w:rPr>
              <w:t>得2分，否则不得分</w:t>
            </w:r>
            <w:r>
              <w:rPr>
                <w:rFonts w:ascii="宋体" w:hAnsi="宋体" w:cs="宋体"/>
                <w:color w:val="000000"/>
                <w:kern w:val="0"/>
                <w:sz w:val="28"/>
                <w:szCs w:val="28"/>
                <w:highlight w:val="none"/>
              </w:rPr>
              <w:t>。</w:t>
            </w:r>
            <w:r>
              <w:rPr>
                <w:rFonts w:hint="eastAsia" w:ascii="宋体" w:hAnsi="宋体" w:cs="宋体"/>
                <w:color w:val="000000"/>
                <w:kern w:val="0"/>
                <w:sz w:val="28"/>
                <w:szCs w:val="28"/>
                <w:highlight w:val="none"/>
              </w:rPr>
              <w:t>服务团队成员具有</w:t>
            </w:r>
            <w:r>
              <w:rPr>
                <w:rFonts w:ascii="宋体" w:hAnsi="宋体" w:cs="宋体"/>
                <w:color w:val="000000"/>
                <w:kern w:val="0"/>
                <w:sz w:val="28"/>
                <w:szCs w:val="28"/>
                <w:highlight w:val="none"/>
              </w:rPr>
              <w:t>1名OSCP(Offensive Security Certified Professional)认证的高级渗透测试工程师的得</w:t>
            </w:r>
            <w:r>
              <w:rPr>
                <w:rFonts w:hint="eastAsia" w:ascii="宋体" w:hAnsi="宋体" w:cs="宋体"/>
                <w:color w:val="000000"/>
                <w:kern w:val="0"/>
                <w:sz w:val="28"/>
                <w:szCs w:val="28"/>
                <w:highlight w:val="none"/>
              </w:rPr>
              <w:t>1</w:t>
            </w:r>
            <w:r>
              <w:rPr>
                <w:rFonts w:ascii="宋体" w:hAnsi="宋体" w:cs="宋体"/>
                <w:color w:val="000000"/>
                <w:kern w:val="0"/>
                <w:sz w:val="28"/>
                <w:szCs w:val="28"/>
                <w:highlight w:val="none"/>
              </w:rPr>
              <w:t>分</w:t>
            </w:r>
            <w:r>
              <w:rPr>
                <w:rFonts w:hint="eastAsia" w:ascii="宋体" w:hAnsi="宋体" w:cs="宋体"/>
                <w:color w:val="000000"/>
                <w:kern w:val="0"/>
                <w:sz w:val="28"/>
                <w:szCs w:val="28"/>
                <w:highlight w:val="none"/>
              </w:rPr>
              <w:t>。（需提供相关证书复印件和自2021年以来连续三个月为有关人员缴纳社保证明材料，缺一不得分）</w:t>
            </w:r>
          </w:p>
          <w:p>
            <w:pPr>
              <w:widowControl/>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（2）投标人在各地市网信办开展的网络安全优秀实践案例活动中，作为技术支撑单位支持教育行业用户获得优秀实践案例奖项一次及以上得5分，须提供相关证明材料，否则不得分。</w:t>
            </w:r>
          </w:p>
          <w:p>
            <w:pPr>
              <w:widowControl/>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3）为保证本次安全服务工作质量，要求服务除具备Windows、Linux信息系统漏洞挖掘能力外，对IOS系统也具备同等的漏洞挖掘能力。要求提供苹果公司官网证明，以表明曾挖掘到IOS终端的安全漏洞（5分）（服务供应商需同时提供苹果公司官网链接及网站截图，否则不得分）</w:t>
            </w:r>
          </w:p>
        </w:tc>
      </w:tr>
      <w:tr>
        <w:tblPrEx>
          <w:tblCellMar>
            <w:top w:w="0" w:type="dxa"/>
            <w:left w:w="108" w:type="dxa"/>
            <w:bottom w:w="0" w:type="dxa"/>
            <w:right w:w="108" w:type="dxa"/>
          </w:tblCellMar>
        </w:tblPrEx>
        <w:trPr>
          <w:trHeight w:val="862"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highlight w:val="none"/>
              </w:rPr>
            </w:pPr>
            <w:r>
              <w:rPr>
                <w:rFonts w:hint="eastAsia" w:ascii="宋体" w:hAnsi="宋体"/>
                <w:sz w:val="28"/>
                <w:szCs w:val="28"/>
                <w:highlight w:val="none"/>
              </w:rPr>
              <w:t>业绩</w:t>
            </w:r>
          </w:p>
          <w:p>
            <w:pPr>
              <w:spacing w:line="380" w:lineRule="exact"/>
              <w:jc w:val="center"/>
              <w:rPr>
                <w:rFonts w:ascii="宋体" w:hAnsi="宋体"/>
                <w:sz w:val="28"/>
                <w:szCs w:val="28"/>
                <w:highlight w:val="none"/>
              </w:rPr>
            </w:pPr>
            <w:r>
              <w:rPr>
                <w:rFonts w:hint="eastAsia" w:ascii="宋体" w:hAnsi="宋体"/>
                <w:sz w:val="28"/>
                <w:szCs w:val="28"/>
                <w:highlight w:val="none"/>
              </w:rPr>
              <w:t>（5分）</w:t>
            </w:r>
          </w:p>
        </w:tc>
        <w:tc>
          <w:tcPr>
            <w:tcW w:w="708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hAnsi="宋体"/>
                <w:sz w:val="28"/>
                <w:szCs w:val="28"/>
                <w:highlight w:val="none"/>
              </w:rPr>
            </w:pPr>
            <w:r>
              <w:rPr>
                <w:rFonts w:hint="eastAsia" w:ascii="宋体" w:hAnsi="宋体"/>
                <w:sz w:val="28"/>
                <w:szCs w:val="28"/>
                <w:highlight w:val="none"/>
              </w:rPr>
              <w:t>提供自2018年</w:t>
            </w:r>
            <w:r>
              <w:rPr>
                <w:rFonts w:ascii="宋体" w:hAnsi="宋体"/>
                <w:sz w:val="28"/>
                <w:szCs w:val="28"/>
                <w:highlight w:val="none"/>
              </w:rPr>
              <w:t>1</w:t>
            </w:r>
            <w:r>
              <w:rPr>
                <w:rFonts w:hint="eastAsia" w:ascii="宋体" w:hAnsi="宋体"/>
                <w:sz w:val="28"/>
                <w:szCs w:val="28"/>
                <w:highlight w:val="none"/>
              </w:rPr>
              <w:t>月1日（以合同签订时间为准）以来的安全服务合同案例，每提供一份合同有效复印件得</w:t>
            </w:r>
            <w:r>
              <w:rPr>
                <w:rFonts w:ascii="宋体" w:hAnsi="宋体"/>
                <w:sz w:val="28"/>
                <w:szCs w:val="28"/>
                <w:highlight w:val="none"/>
              </w:rPr>
              <w:t>1</w:t>
            </w:r>
            <w:r>
              <w:rPr>
                <w:rFonts w:hint="eastAsia" w:ascii="宋体" w:hAnsi="宋体"/>
                <w:sz w:val="28"/>
                <w:szCs w:val="28"/>
                <w:highlight w:val="none"/>
              </w:rPr>
              <w:t>分，最高</w:t>
            </w:r>
            <w:r>
              <w:rPr>
                <w:rFonts w:ascii="宋体" w:hAnsi="宋体"/>
                <w:sz w:val="28"/>
                <w:szCs w:val="28"/>
                <w:highlight w:val="none"/>
              </w:rPr>
              <w:t>5</w:t>
            </w:r>
            <w:r>
              <w:rPr>
                <w:rFonts w:hint="eastAsia" w:ascii="宋体" w:hAnsi="宋体"/>
                <w:sz w:val="28"/>
                <w:szCs w:val="28"/>
                <w:highlight w:val="none"/>
              </w:rPr>
              <w:t>分。（提供合同复印件并加盖服务供应商公章，原件备查）</w:t>
            </w:r>
          </w:p>
        </w:tc>
      </w:tr>
      <w:tr>
        <w:tblPrEx>
          <w:tblCellMar>
            <w:top w:w="0" w:type="dxa"/>
            <w:left w:w="108" w:type="dxa"/>
            <w:bottom w:w="0" w:type="dxa"/>
            <w:right w:w="108" w:type="dxa"/>
          </w:tblCellMar>
        </w:tblPrEx>
        <w:trPr>
          <w:trHeight w:val="862" w:hRule="atLeast"/>
          <w:jc w:val="center"/>
        </w:trPr>
        <w:tc>
          <w:tcPr>
            <w:tcW w:w="158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highlight w:val="none"/>
              </w:rPr>
            </w:pPr>
            <w:r>
              <w:rPr>
                <w:rFonts w:hint="eastAsia" w:ascii="宋体" w:hAnsi="宋体"/>
                <w:sz w:val="28"/>
                <w:szCs w:val="28"/>
                <w:highlight w:val="none"/>
              </w:rPr>
              <w:t>招标文件制作（2分）</w:t>
            </w:r>
          </w:p>
        </w:tc>
        <w:tc>
          <w:tcPr>
            <w:tcW w:w="70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Cs/>
                <w:szCs w:val="21"/>
                <w:highlight w:val="none"/>
                <w:lang w:val="zh-CN"/>
              </w:rPr>
            </w:pPr>
            <w:r>
              <w:rPr>
                <w:rFonts w:hint="eastAsia" w:ascii="宋体" w:hAnsi="宋体"/>
                <w:sz w:val="28"/>
                <w:szCs w:val="28"/>
                <w:highlight w:val="none"/>
              </w:rPr>
              <w:t>文件内容完备，格式规范，封装整齐，满足招标文件要求得2分。未经胶封（如文件夹或订书机等）此项不得分。</w:t>
            </w:r>
          </w:p>
        </w:tc>
      </w:tr>
    </w:tbl>
    <w:p>
      <w:pPr>
        <w:pStyle w:val="2"/>
        <w:jc w:val="center"/>
        <w:rPr>
          <w:highlight w:val="none"/>
        </w:rPr>
      </w:pPr>
    </w:p>
    <w:p>
      <w:pPr>
        <w:pStyle w:val="4"/>
        <w:rPr>
          <w:highlight w:val="none"/>
          <w:lang w:val="zh-CN"/>
        </w:rPr>
      </w:pPr>
      <w:r>
        <w:rPr>
          <w:rFonts w:hint="eastAsia" w:ascii="宋体" w:eastAsia="宋体"/>
          <w:bCs/>
          <w:sz w:val="24"/>
          <w:szCs w:val="24"/>
          <w:highlight w:val="none"/>
        </w:rPr>
        <w:t>（本部分内容由南京信息工程大学信息化建设与管理处提供并负责）</w:t>
      </w: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widowControl/>
        <w:spacing w:before="75" w:after="75" w:line="555" w:lineRule="atLeast"/>
        <w:ind w:firstLine="555"/>
        <w:jc w:val="left"/>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Lines="50" w:afterLines="50" w:line="360" w:lineRule="auto"/>
        <w:jc w:val="center"/>
        <w:outlineLvl w:val="0"/>
        <w:rPr>
          <w:rFonts w:ascii="黑体" w:hAnsi="黑体" w:eastAsia="黑体"/>
          <w:b/>
          <w:sz w:val="34"/>
          <w:highlight w:val="none"/>
        </w:rPr>
      </w:pPr>
      <w:r>
        <w:rPr>
          <w:rFonts w:hint="eastAsia" w:ascii="黑体" w:hAnsi="黑体" w:eastAsia="黑体"/>
          <w:b/>
          <w:sz w:val="34"/>
          <w:highlight w:val="none"/>
        </w:rPr>
        <w:t>南京信息工程大学网络安全监测服务项目</w:t>
      </w:r>
    </w:p>
    <w:p>
      <w:pPr>
        <w:adjustRightInd w:val="0"/>
        <w:snapToGrid w:val="0"/>
        <w:spacing w:beforeLines="50" w:afterLines="50" w:line="360" w:lineRule="auto"/>
        <w:jc w:val="center"/>
        <w:outlineLvl w:val="0"/>
        <w:rPr>
          <w:highlight w:val="none"/>
        </w:rPr>
      </w:pPr>
      <w:r>
        <w:rPr>
          <w:rFonts w:hint="eastAsia" w:ascii="黑体" w:hAnsi="黑体" w:eastAsia="黑体"/>
          <w:b/>
          <w:sz w:val="34"/>
          <w:highlight w:val="none"/>
        </w:rPr>
        <w:t>采购合同</w:t>
      </w:r>
    </w:p>
    <w:p>
      <w:pPr>
        <w:spacing w:line="440" w:lineRule="exact"/>
        <w:jc w:val="center"/>
        <w:rPr>
          <w:rFonts w:eastAsia="微软雅黑"/>
          <w:b/>
          <w:bCs/>
          <w:highlight w:val="none"/>
        </w:rPr>
      </w:pPr>
      <w:r>
        <w:rPr>
          <w:rFonts w:eastAsia="微软雅黑"/>
          <w:b/>
          <w:bCs/>
          <w:highlight w:val="none"/>
        </w:rPr>
        <w:t>（此合同仅作范本</w:t>
      </w:r>
      <w:r>
        <w:rPr>
          <w:rFonts w:hint="eastAsia" w:eastAsia="微软雅黑"/>
          <w:b/>
          <w:bCs/>
          <w:highlight w:val="none"/>
        </w:rPr>
        <w:t>，但不得进行实质性改动。最终文本将根据招标需求、投标承诺进行修改，并以采购人合同审核部门最终审核意见为准。</w:t>
      </w:r>
      <w:r>
        <w:rPr>
          <w:rFonts w:eastAsia="微软雅黑"/>
          <w:b/>
          <w:bCs/>
          <w:highlight w:val="none"/>
        </w:rPr>
        <w:t>）</w:t>
      </w:r>
    </w:p>
    <w:p>
      <w:pPr>
        <w:pStyle w:val="2"/>
        <w:rPr>
          <w:highlight w:val="none"/>
        </w:rPr>
      </w:pPr>
    </w:p>
    <w:p>
      <w:pPr>
        <w:ind w:left="2108" w:hanging="2108" w:hangingChars="750"/>
        <w:jc w:val="left"/>
        <w:rPr>
          <w:b/>
          <w:sz w:val="28"/>
          <w:szCs w:val="28"/>
          <w:highlight w:val="none"/>
        </w:rPr>
      </w:pPr>
      <w:r>
        <w:rPr>
          <w:rFonts w:hint="eastAsia"/>
          <w:b/>
          <w:sz w:val="28"/>
          <w:szCs w:val="28"/>
          <w:highlight w:val="none"/>
        </w:rPr>
        <w:t>委托方（甲方）：</w:t>
      </w:r>
    </w:p>
    <w:p>
      <w:pPr>
        <w:ind w:left="2108" w:hanging="2108" w:hangingChars="750"/>
        <w:jc w:val="left"/>
        <w:rPr>
          <w:rFonts w:ascii="宋体" w:hAnsi="宋体"/>
          <w:sz w:val="28"/>
          <w:szCs w:val="28"/>
          <w:highlight w:val="none"/>
        </w:rPr>
      </w:pPr>
      <w:r>
        <w:rPr>
          <w:rFonts w:hint="eastAsia"/>
          <w:b/>
          <w:sz w:val="28"/>
          <w:szCs w:val="28"/>
          <w:highlight w:val="none"/>
        </w:rPr>
        <w:t>受托方（乙方）：</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本合同甲方委托乙方开展南京信息工程大学为期两年的网络安全监测服务，并支付相应的技术服务报酬。双方经过平等协商，在真实、充分地表达各自意愿的基础上，达成如下协议，并由双方共同恪守。</w:t>
      </w:r>
    </w:p>
    <w:p>
      <w:pPr>
        <w:spacing w:line="360" w:lineRule="auto"/>
        <w:rPr>
          <w:rFonts w:ascii="宋体" w:hAnsi="宋体"/>
          <w:b/>
          <w:sz w:val="28"/>
          <w:szCs w:val="28"/>
          <w:highlight w:val="none"/>
        </w:rPr>
      </w:pPr>
      <w:r>
        <w:rPr>
          <w:rFonts w:ascii="宋体" w:hAnsi="宋体"/>
          <w:b/>
          <w:sz w:val="28"/>
          <w:szCs w:val="28"/>
          <w:highlight w:val="none"/>
        </w:rPr>
        <w:t>第一条  根据有关法律、法规规定，甲方委托乙方进行技术服务的内容</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本次技术服务内容主要包括安全咨询、敏感数据治理服务、网站安全监测服务、渗透测试、漏洞扫描、Web资产梳理、漏洞复测服务、应急响应和演练服务、安全预警和安全培训服务等，详细见招标文件要求。</w:t>
      </w:r>
    </w:p>
    <w:p>
      <w:pPr>
        <w:spacing w:line="360" w:lineRule="auto"/>
        <w:rPr>
          <w:b/>
          <w:sz w:val="28"/>
          <w:szCs w:val="28"/>
          <w:highlight w:val="none"/>
        </w:rPr>
      </w:pPr>
      <w:r>
        <w:rPr>
          <w:rFonts w:hAnsi="宋体"/>
          <w:b/>
          <w:sz w:val="28"/>
          <w:szCs w:val="28"/>
          <w:highlight w:val="none"/>
        </w:rPr>
        <w:t>第二条</w:t>
      </w:r>
      <w:r>
        <w:rPr>
          <w:rFonts w:hint="eastAsia" w:hAnsi="宋体"/>
          <w:b/>
          <w:sz w:val="28"/>
          <w:szCs w:val="28"/>
          <w:highlight w:val="none"/>
        </w:rPr>
        <w:t xml:space="preserve"> </w:t>
      </w:r>
      <w:r>
        <w:rPr>
          <w:rFonts w:hAnsi="宋体"/>
          <w:b/>
          <w:sz w:val="28"/>
          <w:szCs w:val="28"/>
          <w:highlight w:val="none"/>
        </w:rPr>
        <w:t>乙方应按下列要求完成技术服务工作</w:t>
      </w:r>
    </w:p>
    <w:p>
      <w:pPr>
        <w:numPr>
          <w:ilvl w:val="0"/>
          <w:numId w:val="2"/>
        </w:numPr>
        <w:spacing w:line="360" w:lineRule="auto"/>
        <w:rPr>
          <w:sz w:val="28"/>
          <w:szCs w:val="28"/>
          <w:highlight w:val="none"/>
        </w:rPr>
      </w:pPr>
      <w:r>
        <w:rPr>
          <w:rFonts w:hAnsi="宋体"/>
          <w:sz w:val="28"/>
          <w:szCs w:val="28"/>
          <w:highlight w:val="none"/>
        </w:rPr>
        <w:t>技术服务交付期限：签订合后</w:t>
      </w:r>
      <w:r>
        <w:rPr>
          <w:rFonts w:hint="eastAsia" w:hAnsi="宋体"/>
          <w:b/>
          <w:sz w:val="28"/>
          <w:szCs w:val="28"/>
          <w:highlight w:val="none"/>
        </w:rPr>
        <w:t>10</w:t>
      </w:r>
      <w:r>
        <w:rPr>
          <w:rFonts w:hAnsi="宋体"/>
          <w:sz w:val="28"/>
          <w:szCs w:val="28"/>
          <w:highlight w:val="none"/>
        </w:rPr>
        <w:t>日</w:t>
      </w:r>
      <w:r>
        <w:rPr>
          <w:rFonts w:hint="eastAsia" w:hAnsi="宋体"/>
          <w:sz w:val="28"/>
          <w:szCs w:val="28"/>
          <w:highlight w:val="none"/>
        </w:rPr>
        <w:t>内完成网站安全监测部署工作</w:t>
      </w:r>
      <w:r>
        <w:rPr>
          <w:rFonts w:hAnsi="宋体"/>
          <w:sz w:val="28"/>
          <w:szCs w:val="28"/>
          <w:highlight w:val="none"/>
        </w:rPr>
        <w:t>。</w:t>
      </w:r>
    </w:p>
    <w:p>
      <w:pPr>
        <w:numPr>
          <w:ilvl w:val="0"/>
          <w:numId w:val="2"/>
        </w:numPr>
        <w:spacing w:line="360" w:lineRule="auto"/>
        <w:rPr>
          <w:sz w:val="28"/>
          <w:szCs w:val="28"/>
          <w:highlight w:val="none"/>
        </w:rPr>
      </w:pPr>
      <w:r>
        <w:rPr>
          <w:rFonts w:hAnsi="宋体"/>
          <w:sz w:val="28"/>
          <w:szCs w:val="28"/>
          <w:highlight w:val="none"/>
        </w:rPr>
        <w:t>乙方对甲方提供的技术资料及硬件信息等保密。</w:t>
      </w:r>
    </w:p>
    <w:p>
      <w:pPr>
        <w:spacing w:line="360" w:lineRule="auto"/>
        <w:rPr>
          <w:rFonts w:ascii="宋体" w:hAnsi="宋体"/>
          <w:b/>
          <w:sz w:val="28"/>
          <w:szCs w:val="28"/>
          <w:highlight w:val="none"/>
        </w:rPr>
      </w:pPr>
      <w:r>
        <w:rPr>
          <w:rFonts w:ascii="宋体" w:hAnsi="宋体"/>
          <w:b/>
          <w:sz w:val="28"/>
          <w:szCs w:val="28"/>
          <w:highlight w:val="none"/>
        </w:rPr>
        <w:t>第三条  甲方义务</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1、甲方应向乙方提供软件部署的硬件环境。</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2、甲方应为乙方现场踏勘提供方便条件，应及时为乙方协调解决现场工作可能出现的问题（如出入许可及其他可能影响工作进行的不利条件）。</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3、负责与业务系统负责部门的协调沟通工作。</w:t>
      </w:r>
    </w:p>
    <w:p>
      <w:pPr>
        <w:spacing w:line="360" w:lineRule="auto"/>
        <w:ind w:firstLine="560" w:firstLineChars="200"/>
        <w:rPr>
          <w:rFonts w:ascii="宋体" w:hAnsi="宋体"/>
          <w:sz w:val="28"/>
          <w:szCs w:val="28"/>
          <w:highlight w:val="none"/>
        </w:rPr>
      </w:pPr>
      <w:r>
        <w:rPr>
          <w:rFonts w:ascii="宋体" w:hAnsi="宋体"/>
          <w:sz w:val="28"/>
          <w:szCs w:val="28"/>
          <w:highlight w:val="none"/>
        </w:rPr>
        <w:t xml:space="preserve"> 4、甲方提供上述工作协作事项的对接方式：合同签订之日起实施，由甲方委派专人同乙方项目负责人协调落实。</w:t>
      </w:r>
    </w:p>
    <w:p>
      <w:pPr>
        <w:tabs>
          <w:tab w:val="left" w:pos="540"/>
        </w:tabs>
        <w:adjustRightInd w:val="0"/>
        <w:snapToGrid w:val="0"/>
        <w:spacing w:line="360" w:lineRule="auto"/>
        <w:ind w:firstLine="422" w:firstLineChars="150"/>
        <w:rPr>
          <w:b/>
          <w:sz w:val="28"/>
          <w:szCs w:val="28"/>
          <w:highlight w:val="none"/>
        </w:rPr>
      </w:pPr>
      <w:r>
        <w:rPr>
          <w:rFonts w:hAnsi="宋体"/>
          <w:b/>
          <w:sz w:val="28"/>
          <w:szCs w:val="28"/>
          <w:highlight w:val="none"/>
        </w:rPr>
        <w:t>第四条</w:t>
      </w:r>
      <w:r>
        <w:rPr>
          <w:rFonts w:hint="eastAsia" w:hAnsi="宋体"/>
          <w:b/>
          <w:sz w:val="28"/>
          <w:szCs w:val="28"/>
          <w:highlight w:val="none"/>
        </w:rPr>
        <w:t xml:space="preserve"> </w:t>
      </w:r>
      <w:r>
        <w:rPr>
          <w:rFonts w:hAnsi="宋体"/>
          <w:b/>
          <w:sz w:val="28"/>
          <w:szCs w:val="28"/>
          <w:highlight w:val="none"/>
        </w:rPr>
        <w:t>乙方义务</w:t>
      </w:r>
    </w:p>
    <w:p>
      <w:pPr>
        <w:numPr>
          <w:ilvl w:val="0"/>
          <w:numId w:val="3"/>
        </w:numPr>
        <w:spacing w:line="360" w:lineRule="auto"/>
        <w:rPr>
          <w:sz w:val="28"/>
          <w:szCs w:val="28"/>
          <w:highlight w:val="none"/>
        </w:rPr>
      </w:pPr>
      <w:r>
        <w:rPr>
          <w:rFonts w:hAnsi="宋体"/>
          <w:sz w:val="28"/>
          <w:szCs w:val="28"/>
          <w:highlight w:val="none"/>
        </w:rPr>
        <w:t>按照国家有关法律法规、标准规范和合同要求完成各项工作。</w:t>
      </w:r>
    </w:p>
    <w:p>
      <w:pPr>
        <w:numPr>
          <w:ilvl w:val="0"/>
          <w:numId w:val="3"/>
        </w:numPr>
        <w:spacing w:line="360" w:lineRule="auto"/>
        <w:rPr>
          <w:sz w:val="28"/>
          <w:szCs w:val="28"/>
          <w:highlight w:val="none"/>
        </w:rPr>
      </w:pPr>
      <w:r>
        <w:rPr>
          <w:rFonts w:hAnsi="宋体"/>
          <w:sz w:val="28"/>
          <w:szCs w:val="28"/>
          <w:highlight w:val="none"/>
        </w:rPr>
        <w:t>乙方按期完成合同采购的服务工作，若服务不满足合同规定要求乙方必须限期进行整改。二次整改未获通过的，甲方有权解除合同。甲方不支付任何费用，乙方应当返还甲方已经支付的费用，且乙方应向甲方支付合同总额30%的违约金。造成甲方损失的，还应承担赔偿责任。</w:t>
      </w:r>
    </w:p>
    <w:p>
      <w:pPr>
        <w:numPr>
          <w:ilvl w:val="0"/>
          <w:numId w:val="3"/>
        </w:numPr>
        <w:spacing w:line="360" w:lineRule="auto"/>
        <w:rPr>
          <w:rFonts w:ascii="宋体" w:hAnsi="宋体"/>
          <w:sz w:val="28"/>
          <w:szCs w:val="28"/>
          <w:highlight w:val="none"/>
        </w:rPr>
      </w:pPr>
      <w:r>
        <w:rPr>
          <w:rFonts w:hAnsi="宋体"/>
          <w:sz w:val="28"/>
          <w:szCs w:val="28"/>
          <w:highlight w:val="none"/>
        </w:rPr>
        <w:t>在未获得甲方书面同意的情况下，乙方不得就本合同的内容及本项目的资料、内容、结论等对外进行任何公开披露或向第三方透露</w:t>
      </w:r>
      <w:r>
        <w:rPr>
          <w:rFonts w:hint="eastAsia" w:ascii="宋体" w:hAnsi="宋体"/>
          <w:sz w:val="28"/>
          <w:szCs w:val="28"/>
          <w:highlight w:val="none"/>
        </w:rPr>
        <w:t>，否则，应向甲方支付合同金额10%的违约金。造成甲方损失的，乙方还应承担赔偿责任。</w:t>
      </w:r>
    </w:p>
    <w:p>
      <w:pPr>
        <w:numPr>
          <w:ilvl w:val="0"/>
          <w:numId w:val="3"/>
        </w:numPr>
        <w:spacing w:line="360" w:lineRule="auto"/>
        <w:rPr>
          <w:sz w:val="28"/>
          <w:szCs w:val="28"/>
          <w:highlight w:val="none"/>
        </w:rPr>
      </w:pPr>
      <w:r>
        <w:rPr>
          <w:rFonts w:hAnsi="宋体"/>
          <w:sz w:val="28"/>
          <w:szCs w:val="28"/>
          <w:highlight w:val="none"/>
        </w:rPr>
        <w:t>由于乙方过失造成甲方损失，乙方应向甲方做出赔偿，累计赔偿金额不超过合同总价。</w:t>
      </w:r>
    </w:p>
    <w:p>
      <w:pPr>
        <w:spacing w:line="360" w:lineRule="auto"/>
        <w:rPr>
          <w:rFonts w:ascii="宋体" w:hAnsi="宋体"/>
          <w:b/>
          <w:sz w:val="28"/>
          <w:szCs w:val="28"/>
          <w:highlight w:val="none"/>
        </w:rPr>
      </w:pPr>
      <w:r>
        <w:rPr>
          <w:rFonts w:hAnsi="宋体"/>
          <w:b/>
          <w:sz w:val="28"/>
          <w:szCs w:val="28"/>
          <w:highlight w:val="none"/>
        </w:rPr>
        <w:t>第五条</w:t>
      </w:r>
      <w:r>
        <w:rPr>
          <w:rFonts w:ascii="宋体" w:hAnsi="宋体"/>
          <w:b/>
          <w:sz w:val="28"/>
          <w:szCs w:val="28"/>
          <w:highlight w:val="none"/>
        </w:rPr>
        <w:t>甲方向乙方支付技术服务报酬及支付方式为：</w:t>
      </w:r>
    </w:p>
    <w:p>
      <w:pPr>
        <w:spacing w:line="360" w:lineRule="auto"/>
        <w:rPr>
          <w:rFonts w:ascii="宋体" w:hAnsi="宋体"/>
          <w:sz w:val="28"/>
          <w:szCs w:val="28"/>
          <w:highlight w:val="none"/>
        </w:rPr>
      </w:pPr>
      <w:r>
        <w:rPr>
          <w:sz w:val="28"/>
          <w:szCs w:val="28"/>
          <w:highlight w:val="none"/>
        </w:rPr>
        <w:tab/>
      </w:r>
      <w:r>
        <w:rPr>
          <w:rFonts w:hint="eastAsia"/>
          <w:sz w:val="28"/>
          <w:szCs w:val="28"/>
          <w:highlight w:val="none"/>
        </w:rPr>
        <w:t>1.</w:t>
      </w:r>
      <w:r>
        <w:rPr>
          <w:rFonts w:hint="eastAsia" w:ascii="宋体" w:hAnsi="宋体"/>
          <w:sz w:val="28"/>
          <w:szCs w:val="28"/>
          <w:highlight w:val="none"/>
        </w:rPr>
        <w:t>技术服务报酬总额</w:t>
      </w:r>
      <w:r>
        <w:rPr>
          <w:rFonts w:ascii="宋体" w:hAnsi="宋体"/>
          <w:b/>
          <w:sz w:val="28"/>
          <w:szCs w:val="28"/>
          <w:highlight w:val="none"/>
          <w:u w:val="single"/>
        </w:rPr>
        <w:t>（含税），</w:t>
      </w:r>
      <w:r>
        <w:rPr>
          <w:rFonts w:hint="eastAsia" w:ascii="宋体" w:hAnsi="宋体"/>
          <w:sz w:val="28"/>
          <w:szCs w:val="28"/>
          <w:highlight w:val="none"/>
        </w:rPr>
        <w:t>大写：</w:t>
      </w:r>
      <w:r>
        <w:rPr>
          <w:rFonts w:ascii="宋体" w:hAnsi="宋体"/>
          <w:b/>
          <w:sz w:val="28"/>
          <w:szCs w:val="28"/>
          <w:highlight w:val="none"/>
          <w:u w:val="single"/>
        </w:rPr>
        <w:t>（含税）。</w:t>
      </w:r>
      <w:r>
        <w:rPr>
          <w:rFonts w:hint="eastAsia" w:ascii="宋体" w:hAnsi="宋体"/>
          <w:sz w:val="28"/>
          <w:szCs w:val="28"/>
          <w:highlight w:val="none"/>
        </w:rPr>
        <w:t>第一年服务报酬：</w:t>
      </w:r>
      <w:r>
        <w:rPr>
          <w:rFonts w:ascii="宋体" w:hAnsi="宋体"/>
          <w:b/>
          <w:sz w:val="28"/>
          <w:szCs w:val="28"/>
          <w:highlight w:val="none"/>
          <w:u w:val="single"/>
        </w:rPr>
        <w:t>（含税）</w:t>
      </w:r>
      <w:r>
        <w:rPr>
          <w:rFonts w:hint="eastAsia" w:ascii="宋体" w:hAnsi="宋体"/>
          <w:sz w:val="28"/>
          <w:szCs w:val="28"/>
          <w:highlight w:val="none"/>
        </w:rPr>
        <w:t>大写：</w:t>
      </w:r>
      <w:r>
        <w:rPr>
          <w:rFonts w:ascii="宋体" w:hAnsi="宋体"/>
          <w:b/>
          <w:sz w:val="28"/>
          <w:szCs w:val="28"/>
          <w:highlight w:val="none"/>
          <w:u w:val="single"/>
        </w:rPr>
        <w:t>（含税）；</w:t>
      </w:r>
      <w:r>
        <w:rPr>
          <w:rFonts w:hint="eastAsia" w:ascii="宋体" w:hAnsi="宋体"/>
          <w:sz w:val="28"/>
          <w:szCs w:val="28"/>
          <w:highlight w:val="none"/>
        </w:rPr>
        <w:t>第二年服务报酬：</w:t>
      </w:r>
      <w:r>
        <w:rPr>
          <w:rFonts w:ascii="宋体" w:hAnsi="宋体"/>
          <w:b/>
          <w:sz w:val="28"/>
          <w:szCs w:val="28"/>
          <w:highlight w:val="none"/>
          <w:u w:val="single"/>
        </w:rPr>
        <w:t>（含税）</w:t>
      </w:r>
      <w:r>
        <w:rPr>
          <w:rFonts w:hint="eastAsia" w:ascii="宋体" w:hAnsi="宋体"/>
          <w:sz w:val="28"/>
          <w:szCs w:val="28"/>
          <w:highlight w:val="none"/>
        </w:rPr>
        <w:t>大写：</w:t>
      </w:r>
      <w:r>
        <w:rPr>
          <w:rFonts w:ascii="宋体" w:hAnsi="宋体"/>
          <w:b/>
          <w:sz w:val="28"/>
          <w:szCs w:val="28"/>
          <w:highlight w:val="none"/>
          <w:u w:val="single"/>
        </w:rPr>
        <w:t>（含税）</w:t>
      </w:r>
      <w:r>
        <w:rPr>
          <w:rFonts w:hint="eastAsia" w:ascii="宋体" w:hAnsi="宋体"/>
          <w:sz w:val="28"/>
          <w:szCs w:val="28"/>
          <w:highlight w:val="none"/>
        </w:rPr>
        <w:t>。</w:t>
      </w:r>
    </w:p>
    <w:p>
      <w:pPr>
        <w:ind w:firstLine="411" w:firstLineChars="147"/>
        <w:rPr>
          <w:rFonts w:ascii="宋体" w:hAnsi="宋体"/>
          <w:sz w:val="28"/>
          <w:szCs w:val="28"/>
          <w:highlight w:val="none"/>
        </w:rPr>
      </w:pPr>
      <w:r>
        <w:rPr>
          <w:rFonts w:hint="eastAsia" w:ascii="宋体" w:hAnsi="宋体"/>
          <w:sz w:val="28"/>
          <w:szCs w:val="28"/>
          <w:highlight w:val="none"/>
        </w:rPr>
        <w:t>2.支付方式：合同签订后第二个月进行年初考核，年初考核通过后支付当年服务款项的50%；每年服务结束进行年终考核，年终考核无服务质量问题后付当年服务款项的50%。如果服务期间发生质量问题，校方有权随时终止合同，并根据已完成工作量的60%支付服务款。如造成甲方损失的，乙方应承担赔偿责任。具体考核办法见服务要求。</w:t>
      </w:r>
    </w:p>
    <w:p>
      <w:pPr>
        <w:pStyle w:val="2"/>
        <w:rPr>
          <w:highlight w:val="none"/>
        </w:rPr>
      </w:pPr>
    </w:p>
    <w:p>
      <w:pPr>
        <w:spacing w:line="360" w:lineRule="auto"/>
        <w:ind w:firstLine="422" w:firstLineChars="150"/>
        <w:rPr>
          <w:b/>
          <w:sz w:val="28"/>
          <w:szCs w:val="28"/>
          <w:highlight w:val="none"/>
        </w:rPr>
      </w:pPr>
      <w:r>
        <w:rPr>
          <w:rFonts w:hAnsi="宋体"/>
          <w:b/>
          <w:sz w:val="28"/>
          <w:szCs w:val="28"/>
          <w:highlight w:val="none"/>
        </w:rPr>
        <w:t>第六条</w:t>
      </w:r>
      <w:r>
        <w:rPr>
          <w:rFonts w:hint="eastAsia" w:hAnsi="宋体"/>
          <w:b/>
          <w:sz w:val="28"/>
          <w:szCs w:val="28"/>
          <w:highlight w:val="none"/>
        </w:rPr>
        <w:t xml:space="preserve"> </w:t>
      </w:r>
      <w:r>
        <w:rPr>
          <w:rFonts w:hAnsi="宋体"/>
          <w:b/>
          <w:sz w:val="28"/>
          <w:szCs w:val="28"/>
          <w:highlight w:val="none"/>
        </w:rPr>
        <w:t>合同终止</w:t>
      </w:r>
    </w:p>
    <w:p>
      <w:pPr>
        <w:spacing w:line="360" w:lineRule="auto"/>
        <w:ind w:firstLine="560" w:firstLineChars="200"/>
        <w:rPr>
          <w:rFonts w:ascii="宋体" w:hAnsi="宋体"/>
          <w:sz w:val="28"/>
          <w:szCs w:val="28"/>
          <w:highlight w:val="none"/>
        </w:rPr>
      </w:pPr>
      <w:r>
        <w:rPr>
          <w:rFonts w:ascii="宋体" w:hAnsi="宋体"/>
          <w:sz w:val="28"/>
          <w:szCs w:val="28"/>
          <w:highlight w:val="none"/>
        </w:rPr>
        <w:t>如果乙方严重违约，或乙方无力履行合同，甲方有权提出终止合同，乙方应协助甲方完成与终止合同有关的工作。终止合同，乙方应返还甲方已经支付的所有费用，</w:t>
      </w:r>
      <w:r>
        <w:rPr>
          <w:rFonts w:hint="eastAsia" w:ascii="宋体" w:hAnsi="宋体"/>
          <w:sz w:val="28"/>
          <w:szCs w:val="28"/>
          <w:highlight w:val="none"/>
        </w:rPr>
        <w:t>乙方支付甲方合同总价2</w:t>
      </w:r>
      <w:r>
        <w:rPr>
          <w:rFonts w:ascii="宋体" w:hAnsi="宋体"/>
          <w:sz w:val="28"/>
          <w:szCs w:val="28"/>
          <w:highlight w:val="none"/>
        </w:rPr>
        <w:t>0%</w:t>
      </w:r>
      <w:r>
        <w:rPr>
          <w:rFonts w:hint="eastAsia" w:ascii="宋体" w:hAnsi="宋体"/>
          <w:sz w:val="28"/>
          <w:szCs w:val="28"/>
          <w:highlight w:val="none"/>
        </w:rPr>
        <w:t>的违约金，造成甲方损失的，乙方应当承担赔偿责任。</w:t>
      </w:r>
    </w:p>
    <w:p>
      <w:pPr>
        <w:spacing w:line="360" w:lineRule="auto"/>
        <w:ind w:firstLine="275" w:firstLineChars="98"/>
        <w:rPr>
          <w:rFonts w:hAnsi="宋体"/>
          <w:b/>
          <w:sz w:val="28"/>
          <w:szCs w:val="28"/>
          <w:highlight w:val="none"/>
        </w:rPr>
      </w:pPr>
      <w:r>
        <w:rPr>
          <w:rFonts w:hint="eastAsia" w:hAnsi="宋体"/>
          <w:b/>
          <w:sz w:val="28"/>
          <w:szCs w:val="28"/>
          <w:highlight w:val="none"/>
        </w:rPr>
        <w:t>第七条 违约条款</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合同生效后，甲乙双方应严格按照合同的约定执行。若甲方非不抗力因素导致合同无法执行，甲方应按合同总金额的50%赔付乙方；若乙方非不抗力因素导致合同无法执行，乙方应按合同总金额的50%赔付甲方，同时乙方应全额返还甲方已支付的费用。</w:t>
      </w:r>
    </w:p>
    <w:p>
      <w:pPr>
        <w:spacing w:line="360" w:lineRule="auto"/>
        <w:ind w:firstLine="275" w:firstLineChars="98"/>
        <w:rPr>
          <w:b/>
          <w:sz w:val="28"/>
          <w:szCs w:val="28"/>
          <w:highlight w:val="none"/>
        </w:rPr>
      </w:pPr>
      <w:r>
        <w:rPr>
          <w:rFonts w:hAnsi="宋体"/>
          <w:b/>
          <w:sz w:val="28"/>
          <w:szCs w:val="28"/>
          <w:highlight w:val="none"/>
        </w:rPr>
        <w:t>第八条</w:t>
      </w:r>
      <w:r>
        <w:rPr>
          <w:rFonts w:hint="eastAsia" w:hAnsi="宋体"/>
          <w:b/>
          <w:sz w:val="28"/>
          <w:szCs w:val="28"/>
          <w:highlight w:val="none"/>
        </w:rPr>
        <w:t xml:space="preserve"> </w:t>
      </w:r>
      <w:r>
        <w:rPr>
          <w:rFonts w:hAnsi="宋体"/>
          <w:b/>
          <w:sz w:val="28"/>
          <w:szCs w:val="28"/>
          <w:highlight w:val="none"/>
        </w:rPr>
        <w:t>争议解决</w:t>
      </w:r>
    </w:p>
    <w:p>
      <w:pPr>
        <w:spacing w:line="360" w:lineRule="auto"/>
        <w:ind w:firstLine="137" w:firstLineChars="49"/>
        <w:rPr>
          <w:sz w:val="28"/>
          <w:szCs w:val="28"/>
          <w:highlight w:val="none"/>
        </w:rPr>
      </w:pPr>
      <w:r>
        <w:rPr>
          <w:sz w:val="28"/>
          <w:szCs w:val="28"/>
          <w:highlight w:val="none"/>
        </w:rPr>
        <w:tab/>
      </w:r>
      <w:r>
        <w:rPr>
          <w:rFonts w:hAnsi="宋体"/>
          <w:sz w:val="28"/>
          <w:szCs w:val="28"/>
          <w:highlight w:val="none"/>
        </w:rPr>
        <w:t>双方应对合同履行过程中所发生的争议首先通过友好协商解决。经双方协商不能解决时，合同任何一方可将争议提交</w:t>
      </w:r>
      <w:r>
        <w:rPr>
          <w:rFonts w:hint="eastAsia" w:hAnsi="宋体"/>
          <w:sz w:val="28"/>
          <w:szCs w:val="28"/>
          <w:highlight w:val="none"/>
        </w:rPr>
        <w:t>甲方所在地</w:t>
      </w:r>
      <w:r>
        <w:rPr>
          <w:rFonts w:hAnsi="宋体"/>
          <w:sz w:val="28"/>
          <w:szCs w:val="28"/>
          <w:highlight w:val="none"/>
        </w:rPr>
        <w:t>人民法院申请诉讼。在争议解决期间，除涉及争议的有关事项外，双方应继续履行合同的其他条款。</w:t>
      </w:r>
    </w:p>
    <w:p>
      <w:pPr>
        <w:spacing w:line="360" w:lineRule="auto"/>
        <w:ind w:firstLine="275" w:firstLineChars="98"/>
        <w:rPr>
          <w:b/>
          <w:sz w:val="28"/>
          <w:szCs w:val="28"/>
          <w:highlight w:val="none"/>
        </w:rPr>
      </w:pPr>
      <w:r>
        <w:rPr>
          <w:rFonts w:hAnsi="宋体"/>
          <w:b/>
          <w:sz w:val="28"/>
          <w:szCs w:val="28"/>
          <w:highlight w:val="none"/>
        </w:rPr>
        <w:t>第九条</w:t>
      </w:r>
      <w:r>
        <w:rPr>
          <w:rFonts w:hint="eastAsia" w:hAnsi="宋体"/>
          <w:b/>
          <w:sz w:val="28"/>
          <w:szCs w:val="28"/>
          <w:highlight w:val="none"/>
        </w:rPr>
        <w:t xml:space="preserve">  </w:t>
      </w:r>
      <w:r>
        <w:rPr>
          <w:rFonts w:hAnsi="宋体"/>
          <w:b/>
          <w:sz w:val="28"/>
          <w:szCs w:val="28"/>
          <w:highlight w:val="none"/>
        </w:rPr>
        <w:t>合同生效及其他</w:t>
      </w:r>
    </w:p>
    <w:p>
      <w:pPr>
        <w:numPr>
          <w:ilvl w:val="0"/>
          <w:numId w:val="4"/>
        </w:numPr>
        <w:spacing w:line="360" w:lineRule="auto"/>
        <w:rPr>
          <w:sz w:val="28"/>
          <w:szCs w:val="28"/>
          <w:highlight w:val="none"/>
        </w:rPr>
      </w:pPr>
      <w:r>
        <w:rPr>
          <w:rFonts w:hint="eastAsia" w:hAnsi="宋体"/>
          <w:sz w:val="28"/>
          <w:szCs w:val="28"/>
          <w:highlight w:val="none"/>
        </w:rPr>
        <w:t>未尽事宜，双方协商解决。</w:t>
      </w:r>
    </w:p>
    <w:p>
      <w:pPr>
        <w:numPr>
          <w:ilvl w:val="0"/>
          <w:numId w:val="4"/>
        </w:numPr>
        <w:spacing w:line="360" w:lineRule="auto"/>
        <w:rPr>
          <w:sz w:val="28"/>
          <w:szCs w:val="28"/>
          <w:highlight w:val="none"/>
        </w:rPr>
      </w:pPr>
      <w:r>
        <w:rPr>
          <w:rFonts w:hAnsi="宋体"/>
          <w:sz w:val="28"/>
          <w:szCs w:val="28"/>
          <w:highlight w:val="none"/>
        </w:rPr>
        <w:t>本合同自双方签字盖章之日起生效</w:t>
      </w:r>
      <w:r>
        <w:rPr>
          <w:rFonts w:hint="eastAsia" w:hAnsi="宋体"/>
          <w:sz w:val="28"/>
          <w:szCs w:val="28"/>
          <w:highlight w:val="none"/>
        </w:rPr>
        <w:t>。</w:t>
      </w:r>
    </w:p>
    <w:p>
      <w:pPr>
        <w:numPr>
          <w:ilvl w:val="0"/>
          <w:numId w:val="4"/>
        </w:numPr>
        <w:spacing w:line="360" w:lineRule="auto"/>
        <w:rPr>
          <w:sz w:val="28"/>
          <w:szCs w:val="28"/>
          <w:highlight w:val="none"/>
        </w:rPr>
      </w:pPr>
      <w:r>
        <w:rPr>
          <w:rFonts w:hAnsi="宋体"/>
          <w:sz w:val="28"/>
          <w:szCs w:val="28"/>
          <w:highlight w:val="none"/>
        </w:rPr>
        <w:t>本合同一式</w:t>
      </w:r>
      <w:r>
        <w:rPr>
          <w:rFonts w:hint="eastAsia" w:hAnsi="宋体"/>
          <w:sz w:val="28"/>
          <w:szCs w:val="28"/>
          <w:highlight w:val="none"/>
        </w:rPr>
        <w:t>肆</w:t>
      </w:r>
      <w:r>
        <w:rPr>
          <w:rFonts w:hAnsi="宋体"/>
          <w:sz w:val="28"/>
          <w:szCs w:val="28"/>
          <w:highlight w:val="none"/>
        </w:rPr>
        <w:t>份，甲方执</w:t>
      </w:r>
      <w:r>
        <w:rPr>
          <w:rFonts w:hint="eastAsia" w:hAnsi="宋体"/>
          <w:sz w:val="28"/>
          <w:szCs w:val="28"/>
          <w:highlight w:val="none"/>
        </w:rPr>
        <w:t>叁</w:t>
      </w:r>
      <w:r>
        <w:rPr>
          <w:rFonts w:hAnsi="宋体"/>
          <w:sz w:val="28"/>
          <w:szCs w:val="28"/>
          <w:highlight w:val="none"/>
        </w:rPr>
        <w:t>份，乙方执壹份，具有同等法律效力。</w:t>
      </w:r>
    </w:p>
    <w:p>
      <w:pPr>
        <w:numPr>
          <w:ilvl w:val="0"/>
          <w:numId w:val="4"/>
        </w:numPr>
        <w:spacing w:line="360" w:lineRule="auto"/>
        <w:rPr>
          <w:sz w:val="28"/>
          <w:szCs w:val="28"/>
          <w:highlight w:val="none"/>
        </w:rPr>
      </w:pPr>
      <w:r>
        <w:rPr>
          <w:rFonts w:hint="eastAsia" w:hAnsi="宋体"/>
          <w:sz w:val="28"/>
          <w:szCs w:val="28"/>
          <w:highlight w:val="none"/>
        </w:rPr>
        <w:t>招标文件、投标文件、补充条款等均为本合同有效组成部分。</w:t>
      </w:r>
    </w:p>
    <w:p>
      <w:pPr>
        <w:spacing w:line="360" w:lineRule="auto"/>
        <w:ind w:left="902"/>
        <w:rPr>
          <w:rFonts w:hAnsi="宋体"/>
          <w:sz w:val="28"/>
          <w:szCs w:val="28"/>
          <w:highlight w:val="none"/>
        </w:rPr>
      </w:pPr>
      <w:r>
        <w:rPr>
          <w:rFonts w:hint="eastAsia" w:hAnsi="宋体"/>
          <w:sz w:val="28"/>
          <w:szCs w:val="28"/>
          <w:highlight w:val="none"/>
        </w:rPr>
        <w:t>(以下无正文，为本合同签署页)</w:t>
      </w:r>
    </w:p>
    <w:p>
      <w:pPr>
        <w:spacing w:line="560" w:lineRule="exact"/>
        <w:ind w:left="902"/>
        <w:contextualSpacing/>
        <w:rPr>
          <w:rFonts w:ascii="宋体" w:hAnsi="宋体"/>
          <w:sz w:val="28"/>
          <w:szCs w:val="28"/>
          <w:highlight w:val="none"/>
        </w:rPr>
      </w:pPr>
    </w:p>
    <w:p>
      <w:pPr>
        <w:spacing w:line="560" w:lineRule="exact"/>
        <w:ind w:left="902"/>
        <w:contextualSpacing/>
        <w:rPr>
          <w:rFonts w:ascii="宋体" w:hAnsi="宋体"/>
          <w:sz w:val="28"/>
          <w:szCs w:val="28"/>
          <w:highlight w:val="none"/>
        </w:rPr>
      </w:pPr>
      <w:r>
        <w:rPr>
          <w:rFonts w:hint="eastAsia" w:ascii="宋体" w:hAnsi="宋体"/>
          <w:sz w:val="28"/>
          <w:szCs w:val="28"/>
          <w:highlight w:val="none"/>
        </w:rPr>
        <w:t>甲方：南京信息工程大学</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法定代表人或授权代表人：</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税号：12320000466006762K</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地址：南京市宁六路219号</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电话：025-58731440</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开户行：中国农业银行股份有限公司南京市盘城支行</w:t>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银行帐号：10115401040000228</w:t>
      </w:r>
    </w:p>
    <w:p>
      <w:pPr>
        <w:spacing w:line="560" w:lineRule="exact"/>
        <w:ind w:left="902"/>
        <w:contextualSpacing/>
        <w:rPr>
          <w:rFonts w:ascii="宋体" w:hAnsi="宋体"/>
          <w:sz w:val="28"/>
          <w:szCs w:val="28"/>
          <w:highlight w:val="none"/>
        </w:rPr>
      </w:pPr>
    </w:p>
    <w:p>
      <w:pPr>
        <w:spacing w:line="560" w:lineRule="exact"/>
        <w:ind w:left="902"/>
        <w:contextualSpacing/>
        <w:rPr>
          <w:rFonts w:ascii="宋体" w:hAnsi="宋体"/>
          <w:sz w:val="28"/>
          <w:szCs w:val="28"/>
          <w:highlight w:val="none"/>
        </w:rPr>
      </w:pPr>
      <w:r>
        <w:rPr>
          <w:rFonts w:hint="eastAsia" w:ascii="宋体" w:hAnsi="宋体"/>
          <w:sz w:val="28"/>
          <w:szCs w:val="28"/>
          <w:highlight w:val="none"/>
        </w:rPr>
        <w:t>乙方：</w:t>
      </w:r>
      <w:r>
        <w:rPr>
          <w:rFonts w:hint="eastAsia" w:ascii="宋体" w:hAnsi="宋体"/>
          <w:sz w:val="28"/>
          <w:szCs w:val="28"/>
          <w:highlight w:val="none"/>
        </w:rPr>
        <w:tab/>
      </w:r>
    </w:p>
    <w:p>
      <w:pPr>
        <w:spacing w:line="560" w:lineRule="exact"/>
        <w:ind w:left="902"/>
        <w:contextualSpacing/>
        <w:rPr>
          <w:rFonts w:ascii="宋体" w:hAnsi="宋体"/>
          <w:sz w:val="28"/>
          <w:szCs w:val="28"/>
          <w:highlight w:val="none"/>
        </w:rPr>
      </w:pPr>
      <w:r>
        <w:rPr>
          <w:rFonts w:hint="eastAsia" w:ascii="宋体" w:hAnsi="宋体"/>
          <w:sz w:val="28"/>
          <w:szCs w:val="28"/>
          <w:highlight w:val="none"/>
        </w:rPr>
        <w:t>法定代表人或授权代表人：</w:t>
      </w:r>
    </w:p>
    <w:p>
      <w:pPr>
        <w:spacing w:line="480" w:lineRule="auto"/>
        <w:ind w:firstLine="980" w:firstLineChars="350"/>
        <w:rPr>
          <w:rFonts w:ascii="宋体" w:hAnsi="宋体"/>
          <w:sz w:val="28"/>
          <w:szCs w:val="28"/>
          <w:highlight w:val="none"/>
        </w:rPr>
      </w:pPr>
      <w:r>
        <w:rPr>
          <w:rFonts w:hint="eastAsia" w:ascii="宋体" w:hAnsi="宋体"/>
          <w:sz w:val="28"/>
          <w:szCs w:val="28"/>
          <w:highlight w:val="none"/>
        </w:rPr>
        <w:t>地址：</w:t>
      </w:r>
    </w:p>
    <w:p>
      <w:pPr>
        <w:spacing w:line="480" w:lineRule="auto"/>
        <w:ind w:firstLine="840" w:firstLineChars="300"/>
        <w:rPr>
          <w:rFonts w:ascii="宋体" w:hAnsi="宋体"/>
          <w:sz w:val="28"/>
          <w:szCs w:val="28"/>
          <w:highlight w:val="none"/>
        </w:rPr>
      </w:pPr>
      <w:r>
        <w:rPr>
          <w:rFonts w:ascii="宋体" w:hAnsi="宋体"/>
          <w:sz w:val="28"/>
          <w:szCs w:val="28"/>
          <w:highlight w:val="none"/>
        </w:rPr>
        <w:t xml:space="preserve"> 电话：</w:t>
      </w:r>
    </w:p>
    <w:p>
      <w:pPr>
        <w:spacing w:line="480" w:lineRule="auto"/>
        <w:ind w:firstLine="980" w:firstLineChars="350"/>
        <w:rPr>
          <w:rFonts w:ascii="宋体" w:hAnsi="宋体"/>
          <w:sz w:val="28"/>
          <w:szCs w:val="28"/>
          <w:highlight w:val="none"/>
        </w:rPr>
      </w:pPr>
      <w:r>
        <w:rPr>
          <w:rFonts w:hint="eastAsia" w:ascii="宋体" w:hAnsi="宋体"/>
          <w:sz w:val="28"/>
          <w:szCs w:val="28"/>
          <w:highlight w:val="none"/>
        </w:rPr>
        <w:t>开户行：</w:t>
      </w:r>
    </w:p>
    <w:p>
      <w:pPr>
        <w:spacing w:line="480" w:lineRule="auto"/>
        <w:ind w:firstLine="980" w:firstLineChars="350"/>
        <w:rPr>
          <w:rFonts w:ascii="宋体" w:hAnsi="宋体"/>
          <w:sz w:val="28"/>
          <w:szCs w:val="28"/>
          <w:highlight w:val="none"/>
        </w:rPr>
      </w:pPr>
      <w:r>
        <w:rPr>
          <w:rFonts w:hint="eastAsia" w:ascii="宋体" w:hAnsi="宋体"/>
          <w:sz w:val="28"/>
          <w:szCs w:val="28"/>
          <w:highlight w:val="none"/>
        </w:rPr>
        <w:t>银行帐号：</w:t>
      </w:r>
    </w:p>
    <w:p>
      <w:pPr>
        <w:pStyle w:val="10"/>
        <w:adjustRightInd w:val="0"/>
        <w:snapToGrid w:val="0"/>
        <w:spacing w:before="120" w:after="120" w:line="360" w:lineRule="auto"/>
        <w:ind w:firstLine="767"/>
        <w:rPr>
          <w:rFonts w:cs="仿宋"/>
          <w:sz w:val="24"/>
          <w:highlight w:val="none"/>
        </w:rPr>
      </w:pPr>
      <w:r>
        <w:rPr>
          <w:rFonts w:hint="eastAsia" w:hAnsi="宋体"/>
          <w:sz w:val="28"/>
          <w:szCs w:val="28"/>
          <w:highlight w:val="none"/>
        </w:rPr>
        <w:t>签署日期：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modern"/>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31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32</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800C2"/>
    <w:multiLevelType w:val="multilevel"/>
    <w:tmpl w:val="125800C2"/>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47635A86"/>
    <w:multiLevelType w:val="multilevel"/>
    <w:tmpl w:val="47635A86"/>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2">
    <w:nsid w:val="5CCA7043"/>
    <w:multiLevelType w:val="multilevel"/>
    <w:tmpl w:val="5CCA7043"/>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4AB1E0D"/>
    <w:multiLevelType w:val="multilevel"/>
    <w:tmpl w:val="74AB1E0D"/>
    <w:lvl w:ilvl="0" w:tentative="0">
      <w:start w:val="1"/>
      <w:numFmt w:val="decimal"/>
      <w:lvlText w:val="%1、"/>
      <w:lvlJc w:val="left"/>
      <w:pPr>
        <w:ind w:left="902" w:hanging="363"/>
      </w:pPr>
      <w:rPr>
        <w:rFonts w:hint="default"/>
      </w:rPr>
    </w:lvl>
    <w:lvl w:ilvl="1" w:tentative="0">
      <w:start w:val="1"/>
      <w:numFmt w:val="lowerLetter"/>
      <w:lvlText w:val="%2)"/>
      <w:lvlJc w:val="left"/>
      <w:pPr>
        <w:ind w:left="958" w:hanging="420"/>
      </w:pPr>
    </w:lvl>
    <w:lvl w:ilvl="2" w:tentative="0">
      <w:start w:val="1"/>
      <w:numFmt w:val="lowerRoman"/>
      <w:lvlText w:val="%3."/>
      <w:lvlJc w:val="right"/>
      <w:pPr>
        <w:ind w:left="1378" w:hanging="420"/>
      </w:pPr>
    </w:lvl>
    <w:lvl w:ilvl="3" w:tentative="0">
      <w:start w:val="1"/>
      <w:numFmt w:val="decimal"/>
      <w:lvlText w:val="%4."/>
      <w:lvlJc w:val="left"/>
      <w:pPr>
        <w:ind w:left="1798" w:hanging="420"/>
      </w:pPr>
    </w:lvl>
    <w:lvl w:ilvl="4" w:tentative="0">
      <w:start w:val="1"/>
      <w:numFmt w:val="lowerLetter"/>
      <w:lvlText w:val="%5)"/>
      <w:lvlJc w:val="left"/>
      <w:pPr>
        <w:ind w:left="2218" w:hanging="420"/>
      </w:pPr>
    </w:lvl>
    <w:lvl w:ilvl="5" w:tentative="0">
      <w:start w:val="1"/>
      <w:numFmt w:val="lowerRoman"/>
      <w:lvlText w:val="%6."/>
      <w:lvlJc w:val="right"/>
      <w:pPr>
        <w:ind w:left="2638" w:hanging="420"/>
      </w:pPr>
    </w:lvl>
    <w:lvl w:ilvl="6" w:tentative="0">
      <w:start w:val="1"/>
      <w:numFmt w:val="decimal"/>
      <w:lvlText w:val="%7."/>
      <w:lvlJc w:val="left"/>
      <w:pPr>
        <w:ind w:left="3058" w:hanging="420"/>
      </w:pPr>
    </w:lvl>
    <w:lvl w:ilvl="7" w:tentative="0">
      <w:start w:val="1"/>
      <w:numFmt w:val="lowerLetter"/>
      <w:lvlText w:val="%8)"/>
      <w:lvlJc w:val="left"/>
      <w:pPr>
        <w:ind w:left="3478" w:hanging="420"/>
      </w:pPr>
    </w:lvl>
    <w:lvl w:ilvl="8" w:tentative="0">
      <w:start w:val="1"/>
      <w:numFmt w:val="lowerRoman"/>
      <w:lvlText w:val="%9."/>
      <w:lvlJc w:val="right"/>
      <w:pPr>
        <w:ind w:left="3898"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01076"/>
    <w:rsid w:val="0000144D"/>
    <w:rsid w:val="00002B2D"/>
    <w:rsid w:val="00003305"/>
    <w:rsid w:val="00003606"/>
    <w:rsid w:val="000054CA"/>
    <w:rsid w:val="0000571D"/>
    <w:rsid w:val="00011833"/>
    <w:rsid w:val="00022B05"/>
    <w:rsid w:val="000232DF"/>
    <w:rsid w:val="00023D12"/>
    <w:rsid w:val="00026E76"/>
    <w:rsid w:val="0002772F"/>
    <w:rsid w:val="00030600"/>
    <w:rsid w:val="00030DF4"/>
    <w:rsid w:val="000317FC"/>
    <w:rsid w:val="000319F3"/>
    <w:rsid w:val="000320AF"/>
    <w:rsid w:val="00034A15"/>
    <w:rsid w:val="000430D6"/>
    <w:rsid w:val="00043F02"/>
    <w:rsid w:val="000441D9"/>
    <w:rsid w:val="0004587C"/>
    <w:rsid w:val="00051F2D"/>
    <w:rsid w:val="000527A0"/>
    <w:rsid w:val="000531E7"/>
    <w:rsid w:val="00054A22"/>
    <w:rsid w:val="00054EE4"/>
    <w:rsid w:val="0005500B"/>
    <w:rsid w:val="00055F2F"/>
    <w:rsid w:val="0006055A"/>
    <w:rsid w:val="000633C1"/>
    <w:rsid w:val="00065C53"/>
    <w:rsid w:val="00066441"/>
    <w:rsid w:val="00066583"/>
    <w:rsid w:val="000667C1"/>
    <w:rsid w:val="0007020F"/>
    <w:rsid w:val="00070DC7"/>
    <w:rsid w:val="00070F0A"/>
    <w:rsid w:val="00070F36"/>
    <w:rsid w:val="000716D4"/>
    <w:rsid w:val="000774F2"/>
    <w:rsid w:val="000809B7"/>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0B13"/>
    <w:rsid w:val="000A1315"/>
    <w:rsid w:val="000A31F8"/>
    <w:rsid w:val="000A3663"/>
    <w:rsid w:val="000A387C"/>
    <w:rsid w:val="000A5005"/>
    <w:rsid w:val="000A5191"/>
    <w:rsid w:val="000A57C1"/>
    <w:rsid w:val="000A5F44"/>
    <w:rsid w:val="000A649C"/>
    <w:rsid w:val="000B1E2F"/>
    <w:rsid w:val="000B4953"/>
    <w:rsid w:val="000B5806"/>
    <w:rsid w:val="000B5F77"/>
    <w:rsid w:val="000B6607"/>
    <w:rsid w:val="000C0356"/>
    <w:rsid w:val="000C03E3"/>
    <w:rsid w:val="000C05BE"/>
    <w:rsid w:val="000C35BE"/>
    <w:rsid w:val="000C3667"/>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685B"/>
    <w:rsid w:val="000E794A"/>
    <w:rsid w:val="000E7B1F"/>
    <w:rsid w:val="000E7E73"/>
    <w:rsid w:val="000F0A5B"/>
    <w:rsid w:val="000F1E4F"/>
    <w:rsid w:val="000F2EDC"/>
    <w:rsid w:val="000F33C3"/>
    <w:rsid w:val="000F498F"/>
    <w:rsid w:val="000F5618"/>
    <w:rsid w:val="000F7C08"/>
    <w:rsid w:val="001007BA"/>
    <w:rsid w:val="00100F2E"/>
    <w:rsid w:val="00101774"/>
    <w:rsid w:val="0010216E"/>
    <w:rsid w:val="001025BF"/>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403E"/>
    <w:rsid w:val="00116930"/>
    <w:rsid w:val="00121365"/>
    <w:rsid w:val="001218AC"/>
    <w:rsid w:val="00122E50"/>
    <w:rsid w:val="001238AF"/>
    <w:rsid w:val="001246CA"/>
    <w:rsid w:val="00124A77"/>
    <w:rsid w:val="00124B44"/>
    <w:rsid w:val="00124CA1"/>
    <w:rsid w:val="00125991"/>
    <w:rsid w:val="00125C94"/>
    <w:rsid w:val="00126E86"/>
    <w:rsid w:val="001272EE"/>
    <w:rsid w:val="00127377"/>
    <w:rsid w:val="00127BC3"/>
    <w:rsid w:val="00130B50"/>
    <w:rsid w:val="001320B9"/>
    <w:rsid w:val="00132E84"/>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43DF"/>
    <w:rsid w:val="001559FB"/>
    <w:rsid w:val="00156282"/>
    <w:rsid w:val="0016003D"/>
    <w:rsid w:val="0016077E"/>
    <w:rsid w:val="0016145E"/>
    <w:rsid w:val="0016395E"/>
    <w:rsid w:val="00163CFF"/>
    <w:rsid w:val="0016465F"/>
    <w:rsid w:val="0016658A"/>
    <w:rsid w:val="00166DEB"/>
    <w:rsid w:val="001679D2"/>
    <w:rsid w:val="00167C85"/>
    <w:rsid w:val="00170356"/>
    <w:rsid w:val="00171002"/>
    <w:rsid w:val="00171C84"/>
    <w:rsid w:val="0017451F"/>
    <w:rsid w:val="00175E61"/>
    <w:rsid w:val="00175F6E"/>
    <w:rsid w:val="00176B5A"/>
    <w:rsid w:val="001770B9"/>
    <w:rsid w:val="00177C80"/>
    <w:rsid w:val="0018161B"/>
    <w:rsid w:val="00181FC1"/>
    <w:rsid w:val="00183C53"/>
    <w:rsid w:val="00184165"/>
    <w:rsid w:val="001847AB"/>
    <w:rsid w:val="001863B0"/>
    <w:rsid w:val="0018662D"/>
    <w:rsid w:val="001908D8"/>
    <w:rsid w:val="00191C82"/>
    <w:rsid w:val="00191DB6"/>
    <w:rsid w:val="00191E7A"/>
    <w:rsid w:val="00192469"/>
    <w:rsid w:val="00192A7F"/>
    <w:rsid w:val="0019347E"/>
    <w:rsid w:val="00193B07"/>
    <w:rsid w:val="0019510E"/>
    <w:rsid w:val="00195B68"/>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E699D"/>
    <w:rsid w:val="001F025E"/>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439"/>
    <w:rsid w:val="00217A6D"/>
    <w:rsid w:val="00221DE6"/>
    <w:rsid w:val="002228CD"/>
    <w:rsid w:val="002235F2"/>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B74"/>
    <w:rsid w:val="00243E27"/>
    <w:rsid w:val="0024517A"/>
    <w:rsid w:val="002456C0"/>
    <w:rsid w:val="00246AAA"/>
    <w:rsid w:val="00247603"/>
    <w:rsid w:val="00250805"/>
    <w:rsid w:val="00250B49"/>
    <w:rsid w:val="00250C11"/>
    <w:rsid w:val="00251A77"/>
    <w:rsid w:val="00251F5C"/>
    <w:rsid w:val="0025266B"/>
    <w:rsid w:val="002526D9"/>
    <w:rsid w:val="0025396A"/>
    <w:rsid w:val="002540DE"/>
    <w:rsid w:val="00255B7B"/>
    <w:rsid w:val="00255D10"/>
    <w:rsid w:val="00256A61"/>
    <w:rsid w:val="00257FB1"/>
    <w:rsid w:val="00262153"/>
    <w:rsid w:val="00263046"/>
    <w:rsid w:val="00263444"/>
    <w:rsid w:val="0026451A"/>
    <w:rsid w:val="00264F91"/>
    <w:rsid w:val="00267FD1"/>
    <w:rsid w:val="00270488"/>
    <w:rsid w:val="00271C38"/>
    <w:rsid w:val="00275CC4"/>
    <w:rsid w:val="00281343"/>
    <w:rsid w:val="00281353"/>
    <w:rsid w:val="0028272C"/>
    <w:rsid w:val="002832EA"/>
    <w:rsid w:val="002838CB"/>
    <w:rsid w:val="00283C8F"/>
    <w:rsid w:val="002854D6"/>
    <w:rsid w:val="00285A3E"/>
    <w:rsid w:val="00291A34"/>
    <w:rsid w:val="00291FB1"/>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828"/>
    <w:rsid w:val="002C0D56"/>
    <w:rsid w:val="002C3038"/>
    <w:rsid w:val="002C3D8F"/>
    <w:rsid w:val="002C6A0C"/>
    <w:rsid w:val="002C6B1B"/>
    <w:rsid w:val="002C724E"/>
    <w:rsid w:val="002D0833"/>
    <w:rsid w:val="002D16E8"/>
    <w:rsid w:val="002D247C"/>
    <w:rsid w:val="002D38F8"/>
    <w:rsid w:val="002D608B"/>
    <w:rsid w:val="002E28AA"/>
    <w:rsid w:val="002E569D"/>
    <w:rsid w:val="002E6CB0"/>
    <w:rsid w:val="002E6E80"/>
    <w:rsid w:val="002E70DE"/>
    <w:rsid w:val="002E7C91"/>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D1C"/>
    <w:rsid w:val="00344EF7"/>
    <w:rsid w:val="00345610"/>
    <w:rsid w:val="00345928"/>
    <w:rsid w:val="00347496"/>
    <w:rsid w:val="00347889"/>
    <w:rsid w:val="00347F4C"/>
    <w:rsid w:val="00347F6E"/>
    <w:rsid w:val="00351ABC"/>
    <w:rsid w:val="003523E6"/>
    <w:rsid w:val="00355610"/>
    <w:rsid w:val="00355701"/>
    <w:rsid w:val="003569D7"/>
    <w:rsid w:val="003601DE"/>
    <w:rsid w:val="00361EBD"/>
    <w:rsid w:val="0036296D"/>
    <w:rsid w:val="00362A6A"/>
    <w:rsid w:val="003649D6"/>
    <w:rsid w:val="00364DC0"/>
    <w:rsid w:val="00367F0F"/>
    <w:rsid w:val="00370EF0"/>
    <w:rsid w:val="00371A15"/>
    <w:rsid w:val="00372A01"/>
    <w:rsid w:val="00372D67"/>
    <w:rsid w:val="00373E38"/>
    <w:rsid w:val="003746B8"/>
    <w:rsid w:val="00374A53"/>
    <w:rsid w:val="00376287"/>
    <w:rsid w:val="00376DC1"/>
    <w:rsid w:val="00377164"/>
    <w:rsid w:val="0038270C"/>
    <w:rsid w:val="0038309B"/>
    <w:rsid w:val="00383BCB"/>
    <w:rsid w:val="00384882"/>
    <w:rsid w:val="003849F5"/>
    <w:rsid w:val="00386335"/>
    <w:rsid w:val="00387358"/>
    <w:rsid w:val="00387B63"/>
    <w:rsid w:val="00392441"/>
    <w:rsid w:val="00392E35"/>
    <w:rsid w:val="00392F4B"/>
    <w:rsid w:val="0039371E"/>
    <w:rsid w:val="00395091"/>
    <w:rsid w:val="003970E5"/>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B51B0"/>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412"/>
    <w:rsid w:val="003E148F"/>
    <w:rsid w:val="003E1A52"/>
    <w:rsid w:val="003E2217"/>
    <w:rsid w:val="003E4227"/>
    <w:rsid w:val="003E51F3"/>
    <w:rsid w:val="003E572A"/>
    <w:rsid w:val="003F073B"/>
    <w:rsid w:val="003F1151"/>
    <w:rsid w:val="003F16B6"/>
    <w:rsid w:val="003F1F76"/>
    <w:rsid w:val="003F24C4"/>
    <w:rsid w:val="003F2F23"/>
    <w:rsid w:val="003F370D"/>
    <w:rsid w:val="003F3D76"/>
    <w:rsid w:val="003F413C"/>
    <w:rsid w:val="003F4609"/>
    <w:rsid w:val="003F49E1"/>
    <w:rsid w:val="003F5E6F"/>
    <w:rsid w:val="003F6253"/>
    <w:rsid w:val="003F6DE8"/>
    <w:rsid w:val="003F79B2"/>
    <w:rsid w:val="00401623"/>
    <w:rsid w:val="004017C3"/>
    <w:rsid w:val="00402663"/>
    <w:rsid w:val="0040306E"/>
    <w:rsid w:val="0040333F"/>
    <w:rsid w:val="0040342F"/>
    <w:rsid w:val="00404C4A"/>
    <w:rsid w:val="0040541A"/>
    <w:rsid w:val="004057C2"/>
    <w:rsid w:val="0040609E"/>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1940"/>
    <w:rsid w:val="00452C84"/>
    <w:rsid w:val="00454BFD"/>
    <w:rsid w:val="004551EC"/>
    <w:rsid w:val="004578F1"/>
    <w:rsid w:val="00460A25"/>
    <w:rsid w:val="00461656"/>
    <w:rsid w:val="00462322"/>
    <w:rsid w:val="00462E79"/>
    <w:rsid w:val="00463313"/>
    <w:rsid w:val="00463944"/>
    <w:rsid w:val="00464599"/>
    <w:rsid w:val="00464EB3"/>
    <w:rsid w:val="00465389"/>
    <w:rsid w:val="00466713"/>
    <w:rsid w:val="00467161"/>
    <w:rsid w:val="00467F3A"/>
    <w:rsid w:val="004703D3"/>
    <w:rsid w:val="00472664"/>
    <w:rsid w:val="004734A1"/>
    <w:rsid w:val="00474262"/>
    <w:rsid w:val="00476534"/>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0365"/>
    <w:rsid w:val="004A5555"/>
    <w:rsid w:val="004A5C8B"/>
    <w:rsid w:val="004A7A26"/>
    <w:rsid w:val="004A7B18"/>
    <w:rsid w:val="004A7D2B"/>
    <w:rsid w:val="004A7E23"/>
    <w:rsid w:val="004A7F50"/>
    <w:rsid w:val="004B001D"/>
    <w:rsid w:val="004B15F8"/>
    <w:rsid w:val="004B1B72"/>
    <w:rsid w:val="004B4A76"/>
    <w:rsid w:val="004B67DB"/>
    <w:rsid w:val="004B6A11"/>
    <w:rsid w:val="004B747F"/>
    <w:rsid w:val="004B7B1E"/>
    <w:rsid w:val="004C10BB"/>
    <w:rsid w:val="004C1AC8"/>
    <w:rsid w:val="004C2E0A"/>
    <w:rsid w:val="004C3D0A"/>
    <w:rsid w:val="004C41F7"/>
    <w:rsid w:val="004C5241"/>
    <w:rsid w:val="004D0593"/>
    <w:rsid w:val="004D0748"/>
    <w:rsid w:val="004D0EAC"/>
    <w:rsid w:val="004D1E93"/>
    <w:rsid w:val="004D64A5"/>
    <w:rsid w:val="004D65DA"/>
    <w:rsid w:val="004D6DBF"/>
    <w:rsid w:val="004D7557"/>
    <w:rsid w:val="004D765A"/>
    <w:rsid w:val="004E1C93"/>
    <w:rsid w:val="004E2588"/>
    <w:rsid w:val="004E2DD9"/>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07CB"/>
    <w:rsid w:val="0051169E"/>
    <w:rsid w:val="005119C9"/>
    <w:rsid w:val="00511A0E"/>
    <w:rsid w:val="005143CD"/>
    <w:rsid w:val="00514476"/>
    <w:rsid w:val="0051635A"/>
    <w:rsid w:val="00517953"/>
    <w:rsid w:val="00520E29"/>
    <w:rsid w:val="00520E6D"/>
    <w:rsid w:val="005224EE"/>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3E5"/>
    <w:rsid w:val="00565862"/>
    <w:rsid w:val="00566142"/>
    <w:rsid w:val="005662B0"/>
    <w:rsid w:val="00566710"/>
    <w:rsid w:val="00570FED"/>
    <w:rsid w:val="00571649"/>
    <w:rsid w:val="00572CF3"/>
    <w:rsid w:val="00576728"/>
    <w:rsid w:val="00581C3E"/>
    <w:rsid w:val="00584C3B"/>
    <w:rsid w:val="00585BC1"/>
    <w:rsid w:val="00585C5F"/>
    <w:rsid w:val="00587E68"/>
    <w:rsid w:val="00592237"/>
    <w:rsid w:val="0059325E"/>
    <w:rsid w:val="005947A6"/>
    <w:rsid w:val="00594E1C"/>
    <w:rsid w:val="005951EF"/>
    <w:rsid w:val="00595AEA"/>
    <w:rsid w:val="0059609E"/>
    <w:rsid w:val="00596240"/>
    <w:rsid w:val="00596360"/>
    <w:rsid w:val="00596D34"/>
    <w:rsid w:val="005A2886"/>
    <w:rsid w:val="005A5A31"/>
    <w:rsid w:val="005A6067"/>
    <w:rsid w:val="005A7D4D"/>
    <w:rsid w:val="005B023B"/>
    <w:rsid w:val="005B16AB"/>
    <w:rsid w:val="005B1DD8"/>
    <w:rsid w:val="005B2D13"/>
    <w:rsid w:val="005B3222"/>
    <w:rsid w:val="005B379E"/>
    <w:rsid w:val="005B4619"/>
    <w:rsid w:val="005B4BE2"/>
    <w:rsid w:val="005B4CA2"/>
    <w:rsid w:val="005B4E50"/>
    <w:rsid w:val="005C241F"/>
    <w:rsid w:val="005C3B35"/>
    <w:rsid w:val="005C5511"/>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1826"/>
    <w:rsid w:val="005E4524"/>
    <w:rsid w:val="005E576B"/>
    <w:rsid w:val="005E5CD4"/>
    <w:rsid w:val="005E7AEF"/>
    <w:rsid w:val="005F0057"/>
    <w:rsid w:val="005F31EF"/>
    <w:rsid w:val="005F32F2"/>
    <w:rsid w:val="005F3300"/>
    <w:rsid w:val="005F3568"/>
    <w:rsid w:val="005F392C"/>
    <w:rsid w:val="005F486E"/>
    <w:rsid w:val="005F48D7"/>
    <w:rsid w:val="005F5A2C"/>
    <w:rsid w:val="005F624D"/>
    <w:rsid w:val="005F6275"/>
    <w:rsid w:val="005F75FC"/>
    <w:rsid w:val="005F7AF3"/>
    <w:rsid w:val="00600132"/>
    <w:rsid w:val="006006F8"/>
    <w:rsid w:val="00603569"/>
    <w:rsid w:val="006040E9"/>
    <w:rsid w:val="00605165"/>
    <w:rsid w:val="00607DCF"/>
    <w:rsid w:val="00610391"/>
    <w:rsid w:val="006105EE"/>
    <w:rsid w:val="00610DA9"/>
    <w:rsid w:val="00612D7C"/>
    <w:rsid w:val="00613CC6"/>
    <w:rsid w:val="00613E75"/>
    <w:rsid w:val="006164F1"/>
    <w:rsid w:val="00616D46"/>
    <w:rsid w:val="00616E0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009"/>
    <w:rsid w:val="00641CAF"/>
    <w:rsid w:val="00646947"/>
    <w:rsid w:val="00650D24"/>
    <w:rsid w:val="006519C1"/>
    <w:rsid w:val="0065591F"/>
    <w:rsid w:val="0065630D"/>
    <w:rsid w:val="0066030C"/>
    <w:rsid w:val="0066287E"/>
    <w:rsid w:val="00662ACF"/>
    <w:rsid w:val="006634D8"/>
    <w:rsid w:val="00665444"/>
    <w:rsid w:val="0066636F"/>
    <w:rsid w:val="00666762"/>
    <w:rsid w:val="00667840"/>
    <w:rsid w:val="00667B8B"/>
    <w:rsid w:val="00670194"/>
    <w:rsid w:val="00670DA9"/>
    <w:rsid w:val="006712CE"/>
    <w:rsid w:val="006721F1"/>
    <w:rsid w:val="00672B76"/>
    <w:rsid w:val="00674154"/>
    <w:rsid w:val="006744F7"/>
    <w:rsid w:val="0067581D"/>
    <w:rsid w:val="006762FE"/>
    <w:rsid w:val="00681529"/>
    <w:rsid w:val="006817D5"/>
    <w:rsid w:val="006818DB"/>
    <w:rsid w:val="0068228D"/>
    <w:rsid w:val="006831B6"/>
    <w:rsid w:val="00683CA6"/>
    <w:rsid w:val="00683F59"/>
    <w:rsid w:val="00684A9B"/>
    <w:rsid w:val="00690864"/>
    <w:rsid w:val="00690B98"/>
    <w:rsid w:val="00691A38"/>
    <w:rsid w:val="00692825"/>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298A"/>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9CD"/>
    <w:rsid w:val="00700E1F"/>
    <w:rsid w:val="00705D43"/>
    <w:rsid w:val="0070628E"/>
    <w:rsid w:val="00707A12"/>
    <w:rsid w:val="0071054C"/>
    <w:rsid w:val="00711080"/>
    <w:rsid w:val="0071116F"/>
    <w:rsid w:val="00711489"/>
    <w:rsid w:val="00711E10"/>
    <w:rsid w:val="00712BFA"/>
    <w:rsid w:val="00712F7B"/>
    <w:rsid w:val="00713140"/>
    <w:rsid w:val="00713815"/>
    <w:rsid w:val="00713DFB"/>
    <w:rsid w:val="007148FB"/>
    <w:rsid w:val="00714916"/>
    <w:rsid w:val="00714D2D"/>
    <w:rsid w:val="00715EC6"/>
    <w:rsid w:val="00717CEF"/>
    <w:rsid w:val="00717D84"/>
    <w:rsid w:val="0072021A"/>
    <w:rsid w:val="0072195A"/>
    <w:rsid w:val="00722284"/>
    <w:rsid w:val="0072296C"/>
    <w:rsid w:val="007229A6"/>
    <w:rsid w:val="00722E81"/>
    <w:rsid w:val="00723FB7"/>
    <w:rsid w:val="00727F17"/>
    <w:rsid w:val="00730ACA"/>
    <w:rsid w:val="00730C03"/>
    <w:rsid w:val="007315A9"/>
    <w:rsid w:val="00732152"/>
    <w:rsid w:val="00732DEE"/>
    <w:rsid w:val="00733E6E"/>
    <w:rsid w:val="007344A9"/>
    <w:rsid w:val="00734575"/>
    <w:rsid w:val="00735CFC"/>
    <w:rsid w:val="00735D71"/>
    <w:rsid w:val="00736148"/>
    <w:rsid w:val="0073644C"/>
    <w:rsid w:val="00736A76"/>
    <w:rsid w:val="00736B32"/>
    <w:rsid w:val="007401E7"/>
    <w:rsid w:val="00743156"/>
    <w:rsid w:val="007449D5"/>
    <w:rsid w:val="00745E15"/>
    <w:rsid w:val="007475EE"/>
    <w:rsid w:val="007478D2"/>
    <w:rsid w:val="00747B63"/>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6470"/>
    <w:rsid w:val="00777B4C"/>
    <w:rsid w:val="007813FC"/>
    <w:rsid w:val="00781923"/>
    <w:rsid w:val="00784009"/>
    <w:rsid w:val="00784CB0"/>
    <w:rsid w:val="0078524F"/>
    <w:rsid w:val="00785558"/>
    <w:rsid w:val="007868B0"/>
    <w:rsid w:val="00786F12"/>
    <w:rsid w:val="0078751B"/>
    <w:rsid w:val="007902F5"/>
    <w:rsid w:val="00790968"/>
    <w:rsid w:val="00790CF3"/>
    <w:rsid w:val="00791E0F"/>
    <w:rsid w:val="00793ECD"/>
    <w:rsid w:val="0079464C"/>
    <w:rsid w:val="00794717"/>
    <w:rsid w:val="00795A02"/>
    <w:rsid w:val="0079648C"/>
    <w:rsid w:val="00797105"/>
    <w:rsid w:val="007978CE"/>
    <w:rsid w:val="00797D07"/>
    <w:rsid w:val="007A0729"/>
    <w:rsid w:val="007A0758"/>
    <w:rsid w:val="007A3193"/>
    <w:rsid w:val="007A3C25"/>
    <w:rsid w:val="007A4717"/>
    <w:rsid w:val="007A5A52"/>
    <w:rsid w:val="007A7508"/>
    <w:rsid w:val="007C1C1A"/>
    <w:rsid w:val="007C1EAE"/>
    <w:rsid w:val="007C2E80"/>
    <w:rsid w:val="007C3DF3"/>
    <w:rsid w:val="007C47D1"/>
    <w:rsid w:val="007C5873"/>
    <w:rsid w:val="007C5CBD"/>
    <w:rsid w:val="007C6045"/>
    <w:rsid w:val="007C671F"/>
    <w:rsid w:val="007C6FAB"/>
    <w:rsid w:val="007C7398"/>
    <w:rsid w:val="007D0A59"/>
    <w:rsid w:val="007D0D89"/>
    <w:rsid w:val="007D2503"/>
    <w:rsid w:val="007D2E28"/>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12CF"/>
    <w:rsid w:val="00812C24"/>
    <w:rsid w:val="00813477"/>
    <w:rsid w:val="00814876"/>
    <w:rsid w:val="00814B12"/>
    <w:rsid w:val="00814FD0"/>
    <w:rsid w:val="008152E2"/>
    <w:rsid w:val="008169FD"/>
    <w:rsid w:val="008204E5"/>
    <w:rsid w:val="00821CB7"/>
    <w:rsid w:val="00821FFD"/>
    <w:rsid w:val="008220BA"/>
    <w:rsid w:val="0082252B"/>
    <w:rsid w:val="008236DB"/>
    <w:rsid w:val="00823E33"/>
    <w:rsid w:val="008248B3"/>
    <w:rsid w:val="00827A4C"/>
    <w:rsid w:val="00830E6E"/>
    <w:rsid w:val="0083138A"/>
    <w:rsid w:val="00833FFC"/>
    <w:rsid w:val="00834277"/>
    <w:rsid w:val="008346FE"/>
    <w:rsid w:val="008369DB"/>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3422"/>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194"/>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256D"/>
    <w:rsid w:val="008A321F"/>
    <w:rsid w:val="008A39DF"/>
    <w:rsid w:val="008A41EB"/>
    <w:rsid w:val="008A6840"/>
    <w:rsid w:val="008B0B83"/>
    <w:rsid w:val="008B2EA8"/>
    <w:rsid w:val="008B3077"/>
    <w:rsid w:val="008B3765"/>
    <w:rsid w:val="008B50C7"/>
    <w:rsid w:val="008B62E2"/>
    <w:rsid w:val="008B79A2"/>
    <w:rsid w:val="008C0020"/>
    <w:rsid w:val="008C10D8"/>
    <w:rsid w:val="008C144B"/>
    <w:rsid w:val="008C4388"/>
    <w:rsid w:val="008C4B4E"/>
    <w:rsid w:val="008C4EC6"/>
    <w:rsid w:val="008C5BDB"/>
    <w:rsid w:val="008C5BDF"/>
    <w:rsid w:val="008C6088"/>
    <w:rsid w:val="008C62D5"/>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8F78CC"/>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291C"/>
    <w:rsid w:val="00934021"/>
    <w:rsid w:val="00934830"/>
    <w:rsid w:val="00935252"/>
    <w:rsid w:val="00935CDC"/>
    <w:rsid w:val="00936E3B"/>
    <w:rsid w:val="0093715C"/>
    <w:rsid w:val="00942FE6"/>
    <w:rsid w:val="00943762"/>
    <w:rsid w:val="00943D55"/>
    <w:rsid w:val="009441C5"/>
    <w:rsid w:val="00944B21"/>
    <w:rsid w:val="00944F62"/>
    <w:rsid w:val="00945FA3"/>
    <w:rsid w:val="009473A2"/>
    <w:rsid w:val="009473FE"/>
    <w:rsid w:val="00951C1B"/>
    <w:rsid w:val="0095244B"/>
    <w:rsid w:val="00952BB4"/>
    <w:rsid w:val="00952BCA"/>
    <w:rsid w:val="0095445C"/>
    <w:rsid w:val="00954550"/>
    <w:rsid w:val="009546AE"/>
    <w:rsid w:val="00956513"/>
    <w:rsid w:val="00956EF4"/>
    <w:rsid w:val="009573D2"/>
    <w:rsid w:val="00957B12"/>
    <w:rsid w:val="00960E03"/>
    <w:rsid w:val="00963E09"/>
    <w:rsid w:val="00966797"/>
    <w:rsid w:val="0096791C"/>
    <w:rsid w:val="00967F78"/>
    <w:rsid w:val="00970C17"/>
    <w:rsid w:val="00971732"/>
    <w:rsid w:val="00972A26"/>
    <w:rsid w:val="00973C55"/>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97BE4"/>
    <w:rsid w:val="009A0CB9"/>
    <w:rsid w:val="009A3CED"/>
    <w:rsid w:val="009A4472"/>
    <w:rsid w:val="009A50F2"/>
    <w:rsid w:val="009A5C09"/>
    <w:rsid w:val="009A723F"/>
    <w:rsid w:val="009B0CB8"/>
    <w:rsid w:val="009B2876"/>
    <w:rsid w:val="009B3202"/>
    <w:rsid w:val="009B4732"/>
    <w:rsid w:val="009B5355"/>
    <w:rsid w:val="009B5A13"/>
    <w:rsid w:val="009B5D2C"/>
    <w:rsid w:val="009B5E85"/>
    <w:rsid w:val="009B7C1E"/>
    <w:rsid w:val="009B7FB8"/>
    <w:rsid w:val="009C018C"/>
    <w:rsid w:val="009C2509"/>
    <w:rsid w:val="009C4FC6"/>
    <w:rsid w:val="009C6CAB"/>
    <w:rsid w:val="009D0054"/>
    <w:rsid w:val="009D0A67"/>
    <w:rsid w:val="009D0BDD"/>
    <w:rsid w:val="009D0FFD"/>
    <w:rsid w:val="009D1B85"/>
    <w:rsid w:val="009D30D9"/>
    <w:rsid w:val="009D34F1"/>
    <w:rsid w:val="009D4CB2"/>
    <w:rsid w:val="009D4DA2"/>
    <w:rsid w:val="009D6922"/>
    <w:rsid w:val="009D79A8"/>
    <w:rsid w:val="009E1A9A"/>
    <w:rsid w:val="009E375D"/>
    <w:rsid w:val="009E45D0"/>
    <w:rsid w:val="009E6F30"/>
    <w:rsid w:val="009E74CE"/>
    <w:rsid w:val="009F25A3"/>
    <w:rsid w:val="009F2F54"/>
    <w:rsid w:val="009F3D7E"/>
    <w:rsid w:val="009F3F56"/>
    <w:rsid w:val="009F5F09"/>
    <w:rsid w:val="009F612D"/>
    <w:rsid w:val="009F68F9"/>
    <w:rsid w:val="009F6D13"/>
    <w:rsid w:val="00A01352"/>
    <w:rsid w:val="00A01DFD"/>
    <w:rsid w:val="00A04DA3"/>
    <w:rsid w:val="00A05C2D"/>
    <w:rsid w:val="00A06278"/>
    <w:rsid w:val="00A06EF1"/>
    <w:rsid w:val="00A0716D"/>
    <w:rsid w:val="00A07274"/>
    <w:rsid w:val="00A0733D"/>
    <w:rsid w:val="00A10A7C"/>
    <w:rsid w:val="00A13AEC"/>
    <w:rsid w:val="00A141B5"/>
    <w:rsid w:val="00A14EA1"/>
    <w:rsid w:val="00A17335"/>
    <w:rsid w:val="00A2064C"/>
    <w:rsid w:val="00A233D2"/>
    <w:rsid w:val="00A23AE3"/>
    <w:rsid w:val="00A240CA"/>
    <w:rsid w:val="00A24485"/>
    <w:rsid w:val="00A2538D"/>
    <w:rsid w:val="00A257F7"/>
    <w:rsid w:val="00A25D42"/>
    <w:rsid w:val="00A2623E"/>
    <w:rsid w:val="00A27277"/>
    <w:rsid w:val="00A27722"/>
    <w:rsid w:val="00A27932"/>
    <w:rsid w:val="00A27FB2"/>
    <w:rsid w:val="00A306BF"/>
    <w:rsid w:val="00A309D6"/>
    <w:rsid w:val="00A31753"/>
    <w:rsid w:val="00A31C4C"/>
    <w:rsid w:val="00A32C78"/>
    <w:rsid w:val="00A332A0"/>
    <w:rsid w:val="00A33CC4"/>
    <w:rsid w:val="00A346EC"/>
    <w:rsid w:val="00A346FD"/>
    <w:rsid w:val="00A3529C"/>
    <w:rsid w:val="00A357F7"/>
    <w:rsid w:val="00A35A4E"/>
    <w:rsid w:val="00A3632A"/>
    <w:rsid w:val="00A364B9"/>
    <w:rsid w:val="00A36D07"/>
    <w:rsid w:val="00A36D9A"/>
    <w:rsid w:val="00A376AA"/>
    <w:rsid w:val="00A40A2B"/>
    <w:rsid w:val="00A42BC4"/>
    <w:rsid w:val="00A4334E"/>
    <w:rsid w:val="00A43640"/>
    <w:rsid w:val="00A43F31"/>
    <w:rsid w:val="00A441CE"/>
    <w:rsid w:val="00A44750"/>
    <w:rsid w:val="00A4494A"/>
    <w:rsid w:val="00A4535D"/>
    <w:rsid w:val="00A46220"/>
    <w:rsid w:val="00A46DA5"/>
    <w:rsid w:val="00A47583"/>
    <w:rsid w:val="00A512D9"/>
    <w:rsid w:val="00A513FD"/>
    <w:rsid w:val="00A51D42"/>
    <w:rsid w:val="00A53695"/>
    <w:rsid w:val="00A54A51"/>
    <w:rsid w:val="00A54C2B"/>
    <w:rsid w:val="00A55E7A"/>
    <w:rsid w:val="00A560A6"/>
    <w:rsid w:val="00A56335"/>
    <w:rsid w:val="00A56B4D"/>
    <w:rsid w:val="00A6110E"/>
    <w:rsid w:val="00A61E93"/>
    <w:rsid w:val="00A6304F"/>
    <w:rsid w:val="00A645CE"/>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486"/>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CCA"/>
    <w:rsid w:val="00AB5DE7"/>
    <w:rsid w:val="00AB6D04"/>
    <w:rsid w:val="00AB6D78"/>
    <w:rsid w:val="00AB72A6"/>
    <w:rsid w:val="00AB7DAA"/>
    <w:rsid w:val="00AC0403"/>
    <w:rsid w:val="00AC0EE2"/>
    <w:rsid w:val="00AC1D1B"/>
    <w:rsid w:val="00AC2218"/>
    <w:rsid w:val="00AC6326"/>
    <w:rsid w:val="00AC64D5"/>
    <w:rsid w:val="00AC67C7"/>
    <w:rsid w:val="00AD029D"/>
    <w:rsid w:val="00AD3AEE"/>
    <w:rsid w:val="00AD44F9"/>
    <w:rsid w:val="00AD724A"/>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55AF"/>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31F5"/>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342F"/>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677A7"/>
    <w:rsid w:val="00B70712"/>
    <w:rsid w:val="00B70BB7"/>
    <w:rsid w:val="00B70C48"/>
    <w:rsid w:val="00B717EC"/>
    <w:rsid w:val="00B72DB8"/>
    <w:rsid w:val="00B744CF"/>
    <w:rsid w:val="00B75363"/>
    <w:rsid w:val="00B766EE"/>
    <w:rsid w:val="00B8029F"/>
    <w:rsid w:val="00B81C16"/>
    <w:rsid w:val="00B8226C"/>
    <w:rsid w:val="00B851ED"/>
    <w:rsid w:val="00B856E6"/>
    <w:rsid w:val="00B86940"/>
    <w:rsid w:val="00B86DF8"/>
    <w:rsid w:val="00B8706D"/>
    <w:rsid w:val="00B878E4"/>
    <w:rsid w:val="00B90160"/>
    <w:rsid w:val="00B9134A"/>
    <w:rsid w:val="00B91CDD"/>
    <w:rsid w:val="00B92B28"/>
    <w:rsid w:val="00B930A6"/>
    <w:rsid w:val="00B9518C"/>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44F5"/>
    <w:rsid w:val="00C16B79"/>
    <w:rsid w:val="00C17D57"/>
    <w:rsid w:val="00C214AD"/>
    <w:rsid w:val="00C21BD8"/>
    <w:rsid w:val="00C22E48"/>
    <w:rsid w:val="00C24629"/>
    <w:rsid w:val="00C2685C"/>
    <w:rsid w:val="00C31819"/>
    <w:rsid w:val="00C31A61"/>
    <w:rsid w:val="00C32017"/>
    <w:rsid w:val="00C331F4"/>
    <w:rsid w:val="00C33BE7"/>
    <w:rsid w:val="00C34839"/>
    <w:rsid w:val="00C35694"/>
    <w:rsid w:val="00C36A7D"/>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06D"/>
    <w:rsid w:val="00C7077B"/>
    <w:rsid w:val="00C729CD"/>
    <w:rsid w:val="00C73CBE"/>
    <w:rsid w:val="00C7631A"/>
    <w:rsid w:val="00C77FDD"/>
    <w:rsid w:val="00C8197D"/>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1783"/>
    <w:rsid w:val="00CA2A36"/>
    <w:rsid w:val="00CA3091"/>
    <w:rsid w:val="00CA526E"/>
    <w:rsid w:val="00CA5861"/>
    <w:rsid w:val="00CA63AF"/>
    <w:rsid w:val="00CA6EA9"/>
    <w:rsid w:val="00CA7DF1"/>
    <w:rsid w:val="00CB063E"/>
    <w:rsid w:val="00CB30D7"/>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E7BA1"/>
    <w:rsid w:val="00CF109F"/>
    <w:rsid w:val="00CF1C41"/>
    <w:rsid w:val="00CF447A"/>
    <w:rsid w:val="00CF4BE7"/>
    <w:rsid w:val="00CF4F00"/>
    <w:rsid w:val="00CF5A1E"/>
    <w:rsid w:val="00CF6285"/>
    <w:rsid w:val="00D018C9"/>
    <w:rsid w:val="00D01F8B"/>
    <w:rsid w:val="00D0286D"/>
    <w:rsid w:val="00D0390E"/>
    <w:rsid w:val="00D04985"/>
    <w:rsid w:val="00D049D3"/>
    <w:rsid w:val="00D04B89"/>
    <w:rsid w:val="00D04E98"/>
    <w:rsid w:val="00D05476"/>
    <w:rsid w:val="00D06517"/>
    <w:rsid w:val="00D06789"/>
    <w:rsid w:val="00D06A73"/>
    <w:rsid w:val="00D07EA6"/>
    <w:rsid w:val="00D118B2"/>
    <w:rsid w:val="00D11C4A"/>
    <w:rsid w:val="00D13768"/>
    <w:rsid w:val="00D14795"/>
    <w:rsid w:val="00D154A4"/>
    <w:rsid w:val="00D16B57"/>
    <w:rsid w:val="00D21726"/>
    <w:rsid w:val="00D21DC1"/>
    <w:rsid w:val="00D22A42"/>
    <w:rsid w:val="00D22D88"/>
    <w:rsid w:val="00D243D3"/>
    <w:rsid w:val="00D26C2F"/>
    <w:rsid w:val="00D336D3"/>
    <w:rsid w:val="00D34FD3"/>
    <w:rsid w:val="00D35E01"/>
    <w:rsid w:val="00D36556"/>
    <w:rsid w:val="00D377DE"/>
    <w:rsid w:val="00D37C82"/>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3F94"/>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2DDA"/>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5F9D"/>
    <w:rsid w:val="00DD6B1F"/>
    <w:rsid w:val="00DD759C"/>
    <w:rsid w:val="00DD799E"/>
    <w:rsid w:val="00DE0AE4"/>
    <w:rsid w:val="00DE0BB8"/>
    <w:rsid w:val="00DE3399"/>
    <w:rsid w:val="00DE41DB"/>
    <w:rsid w:val="00DF27E2"/>
    <w:rsid w:val="00DF2896"/>
    <w:rsid w:val="00DF2A4F"/>
    <w:rsid w:val="00DF507B"/>
    <w:rsid w:val="00DF637A"/>
    <w:rsid w:val="00DF74C6"/>
    <w:rsid w:val="00DF798A"/>
    <w:rsid w:val="00DF7ED5"/>
    <w:rsid w:val="00E00B59"/>
    <w:rsid w:val="00E01E62"/>
    <w:rsid w:val="00E029A1"/>
    <w:rsid w:val="00E02D97"/>
    <w:rsid w:val="00E0362D"/>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1788"/>
    <w:rsid w:val="00E22DAB"/>
    <w:rsid w:val="00E2565F"/>
    <w:rsid w:val="00E25FE0"/>
    <w:rsid w:val="00E305D4"/>
    <w:rsid w:val="00E31B1C"/>
    <w:rsid w:val="00E33C22"/>
    <w:rsid w:val="00E33D18"/>
    <w:rsid w:val="00E348F2"/>
    <w:rsid w:val="00E34A48"/>
    <w:rsid w:val="00E3574E"/>
    <w:rsid w:val="00E363D5"/>
    <w:rsid w:val="00E36527"/>
    <w:rsid w:val="00E36957"/>
    <w:rsid w:val="00E373F8"/>
    <w:rsid w:val="00E37982"/>
    <w:rsid w:val="00E379D9"/>
    <w:rsid w:val="00E410D2"/>
    <w:rsid w:val="00E41376"/>
    <w:rsid w:val="00E42FC6"/>
    <w:rsid w:val="00E43F1F"/>
    <w:rsid w:val="00E4494C"/>
    <w:rsid w:val="00E45B25"/>
    <w:rsid w:val="00E46290"/>
    <w:rsid w:val="00E502BA"/>
    <w:rsid w:val="00E520E3"/>
    <w:rsid w:val="00E5360E"/>
    <w:rsid w:val="00E617B0"/>
    <w:rsid w:val="00E6205C"/>
    <w:rsid w:val="00E6252B"/>
    <w:rsid w:val="00E64653"/>
    <w:rsid w:val="00E65BBF"/>
    <w:rsid w:val="00E65EDF"/>
    <w:rsid w:val="00E66246"/>
    <w:rsid w:val="00E66729"/>
    <w:rsid w:val="00E66765"/>
    <w:rsid w:val="00E67A36"/>
    <w:rsid w:val="00E71A92"/>
    <w:rsid w:val="00E71C71"/>
    <w:rsid w:val="00E71CC7"/>
    <w:rsid w:val="00E7204A"/>
    <w:rsid w:val="00E73BFC"/>
    <w:rsid w:val="00E746D4"/>
    <w:rsid w:val="00E749A3"/>
    <w:rsid w:val="00E749A5"/>
    <w:rsid w:val="00E74D1E"/>
    <w:rsid w:val="00E75779"/>
    <w:rsid w:val="00E7641F"/>
    <w:rsid w:val="00E77891"/>
    <w:rsid w:val="00E811D2"/>
    <w:rsid w:val="00E82044"/>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B6B"/>
    <w:rsid w:val="00EB0E3E"/>
    <w:rsid w:val="00EB1064"/>
    <w:rsid w:val="00EB12A4"/>
    <w:rsid w:val="00EB16BB"/>
    <w:rsid w:val="00EB1980"/>
    <w:rsid w:val="00EB1CEC"/>
    <w:rsid w:val="00EB2A53"/>
    <w:rsid w:val="00EB3AD6"/>
    <w:rsid w:val="00EB51AA"/>
    <w:rsid w:val="00EB6291"/>
    <w:rsid w:val="00EB6AA4"/>
    <w:rsid w:val="00EB6E67"/>
    <w:rsid w:val="00EB7344"/>
    <w:rsid w:val="00EB7898"/>
    <w:rsid w:val="00EB795C"/>
    <w:rsid w:val="00EC402D"/>
    <w:rsid w:val="00EC4EF1"/>
    <w:rsid w:val="00EC6BAE"/>
    <w:rsid w:val="00ED041C"/>
    <w:rsid w:val="00ED0447"/>
    <w:rsid w:val="00ED0CD0"/>
    <w:rsid w:val="00ED287D"/>
    <w:rsid w:val="00ED3295"/>
    <w:rsid w:val="00ED4E5C"/>
    <w:rsid w:val="00ED7113"/>
    <w:rsid w:val="00ED7B5A"/>
    <w:rsid w:val="00EE1004"/>
    <w:rsid w:val="00EE2E38"/>
    <w:rsid w:val="00EE45E5"/>
    <w:rsid w:val="00EE4733"/>
    <w:rsid w:val="00EE4C5E"/>
    <w:rsid w:val="00EE547A"/>
    <w:rsid w:val="00EE582B"/>
    <w:rsid w:val="00EE7894"/>
    <w:rsid w:val="00EF0969"/>
    <w:rsid w:val="00EF11E0"/>
    <w:rsid w:val="00EF22DD"/>
    <w:rsid w:val="00EF4143"/>
    <w:rsid w:val="00EF62FC"/>
    <w:rsid w:val="00EF7252"/>
    <w:rsid w:val="00F00EF4"/>
    <w:rsid w:val="00F021F4"/>
    <w:rsid w:val="00F02833"/>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0758"/>
    <w:rsid w:val="00F23210"/>
    <w:rsid w:val="00F232A6"/>
    <w:rsid w:val="00F23F40"/>
    <w:rsid w:val="00F25119"/>
    <w:rsid w:val="00F251AF"/>
    <w:rsid w:val="00F25526"/>
    <w:rsid w:val="00F26B20"/>
    <w:rsid w:val="00F270E6"/>
    <w:rsid w:val="00F30DB5"/>
    <w:rsid w:val="00F32107"/>
    <w:rsid w:val="00F3271C"/>
    <w:rsid w:val="00F32826"/>
    <w:rsid w:val="00F337DD"/>
    <w:rsid w:val="00F33E31"/>
    <w:rsid w:val="00F35069"/>
    <w:rsid w:val="00F40BF9"/>
    <w:rsid w:val="00F415FB"/>
    <w:rsid w:val="00F43740"/>
    <w:rsid w:val="00F43D0D"/>
    <w:rsid w:val="00F43EAE"/>
    <w:rsid w:val="00F45AC0"/>
    <w:rsid w:val="00F467BE"/>
    <w:rsid w:val="00F4702D"/>
    <w:rsid w:val="00F476C6"/>
    <w:rsid w:val="00F47BFB"/>
    <w:rsid w:val="00F501FE"/>
    <w:rsid w:val="00F50E8F"/>
    <w:rsid w:val="00F53BE1"/>
    <w:rsid w:val="00F56293"/>
    <w:rsid w:val="00F568BE"/>
    <w:rsid w:val="00F57EC5"/>
    <w:rsid w:val="00F60FAB"/>
    <w:rsid w:val="00F611D4"/>
    <w:rsid w:val="00F61782"/>
    <w:rsid w:val="00F63F55"/>
    <w:rsid w:val="00F6535B"/>
    <w:rsid w:val="00F66253"/>
    <w:rsid w:val="00F66669"/>
    <w:rsid w:val="00F70717"/>
    <w:rsid w:val="00F71552"/>
    <w:rsid w:val="00F7340B"/>
    <w:rsid w:val="00F745D4"/>
    <w:rsid w:val="00F74814"/>
    <w:rsid w:val="00F74AFD"/>
    <w:rsid w:val="00F76B94"/>
    <w:rsid w:val="00F80C33"/>
    <w:rsid w:val="00F81889"/>
    <w:rsid w:val="00F81941"/>
    <w:rsid w:val="00F8226F"/>
    <w:rsid w:val="00F855DC"/>
    <w:rsid w:val="00F905AB"/>
    <w:rsid w:val="00F9407C"/>
    <w:rsid w:val="00F954A3"/>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3AA8"/>
    <w:rsid w:val="00FC4F3C"/>
    <w:rsid w:val="00FC558C"/>
    <w:rsid w:val="00FC5BEC"/>
    <w:rsid w:val="00FC624B"/>
    <w:rsid w:val="00FC62E1"/>
    <w:rsid w:val="00FC6C4A"/>
    <w:rsid w:val="00FC7952"/>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E63300"/>
    <w:rsid w:val="03791753"/>
    <w:rsid w:val="05B517B2"/>
    <w:rsid w:val="065D0272"/>
    <w:rsid w:val="0666393D"/>
    <w:rsid w:val="078D73D6"/>
    <w:rsid w:val="07D33D16"/>
    <w:rsid w:val="09637941"/>
    <w:rsid w:val="0ABD080F"/>
    <w:rsid w:val="0B675B31"/>
    <w:rsid w:val="0BDF51D7"/>
    <w:rsid w:val="0C3615C8"/>
    <w:rsid w:val="0C4861BD"/>
    <w:rsid w:val="0C7E7AA1"/>
    <w:rsid w:val="0CB47CA0"/>
    <w:rsid w:val="0CFE3A2E"/>
    <w:rsid w:val="0D873213"/>
    <w:rsid w:val="0D9425DE"/>
    <w:rsid w:val="0D99361C"/>
    <w:rsid w:val="0F533C3C"/>
    <w:rsid w:val="0FD2175C"/>
    <w:rsid w:val="107D340A"/>
    <w:rsid w:val="10EB4170"/>
    <w:rsid w:val="10F05838"/>
    <w:rsid w:val="10FA0304"/>
    <w:rsid w:val="113C24CA"/>
    <w:rsid w:val="119D0D41"/>
    <w:rsid w:val="11D57EAE"/>
    <w:rsid w:val="12050067"/>
    <w:rsid w:val="12162C3B"/>
    <w:rsid w:val="124A70DD"/>
    <w:rsid w:val="130F1D58"/>
    <w:rsid w:val="146723C1"/>
    <w:rsid w:val="14896182"/>
    <w:rsid w:val="155010AB"/>
    <w:rsid w:val="15572C10"/>
    <w:rsid w:val="15737A45"/>
    <w:rsid w:val="1584594C"/>
    <w:rsid w:val="15907301"/>
    <w:rsid w:val="15A069B5"/>
    <w:rsid w:val="15A90346"/>
    <w:rsid w:val="15B24E31"/>
    <w:rsid w:val="16AA09BD"/>
    <w:rsid w:val="17316E86"/>
    <w:rsid w:val="17652C65"/>
    <w:rsid w:val="17833DE3"/>
    <w:rsid w:val="195E16BF"/>
    <w:rsid w:val="19775424"/>
    <w:rsid w:val="1A241EC0"/>
    <w:rsid w:val="1A4A161C"/>
    <w:rsid w:val="1A6702D4"/>
    <w:rsid w:val="1ACB6F64"/>
    <w:rsid w:val="1AE96A89"/>
    <w:rsid w:val="1B455918"/>
    <w:rsid w:val="1C121D57"/>
    <w:rsid w:val="1C4A137C"/>
    <w:rsid w:val="1C8F1DE9"/>
    <w:rsid w:val="1D4F5E2D"/>
    <w:rsid w:val="1DA871CA"/>
    <w:rsid w:val="1EEE6678"/>
    <w:rsid w:val="1F11313D"/>
    <w:rsid w:val="1F956998"/>
    <w:rsid w:val="20DC5C02"/>
    <w:rsid w:val="20DE7ECC"/>
    <w:rsid w:val="20FE711F"/>
    <w:rsid w:val="21A70E96"/>
    <w:rsid w:val="2210107D"/>
    <w:rsid w:val="225E4DAF"/>
    <w:rsid w:val="22891E2D"/>
    <w:rsid w:val="22A743B8"/>
    <w:rsid w:val="22D33607"/>
    <w:rsid w:val="23FD2509"/>
    <w:rsid w:val="241B0EAD"/>
    <w:rsid w:val="243943F8"/>
    <w:rsid w:val="24E05430"/>
    <w:rsid w:val="25560DD8"/>
    <w:rsid w:val="267A7579"/>
    <w:rsid w:val="26EB0D68"/>
    <w:rsid w:val="272231F7"/>
    <w:rsid w:val="27961F1E"/>
    <w:rsid w:val="27AD7C03"/>
    <w:rsid w:val="28AF54B9"/>
    <w:rsid w:val="28C46277"/>
    <w:rsid w:val="29062B05"/>
    <w:rsid w:val="29127A38"/>
    <w:rsid w:val="2A1640AA"/>
    <w:rsid w:val="2AAA7342"/>
    <w:rsid w:val="2AB43BC5"/>
    <w:rsid w:val="2AEF5917"/>
    <w:rsid w:val="2B556F15"/>
    <w:rsid w:val="2B7F4BC3"/>
    <w:rsid w:val="2BC67CA0"/>
    <w:rsid w:val="2BF808D8"/>
    <w:rsid w:val="2CE81BAF"/>
    <w:rsid w:val="2D052A97"/>
    <w:rsid w:val="2DAC05D8"/>
    <w:rsid w:val="2DE728EA"/>
    <w:rsid w:val="2E726843"/>
    <w:rsid w:val="2EDC02FF"/>
    <w:rsid w:val="2EE87C86"/>
    <w:rsid w:val="2EEC5388"/>
    <w:rsid w:val="2FFC5881"/>
    <w:rsid w:val="3160503C"/>
    <w:rsid w:val="3172033E"/>
    <w:rsid w:val="3227588C"/>
    <w:rsid w:val="32295044"/>
    <w:rsid w:val="325F6558"/>
    <w:rsid w:val="331653E5"/>
    <w:rsid w:val="3316667F"/>
    <w:rsid w:val="341C30A3"/>
    <w:rsid w:val="34BF0E0C"/>
    <w:rsid w:val="351529A9"/>
    <w:rsid w:val="355A74E9"/>
    <w:rsid w:val="357239A1"/>
    <w:rsid w:val="35FD1F7A"/>
    <w:rsid w:val="36616918"/>
    <w:rsid w:val="366D672C"/>
    <w:rsid w:val="36E27034"/>
    <w:rsid w:val="36E3150F"/>
    <w:rsid w:val="3836614A"/>
    <w:rsid w:val="384A4707"/>
    <w:rsid w:val="385D644E"/>
    <w:rsid w:val="38F33167"/>
    <w:rsid w:val="39C83C69"/>
    <w:rsid w:val="39CE5E1D"/>
    <w:rsid w:val="3A9701E9"/>
    <w:rsid w:val="3B3222CB"/>
    <w:rsid w:val="3B4244C5"/>
    <w:rsid w:val="3C003247"/>
    <w:rsid w:val="3C8E6F2D"/>
    <w:rsid w:val="3CD46C0C"/>
    <w:rsid w:val="3D462C5C"/>
    <w:rsid w:val="3D6145DC"/>
    <w:rsid w:val="3D8C3C51"/>
    <w:rsid w:val="3E5E0082"/>
    <w:rsid w:val="3EDB4EA4"/>
    <w:rsid w:val="3F9F3463"/>
    <w:rsid w:val="3FC31914"/>
    <w:rsid w:val="404B5C4A"/>
    <w:rsid w:val="405D6728"/>
    <w:rsid w:val="40820CEF"/>
    <w:rsid w:val="40FD6FDA"/>
    <w:rsid w:val="41110191"/>
    <w:rsid w:val="414A37BB"/>
    <w:rsid w:val="4152069B"/>
    <w:rsid w:val="41B45A04"/>
    <w:rsid w:val="42643A73"/>
    <w:rsid w:val="42AA1012"/>
    <w:rsid w:val="42D13556"/>
    <w:rsid w:val="43162980"/>
    <w:rsid w:val="43FB66E3"/>
    <w:rsid w:val="4421515E"/>
    <w:rsid w:val="44DC7F4B"/>
    <w:rsid w:val="45651876"/>
    <w:rsid w:val="4588468D"/>
    <w:rsid w:val="466F6CEB"/>
    <w:rsid w:val="46AA377D"/>
    <w:rsid w:val="46FD18E3"/>
    <w:rsid w:val="481553CE"/>
    <w:rsid w:val="49363676"/>
    <w:rsid w:val="49713AA7"/>
    <w:rsid w:val="499A2688"/>
    <w:rsid w:val="49D47D5A"/>
    <w:rsid w:val="49F62026"/>
    <w:rsid w:val="4A4B48E3"/>
    <w:rsid w:val="4B1A7369"/>
    <w:rsid w:val="4B5137BF"/>
    <w:rsid w:val="4C365A00"/>
    <w:rsid w:val="4D774E55"/>
    <w:rsid w:val="4DA86B45"/>
    <w:rsid w:val="4E0568AD"/>
    <w:rsid w:val="4E3720DD"/>
    <w:rsid w:val="4F510F39"/>
    <w:rsid w:val="4FAF38AA"/>
    <w:rsid w:val="51497070"/>
    <w:rsid w:val="517A0DE1"/>
    <w:rsid w:val="51E025FE"/>
    <w:rsid w:val="52FD675A"/>
    <w:rsid w:val="532B7AD5"/>
    <w:rsid w:val="535E31AE"/>
    <w:rsid w:val="53D80FA7"/>
    <w:rsid w:val="540D674C"/>
    <w:rsid w:val="542D758B"/>
    <w:rsid w:val="5448002A"/>
    <w:rsid w:val="5473349C"/>
    <w:rsid w:val="54A3797A"/>
    <w:rsid w:val="54B6223B"/>
    <w:rsid w:val="54E15A0F"/>
    <w:rsid w:val="55344B23"/>
    <w:rsid w:val="561225E1"/>
    <w:rsid w:val="561510AB"/>
    <w:rsid w:val="56446FD4"/>
    <w:rsid w:val="56614D70"/>
    <w:rsid w:val="56732DC5"/>
    <w:rsid w:val="56C21B98"/>
    <w:rsid w:val="57052631"/>
    <w:rsid w:val="57360F05"/>
    <w:rsid w:val="581F495D"/>
    <w:rsid w:val="58484116"/>
    <w:rsid w:val="58DA78C0"/>
    <w:rsid w:val="58E017CC"/>
    <w:rsid w:val="59B77A55"/>
    <w:rsid w:val="59C5401B"/>
    <w:rsid w:val="5A770570"/>
    <w:rsid w:val="5AC859BF"/>
    <w:rsid w:val="5B4C17F1"/>
    <w:rsid w:val="5C0F2072"/>
    <w:rsid w:val="5CFC1D50"/>
    <w:rsid w:val="5DB20C5F"/>
    <w:rsid w:val="5DE51E64"/>
    <w:rsid w:val="5E6C25B6"/>
    <w:rsid w:val="5E84123F"/>
    <w:rsid w:val="5F0028BB"/>
    <w:rsid w:val="5F192F04"/>
    <w:rsid w:val="5F2528F6"/>
    <w:rsid w:val="5F9764C2"/>
    <w:rsid w:val="603300A7"/>
    <w:rsid w:val="607E0927"/>
    <w:rsid w:val="60B625CF"/>
    <w:rsid w:val="60D968DA"/>
    <w:rsid w:val="60F41422"/>
    <w:rsid w:val="618B6FF9"/>
    <w:rsid w:val="619D5BCC"/>
    <w:rsid w:val="6233128F"/>
    <w:rsid w:val="62635DDC"/>
    <w:rsid w:val="62FE3555"/>
    <w:rsid w:val="63D7368B"/>
    <w:rsid w:val="643F2CF9"/>
    <w:rsid w:val="64EA3B44"/>
    <w:rsid w:val="657A0549"/>
    <w:rsid w:val="665A104A"/>
    <w:rsid w:val="66ED444E"/>
    <w:rsid w:val="67484273"/>
    <w:rsid w:val="68485C65"/>
    <w:rsid w:val="68A603CF"/>
    <w:rsid w:val="69E27B06"/>
    <w:rsid w:val="69EA623B"/>
    <w:rsid w:val="6A0F3694"/>
    <w:rsid w:val="6A5445FC"/>
    <w:rsid w:val="6A5C1E75"/>
    <w:rsid w:val="6AB76CFB"/>
    <w:rsid w:val="6ABA08C1"/>
    <w:rsid w:val="6BC1702A"/>
    <w:rsid w:val="6C282248"/>
    <w:rsid w:val="6CBD55AC"/>
    <w:rsid w:val="6DE636A7"/>
    <w:rsid w:val="6DE86594"/>
    <w:rsid w:val="6E5C2511"/>
    <w:rsid w:val="725831A5"/>
    <w:rsid w:val="72EF2DE7"/>
    <w:rsid w:val="73607DE9"/>
    <w:rsid w:val="73711235"/>
    <w:rsid w:val="753E278B"/>
    <w:rsid w:val="755F74C6"/>
    <w:rsid w:val="75BE6EB5"/>
    <w:rsid w:val="7815375E"/>
    <w:rsid w:val="781D76EB"/>
    <w:rsid w:val="788C2381"/>
    <w:rsid w:val="790D6252"/>
    <w:rsid w:val="795F4286"/>
    <w:rsid w:val="79EE1472"/>
    <w:rsid w:val="7AA716F4"/>
    <w:rsid w:val="7AE40810"/>
    <w:rsid w:val="7B0749C7"/>
    <w:rsid w:val="7BBB6C68"/>
    <w:rsid w:val="7C5511FE"/>
    <w:rsid w:val="7C574749"/>
    <w:rsid w:val="7C8E2CF6"/>
    <w:rsid w:val="7C967B8B"/>
    <w:rsid w:val="7CD015B7"/>
    <w:rsid w:val="7D0F70B9"/>
    <w:rsid w:val="7E4931C0"/>
    <w:rsid w:val="7E656B03"/>
    <w:rsid w:val="7E7248EE"/>
    <w:rsid w:val="7EEF6C2A"/>
    <w:rsid w:val="7F074C20"/>
    <w:rsid w:val="7F363A3A"/>
    <w:rsid w:val="7F67131F"/>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30"/>
    <w:qFormat/>
    <w:uiPriority w:val="99"/>
    <w:pPr>
      <w:jc w:val="left"/>
    </w:pPr>
    <w:rPr>
      <w:sz w:val="24"/>
      <w:szCs w:val="20"/>
    </w:rPr>
  </w:style>
  <w:style w:type="paragraph" w:styleId="6">
    <w:name w:val="Body Text"/>
    <w:basedOn w:val="1"/>
    <w:link w:val="49"/>
    <w:unhideWhenUsed/>
    <w:qFormat/>
    <w:locked/>
    <w:uiPriority w:val="99"/>
    <w:pPr>
      <w:spacing w:after="120"/>
    </w:pPr>
  </w:style>
  <w:style w:type="paragraph" w:styleId="7">
    <w:name w:val="Body Text Indent"/>
    <w:basedOn w:val="1"/>
    <w:link w:val="31"/>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32"/>
    <w:qFormat/>
    <w:uiPriority w:val="0"/>
    <w:rPr>
      <w:rFonts w:ascii="宋体" w:hAnsi="Courier New"/>
      <w:szCs w:val="20"/>
    </w:rPr>
  </w:style>
  <w:style w:type="paragraph" w:styleId="11">
    <w:name w:val="Date"/>
    <w:basedOn w:val="1"/>
    <w:next w:val="1"/>
    <w:link w:val="33"/>
    <w:qFormat/>
    <w:uiPriority w:val="99"/>
    <w:pPr>
      <w:ind w:left="100" w:leftChars="2500"/>
    </w:pPr>
    <w:rPr>
      <w:sz w:val="24"/>
      <w:szCs w:val="20"/>
    </w:rPr>
  </w:style>
  <w:style w:type="paragraph" w:styleId="12">
    <w:name w:val="Balloon Text"/>
    <w:basedOn w:val="1"/>
    <w:link w:val="34"/>
    <w:semiHidden/>
    <w:qFormat/>
    <w:uiPriority w:val="99"/>
    <w:rPr>
      <w:kern w:val="0"/>
      <w:sz w:val="2"/>
      <w:szCs w:val="20"/>
    </w:rPr>
  </w:style>
  <w:style w:type="paragraph" w:styleId="13">
    <w:name w:val="footer"/>
    <w:basedOn w:val="1"/>
    <w:link w:val="35"/>
    <w:qFormat/>
    <w:uiPriority w:val="99"/>
    <w:pPr>
      <w:tabs>
        <w:tab w:val="center" w:pos="4153"/>
        <w:tab w:val="right" w:pos="8306"/>
      </w:tabs>
      <w:snapToGrid w:val="0"/>
      <w:jc w:val="left"/>
    </w:pPr>
    <w:rPr>
      <w:kern w:val="0"/>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7"/>
    <w:qFormat/>
    <w:uiPriority w:val="99"/>
    <w:rPr>
      <w:b/>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page number"/>
    <w:basedOn w:val="19"/>
    <w:qFormat/>
    <w:locked/>
    <w:uiPriority w:val="0"/>
  </w:style>
  <w:style w:type="character" w:styleId="22">
    <w:name w:val="FollowedHyperlink"/>
    <w:basedOn w:val="19"/>
    <w:semiHidden/>
    <w:unhideWhenUsed/>
    <w:qFormat/>
    <w:locked/>
    <w:uiPriority w:val="99"/>
    <w:rPr>
      <w:color w:val="4D7AD8"/>
      <w:sz w:val="18"/>
      <w:szCs w:val="18"/>
      <w:u w:val="none"/>
    </w:rPr>
  </w:style>
  <w:style w:type="character" w:styleId="23">
    <w:name w:val="HTML Definition"/>
    <w:basedOn w:val="19"/>
    <w:semiHidden/>
    <w:unhideWhenUsed/>
    <w:qFormat/>
    <w:locked/>
    <w:uiPriority w:val="99"/>
    <w:rPr>
      <w:i/>
      <w:iCs/>
    </w:rPr>
  </w:style>
  <w:style w:type="character" w:styleId="24">
    <w:name w:val="Hyperlink"/>
    <w:qFormat/>
    <w:uiPriority w:val="99"/>
    <w:rPr>
      <w:rFonts w:cs="Times New Roman"/>
      <w:color w:val="0563C1"/>
      <w:u w:val="single"/>
    </w:rPr>
  </w:style>
  <w:style w:type="character" w:styleId="25">
    <w:name w:val="HTML Code"/>
    <w:basedOn w:val="19"/>
    <w:semiHidden/>
    <w:unhideWhenUsed/>
    <w:qFormat/>
    <w:locked/>
    <w:uiPriority w:val="99"/>
    <w:rPr>
      <w:rFonts w:ascii="Consolas" w:hAnsi="Consolas" w:eastAsia="Consolas" w:cs="Consolas"/>
      <w:color w:val="666666"/>
      <w:sz w:val="21"/>
      <w:szCs w:val="21"/>
    </w:rPr>
  </w:style>
  <w:style w:type="character" w:styleId="26">
    <w:name w:val="annotation reference"/>
    <w:basedOn w:val="19"/>
    <w:qFormat/>
    <w:uiPriority w:val="99"/>
    <w:rPr>
      <w:rFonts w:cs="Times New Roman"/>
      <w:sz w:val="21"/>
    </w:rPr>
  </w:style>
  <w:style w:type="character" w:styleId="27">
    <w:name w:val="HTML Keyboard"/>
    <w:basedOn w:val="19"/>
    <w:semiHidden/>
    <w:unhideWhenUsed/>
    <w:qFormat/>
    <w:locked/>
    <w:uiPriority w:val="99"/>
    <w:rPr>
      <w:rFonts w:hint="default" w:ascii="Consolas" w:hAnsi="Consolas" w:eastAsia="Consolas" w:cs="Consolas"/>
      <w:sz w:val="21"/>
      <w:szCs w:val="21"/>
    </w:rPr>
  </w:style>
  <w:style w:type="character" w:styleId="28">
    <w:name w:val="HTML Sample"/>
    <w:basedOn w:val="19"/>
    <w:semiHidden/>
    <w:unhideWhenUsed/>
    <w:qFormat/>
    <w:locked/>
    <w:uiPriority w:val="99"/>
    <w:rPr>
      <w:rFonts w:hint="default" w:ascii="Consolas" w:hAnsi="Consolas" w:eastAsia="Consolas" w:cs="Consolas"/>
      <w:sz w:val="21"/>
      <w:szCs w:val="21"/>
    </w:rPr>
  </w:style>
  <w:style w:type="character" w:customStyle="1" w:styleId="29">
    <w:name w:val="标题 1 Char"/>
    <w:link w:val="3"/>
    <w:qFormat/>
    <w:locked/>
    <w:uiPriority w:val="99"/>
    <w:rPr>
      <w:rFonts w:cs="Times New Roman"/>
      <w:b/>
      <w:kern w:val="44"/>
      <w:sz w:val="44"/>
    </w:rPr>
  </w:style>
  <w:style w:type="character" w:customStyle="1" w:styleId="30">
    <w:name w:val="批注文字 Char"/>
    <w:link w:val="5"/>
    <w:qFormat/>
    <w:locked/>
    <w:uiPriority w:val="99"/>
    <w:rPr>
      <w:rFonts w:cs="Times New Roman"/>
      <w:kern w:val="2"/>
      <w:sz w:val="24"/>
    </w:rPr>
  </w:style>
  <w:style w:type="character" w:customStyle="1" w:styleId="31">
    <w:name w:val="正文文本缩进 Char"/>
    <w:link w:val="7"/>
    <w:qFormat/>
    <w:locked/>
    <w:uiPriority w:val="99"/>
    <w:rPr>
      <w:rFonts w:ascii="等线" w:eastAsia="等线" w:cs="Times New Roman"/>
      <w:kern w:val="2"/>
      <w:sz w:val="22"/>
    </w:rPr>
  </w:style>
  <w:style w:type="character" w:customStyle="1" w:styleId="32">
    <w:name w:val="纯文本 Char"/>
    <w:link w:val="10"/>
    <w:qFormat/>
    <w:locked/>
    <w:uiPriority w:val="0"/>
    <w:rPr>
      <w:rFonts w:ascii="宋体" w:hAnsi="Courier New" w:cs="Times New Roman"/>
      <w:kern w:val="2"/>
      <w:sz w:val="21"/>
    </w:rPr>
  </w:style>
  <w:style w:type="character" w:customStyle="1" w:styleId="33">
    <w:name w:val="日期 Char"/>
    <w:link w:val="11"/>
    <w:qFormat/>
    <w:locked/>
    <w:uiPriority w:val="99"/>
    <w:rPr>
      <w:rFonts w:cs="Times New Roman"/>
      <w:kern w:val="2"/>
      <w:sz w:val="24"/>
    </w:rPr>
  </w:style>
  <w:style w:type="character" w:customStyle="1" w:styleId="34">
    <w:name w:val="批注框文本 Char"/>
    <w:link w:val="12"/>
    <w:semiHidden/>
    <w:qFormat/>
    <w:locked/>
    <w:uiPriority w:val="99"/>
    <w:rPr>
      <w:rFonts w:cs="Times New Roman"/>
      <w:sz w:val="2"/>
    </w:rPr>
  </w:style>
  <w:style w:type="character" w:customStyle="1" w:styleId="35">
    <w:name w:val="页脚 Char"/>
    <w:link w:val="13"/>
    <w:semiHidden/>
    <w:qFormat/>
    <w:locked/>
    <w:uiPriority w:val="99"/>
    <w:rPr>
      <w:rFonts w:cs="Times New Roman"/>
      <w:sz w:val="18"/>
      <w:szCs w:val="18"/>
    </w:rPr>
  </w:style>
  <w:style w:type="character" w:customStyle="1" w:styleId="36">
    <w:name w:val="页眉 Char"/>
    <w:link w:val="14"/>
    <w:qFormat/>
    <w:locked/>
    <w:uiPriority w:val="99"/>
    <w:rPr>
      <w:rFonts w:cs="Times New Roman"/>
      <w:kern w:val="2"/>
      <w:sz w:val="18"/>
    </w:rPr>
  </w:style>
  <w:style w:type="character" w:customStyle="1" w:styleId="37">
    <w:name w:val="批注主题 Char"/>
    <w:link w:val="16"/>
    <w:qFormat/>
    <w:locked/>
    <w:uiPriority w:val="99"/>
    <w:rPr>
      <w:rFonts w:cs="Times New Roman"/>
      <w:b/>
      <w:kern w:val="2"/>
      <w:sz w:val="24"/>
    </w:rPr>
  </w:style>
  <w:style w:type="paragraph" w:customStyle="1" w:styleId="38">
    <w:name w:val="Char"/>
    <w:basedOn w:val="1"/>
    <w:qFormat/>
    <w:uiPriority w:val="99"/>
    <w:pPr>
      <w:tabs>
        <w:tab w:val="left" w:pos="360"/>
      </w:tabs>
    </w:pPr>
    <w:rPr>
      <w:sz w:val="24"/>
    </w:rPr>
  </w:style>
  <w:style w:type="character" w:customStyle="1" w:styleId="39">
    <w:name w:val="列出段落 Char"/>
    <w:link w:val="40"/>
    <w:qFormat/>
    <w:locked/>
    <w:uiPriority w:val="0"/>
  </w:style>
  <w:style w:type="paragraph" w:styleId="40">
    <w:name w:val="List Paragraph"/>
    <w:basedOn w:val="1"/>
    <w:link w:val="39"/>
    <w:qFormat/>
    <w:uiPriority w:val="34"/>
    <w:pPr>
      <w:widowControl/>
      <w:ind w:firstLine="420" w:firstLineChars="200"/>
      <w:jc w:val="left"/>
    </w:pPr>
    <w:rPr>
      <w:kern w:val="0"/>
      <w:sz w:val="20"/>
      <w:szCs w:val="20"/>
    </w:rPr>
  </w:style>
  <w:style w:type="table" w:customStyle="1" w:styleId="41">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laceholder Text"/>
    <w:semiHidden/>
    <w:qFormat/>
    <w:uiPriority w:val="99"/>
    <w:rPr>
      <w:rFonts w:cs="Times New Roman"/>
      <w:color w:val="808080"/>
    </w:rPr>
  </w:style>
  <w:style w:type="paragraph" w:customStyle="1" w:styleId="43">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4">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5">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99"/>
    <w:pPr>
      <w:ind w:firstLine="420" w:firstLineChars="200"/>
    </w:pPr>
    <w:rPr>
      <w:rFonts w:ascii="Calibri" w:hAnsi="Calibri"/>
      <w:szCs w:val="22"/>
    </w:rPr>
  </w:style>
  <w:style w:type="character" w:customStyle="1" w:styleId="47">
    <w:name w:val="标题 2 Char Char Char"/>
    <w:qFormat/>
    <w:uiPriority w:val="99"/>
    <w:rPr>
      <w:rFonts w:ascii="Arial" w:hAnsi="Arial" w:eastAsia="黑体"/>
      <w:b/>
      <w:kern w:val="2"/>
      <w:sz w:val="32"/>
      <w:lang w:val="en-US" w:eastAsia="zh-CN"/>
    </w:rPr>
  </w:style>
  <w:style w:type="paragraph" w:customStyle="1" w:styleId="48">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9">
    <w:name w:val="正文文本 Char"/>
    <w:link w:val="6"/>
    <w:qFormat/>
    <w:uiPriority w:val="99"/>
    <w:rPr>
      <w:kern w:val="2"/>
      <w:sz w:val="21"/>
      <w:szCs w:val="24"/>
    </w:rPr>
  </w:style>
  <w:style w:type="paragraph" w:customStyle="1" w:styleId="5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1">
    <w:name w:val="正文2"/>
    <w:basedOn w:val="1"/>
    <w:qFormat/>
    <w:uiPriority w:val="0"/>
    <w:pPr>
      <w:spacing w:before="156" w:line="360" w:lineRule="auto"/>
      <w:ind w:firstLine="510" w:firstLineChars="200"/>
    </w:pPr>
    <w:rPr>
      <w:sz w:val="24"/>
    </w:rPr>
  </w:style>
  <w:style w:type="paragraph" w:customStyle="1" w:styleId="52">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3">
    <w:name w:val="A9"/>
    <w:qFormat/>
    <w:uiPriority w:val="0"/>
    <w:rPr>
      <w:rFonts w:cs="PSFEIH+StoneSans"/>
      <w:color w:val="262424"/>
      <w:sz w:val="20"/>
      <w:szCs w:val="20"/>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5">
    <w:name w:val="A14"/>
    <w:qFormat/>
    <w:uiPriority w:val="99"/>
    <w:rPr>
      <w:rFonts w:cs="Open Sans Light"/>
      <w:color w:val="FFFFFF"/>
      <w:sz w:val="13"/>
      <w:szCs w:val="13"/>
    </w:rPr>
  </w:style>
  <w:style w:type="paragraph" w:customStyle="1" w:styleId="56">
    <w:name w:val="表格文字"/>
    <w:basedOn w:val="1"/>
    <w:next w:val="6"/>
    <w:qFormat/>
    <w:uiPriority w:val="0"/>
    <w:rPr>
      <w:sz w:val="24"/>
    </w:rPr>
  </w:style>
  <w:style w:type="paragraph" w:customStyle="1" w:styleId="5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8">
    <w:name w:val="首行缩进"/>
    <w:basedOn w:val="1"/>
    <w:qFormat/>
    <w:uiPriority w:val="99"/>
    <w:pPr>
      <w:spacing w:line="360" w:lineRule="auto"/>
      <w:ind w:firstLine="480" w:firstLineChars="200"/>
      <w:jc w:val="left"/>
    </w:pPr>
    <w:rPr>
      <w:rFonts w:ascii="宋体" w:hAnsi="宋体" w:eastAsia="Calibri"/>
      <w:kern w:val="0"/>
      <w:sz w:val="24"/>
      <w:lang w:eastAsia="en-US"/>
    </w:rPr>
  </w:style>
  <w:style w:type="character" w:customStyle="1" w:styleId="59">
    <w:name w:val="button"/>
    <w:basedOn w:val="19"/>
    <w:qFormat/>
    <w:uiPriority w:val="0"/>
  </w:style>
  <w:style w:type="character" w:customStyle="1" w:styleId="60">
    <w:name w:val="button1"/>
    <w:basedOn w:val="19"/>
    <w:qFormat/>
    <w:uiPriority w:val="0"/>
  </w:style>
  <w:style w:type="character" w:customStyle="1" w:styleId="61">
    <w:name w:val="current-node"/>
    <w:basedOn w:val="19"/>
    <w:qFormat/>
    <w:uiPriority w:val="0"/>
    <w:rPr>
      <w:bdr w:val="single" w:color="F5B87B" w:sz="6" w:space="0"/>
      <w:shd w:val="clear" w:color="auto" w:fill="FFE8CC"/>
    </w:rPr>
  </w:style>
  <w:style w:type="character" w:customStyle="1" w:styleId="62">
    <w:name w:val="ant-select-tree-checkbox"/>
    <w:basedOn w:val="19"/>
    <w:qFormat/>
    <w:uiPriority w:val="0"/>
  </w:style>
  <w:style w:type="character" w:customStyle="1" w:styleId="63">
    <w:name w:val="ant-select-tree-iconele"/>
    <w:basedOn w:val="19"/>
    <w:qFormat/>
    <w:uiPriority w:val="0"/>
  </w:style>
  <w:style w:type="character" w:customStyle="1" w:styleId="64">
    <w:name w:val="ant-select-tree-switcher"/>
    <w:basedOn w:val="19"/>
    <w:qFormat/>
    <w:uiPriority w:val="0"/>
  </w:style>
  <w:style w:type="character" w:customStyle="1" w:styleId="65">
    <w:name w:val="cke_colorbox2"/>
    <w:basedOn w:val="19"/>
    <w:qFormat/>
    <w:uiPriority w:val="0"/>
  </w:style>
  <w:style w:type="character" w:customStyle="1" w:styleId="66">
    <w:name w:val="cke_colorbox3"/>
    <w:basedOn w:val="19"/>
    <w:qFormat/>
    <w:uiPriority w:val="0"/>
    <w:rPr>
      <w:bdr w:val="single" w:color="808080" w:sz="6" w:space="0"/>
    </w:rPr>
  </w:style>
  <w:style w:type="character" w:customStyle="1" w:styleId="67">
    <w:name w:val="cke_colorbox4"/>
    <w:basedOn w:val="19"/>
    <w:qFormat/>
    <w:uiPriority w:val="0"/>
  </w:style>
  <w:style w:type="character" w:customStyle="1" w:styleId="68">
    <w:name w:val="cke_colorbox5"/>
    <w:basedOn w:val="19"/>
    <w:qFormat/>
    <w:uiPriority w:val="0"/>
  </w:style>
  <w:style w:type="character" w:customStyle="1" w:styleId="69">
    <w:name w:val="isrevision"/>
    <w:basedOn w:val="19"/>
    <w:qFormat/>
    <w:uiPriority w:val="0"/>
    <w:rPr>
      <w:color w:val="000000"/>
      <w:sz w:val="18"/>
      <w:szCs w:val="18"/>
      <w:bdr w:val="single" w:color="E9E9E9" w:sz="6" w:space="0"/>
      <w:shd w:val="clear" w:color="auto" w:fill="FFFFFF"/>
    </w:rPr>
  </w:style>
  <w:style w:type="character" w:customStyle="1" w:styleId="70">
    <w:name w:val="not-pass-node"/>
    <w:basedOn w:val="19"/>
    <w:qFormat/>
    <w:uiPriority w:val="0"/>
    <w:rPr>
      <w:bdr w:val="single" w:color="5ABD6B" w:sz="6" w:space="0"/>
      <w:shd w:val="clear" w:color="auto" w:fill="BFF3C3"/>
    </w:rPr>
  </w:style>
  <w:style w:type="character" w:customStyle="1" w:styleId="71">
    <w:name w:val="wea-thumbnails-doc-content-subtitle"/>
    <w:basedOn w:val="19"/>
    <w:qFormat/>
    <w:uiPriority w:val="0"/>
    <w:rPr>
      <w:color w:val="9A9A9A"/>
    </w:rPr>
  </w:style>
  <w:style w:type="character" w:customStyle="1" w:styleId="72">
    <w:name w:val="passed-node"/>
    <w:basedOn w:val="19"/>
    <w:qFormat/>
    <w:uiPriority w:val="0"/>
    <w:rPr>
      <w:bdr w:val="single" w:color="49A8D4" w:sz="6" w:space="0"/>
      <w:shd w:val="clear" w:color="auto" w:fill="A9E3FF"/>
    </w:rPr>
  </w:style>
  <w:style w:type="character" w:customStyle="1" w:styleId="73">
    <w:name w:val="auto-pass-node"/>
    <w:basedOn w:val="19"/>
    <w:qFormat/>
    <w:uiPriority w:val="0"/>
    <w:rPr>
      <w:bdr w:val="single" w:color="DC4446" w:sz="6" w:space="0"/>
      <w:shd w:val="clear" w:color="auto" w:fill="A9E2FF"/>
    </w:rPr>
  </w:style>
  <w:style w:type="character" w:customStyle="1" w:styleId="74">
    <w:name w:val="ant-radio+*"/>
    <w:basedOn w:val="19"/>
    <w:qFormat/>
    <w:uiPriority w:val="0"/>
  </w:style>
  <w:style w:type="character" w:customStyle="1" w:styleId="75">
    <w:name w:val="wea-dropdown-triangle2"/>
    <w:basedOn w:val="19"/>
    <w:qFormat/>
    <w:uiPriority w:val="0"/>
  </w:style>
  <w:style w:type="character" w:customStyle="1" w:styleId="76">
    <w:name w:val="first-of-type"/>
    <w:basedOn w:val="19"/>
    <w:qFormat/>
    <w:uiPriority w:val="0"/>
    <w:rPr>
      <w:color w:val="FF0000"/>
    </w:rPr>
  </w:style>
  <w:style w:type="character" w:customStyle="1" w:styleId="77">
    <w:name w:val="first-of-type1"/>
    <w:basedOn w:val="19"/>
    <w:qFormat/>
    <w:uiPriority w:val="0"/>
    <w:rPr>
      <w:color w:val="FF0000"/>
    </w:rPr>
  </w:style>
  <w:style w:type="character" w:customStyle="1" w:styleId="78">
    <w:name w:val="first-of-type2"/>
    <w:basedOn w:val="19"/>
    <w:qFormat/>
    <w:uiPriority w:val="0"/>
    <w:rPr>
      <w:color w:val="FF0000"/>
    </w:rPr>
  </w:style>
  <w:style w:type="character" w:customStyle="1" w:styleId="79">
    <w:name w:val="ant-tree-switcher10"/>
    <w:basedOn w:val="19"/>
    <w:qFormat/>
    <w:uiPriority w:val="0"/>
  </w:style>
  <w:style w:type="character" w:customStyle="1" w:styleId="80">
    <w:name w:val="hover37"/>
    <w:basedOn w:val="19"/>
    <w:qFormat/>
    <w:uiPriority w:val="0"/>
    <w:rPr>
      <w:color w:val="009DFF"/>
    </w:rPr>
  </w:style>
  <w:style w:type="character" w:customStyle="1" w:styleId="81">
    <w:name w:val="hover38"/>
    <w:basedOn w:val="19"/>
    <w:qFormat/>
    <w:uiPriority w:val="0"/>
    <w:rPr>
      <w:color w:val="009DFF"/>
    </w:rPr>
  </w:style>
  <w:style w:type="character" w:customStyle="1" w:styleId="82">
    <w:name w:val="ant-tree-checkbox8"/>
    <w:basedOn w:val="19"/>
    <w:qFormat/>
    <w:uiPriority w:val="0"/>
  </w:style>
  <w:style w:type="character" w:customStyle="1" w:styleId="83">
    <w:name w:val="tmpztreemove_arrow"/>
    <w:basedOn w:val="19"/>
    <w:qFormat/>
    <w:uiPriority w:val="0"/>
  </w:style>
  <w:style w:type="character" w:customStyle="1" w:styleId="84">
    <w:name w:val="cke_path_empty2"/>
    <w:basedOn w:val="19"/>
    <w:qFormat/>
    <w:uiPriority w:val="0"/>
    <w:rPr>
      <w:b/>
      <w:bCs/>
      <w:color w:val="484848"/>
      <w:sz w:val="16"/>
      <w:szCs w:val="16"/>
      <w:u w:val="none"/>
    </w:rPr>
  </w:style>
  <w:style w:type="character" w:customStyle="1" w:styleId="85">
    <w:name w:val="cke_notification_progress"/>
    <w:basedOn w:val="19"/>
    <w:qFormat/>
    <w:uiPriority w:val="0"/>
    <w:rPr>
      <w:shd w:val="clear" w:color="auto" w:fill="0F74A8"/>
    </w:rPr>
  </w:style>
  <w:style w:type="character" w:customStyle="1" w:styleId="86">
    <w:name w:val="ant-tree-iconele"/>
    <w:basedOn w:val="19"/>
    <w:qFormat/>
    <w:uiPriority w:val="0"/>
  </w:style>
  <w:style w:type="character" w:customStyle="1" w:styleId="87">
    <w:name w:val="ant-table-row-expand-icon3"/>
    <w:basedOn w:val="19"/>
    <w:qFormat/>
    <w:uiPriority w:val="0"/>
    <w:rPr>
      <w:vanish/>
    </w:rPr>
  </w:style>
  <w:style w:type="character" w:customStyle="1" w:styleId="88">
    <w:name w:val="disabled4"/>
    <w:basedOn w:val="19"/>
    <w:qFormat/>
    <w:uiPriority w:val="0"/>
    <w:rPr>
      <w:color w:val="AAAAAA"/>
      <w:shd w:val="clear" w:color="auto" w:fill="F7F7F7"/>
    </w:rPr>
  </w:style>
  <w:style w:type="character" w:customStyle="1" w:styleId="89">
    <w:name w:val="cke_dialog_ui_button1"/>
    <w:basedOn w:val="19"/>
    <w:qFormat/>
    <w:uiPriority w:val="0"/>
  </w:style>
  <w:style w:type="character" w:customStyle="1" w:styleId="90">
    <w:name w:val="wf-form-textarea"/>
    <w:basedOn w:val="19"/>
    <w:uiPriority w:val="0"/>
  </w:style>
  <w:style w:type="character" w:customStyle="1" w:styleId="91">
    <w:name w:val="cke_colorbox"/>
    <w:basedOn w:val="19"/>
    <w:uiPriority w:val="0"/>
    <w:rPr>
      <w:bdr w:val="single" w:color="808080" w:sz="6" w:space="0"/>
    </w:rPr>
  </w:style>
  <w:style w:type="character" w:customStyle="1" w:styleId="92">
    <w:name w:val="cke_colorbox1"/>
    <w:basedOn w:val="19"/>
    <w:uiPriority w:val="0"/>
  </w:style>
  <w:style w:type="character" w:customStyle="1" w:styleId="93">
    <w:name w:val="hover34"/>
    <w:basedOn w:val="19"/>
    <w:uiPriority w:val="0"/>
    <w:rPr>
      <w:color w:val="009DFF"/>
    </w:rPr>
  </w:style>
  <w:style w:type="character" w:customStyle="1" w:styleId="94">
    <w:name w:val="hover35"/>
    <w:basedOn w:val="19"/>
    <w:uiPriority w:val="0"/>
    <w:rPr>
      <w:color w:val="009DFF"/>
    </w:rPr>
  </w:style>
  <w:style w:type="character" w:customStyle="1" w:styleId="95">
    <w:name w:val="cke_path_empty"/>
    <w:basedOn w:val="19"/>
    <w:uiPriority w:val="0"/>
    <w:rPr>
      <w:b/>
      <w:bCs/>
      <w:color w:val="484848"/>
      <w:sz w:val="16"/>
      <w:szCs w:val="16"/>
      <w:u w:val="none"/>
    </w:rPr>
  </w:style>
  <w:style w:type="character" w:customStyle="1" w:styleId="96">
    <w:name w:val="wea-dropdown-triangle"/>
    <w:basedOn w:val="19"/>
    <w:uiPriority w:val="0"/>
  </w:style>
  <w:style w:type="character" w:customStyle="1" w:styleId="97">
    <w:name w:val="ant-select-tree-checkbox2"/>
    <w:basedOn w:val="19"/>
    <w:uiPriority w:val="0"/>
  </w:style>
  <w:style w:type="character" w:customStyle="1" w:styleId="98">
    <w:name w:val="ant-tree-checkbox5"/>
    <w:basedOn w:val="19"/>
    <w:uiPriority w:val="0"/>
  </w:style>
  <w:style w:type="character" w:customStyle="1" w:styleId="99">
    <w:name w:val="cke_dialog_ui_button2"/>
    <w:basedOn w:val="19"/>
    <w:uiPriority w:val="0"/>
  </w:style>
  <w:style w:type="character" w:customStyle="1" w:styleId="100">
    <w:name w:val="ant-table-row-expand-icon4"/>
    <w:basedOn w:val="19"/>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2576</Words>
  <Characters>14688</Characters>
  <Lines>122</Lines>
  <Paragraphs>34</Paragraphs>
  <TotalTime>4</TotalTime>
  <ScaleCrop>false</ScaleCrop>
  <LinksUpToDate>false</LinksUpToDate>
  <CharactersWithSpaces>17230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2021-12-15T01:06:00Z</dcterms:modified>
  <dc:title>淮海工学院A8-10号楼学生宿舍家具招标书</dc:title>
  <cp:revision>347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7FC3F0B65985409F8D60DF6BF91F500E</vt:lpwstr>
  </property>
</Properties>
</file>