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bCs/>
          <w:sz w:val="36"/>
          <w:szCs w:val="40"/>
        </w:rPr>
      </w:pPr>
      <w:r>
        <w:rPr>
          <w:rFonts w:hint="eastAsia" w:ascii="黑体" w:hAnsi="黑体" w:eastAsia="黑体"/>
          <w:b/>
          <w:bCs/>
          <w:sz w:val="36"/>
          <w:szCs w:val="40"/>
        </w:rPr>
        <w:t>南京信息工程大学</w:t>
      </w:r>
      <w:r>
        <w:rPr>
          <w:rFonts w:hint="default" w:ascii="黑体" w:hAnsi="黑体" w:eastAsia="黑体"/>
          <w:b/>
          <w:bCs/>
          <w:sz w:val="36"/>
          <w:szCs w:val="40"/>
          <w:lang w:val="en-US"/>
        </w:rPr>
        <w:t>校友</w:t>
      </w:r>
      <w:r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  <w:t>工作学生助理团</w:t>
      </w:r>
      <w:r>
        <w:rPr>
          <w:rFonts w:hint="eastAsia" w:ascii="黑体" w:hAnsi="黑体" w:eastAsia="黑体"/>
          <w:b/>
          <w:bCs/>
          <w:sz w:val="36"/>
          <w:szCs w:val="40"/>
        </w:rPr>
        <w:t>招新报名表</w:t>
      </w:r>
    </w:p>
    <w:tbl>
      <w:tblPr>
        <w:tblStyle w:val="5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77"/>
        <w:gridCol w:w="1197"/>
        <w:gridCol w:w="1705"/>
        <w:gridCol w:w="1262"/>
        <w:gridCol w:w="148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bookmarkStart w:id="0" w:name="_Hlk19569570"/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学院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专业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207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志愿部门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2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特长</w:t>
            </w:r>
          </w:p>
        </w:tc>
        <w:tc>
          <w:tcPr>
            <w:tcW w:w="703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1298" w:type="dxa"/>
            <w:vAlign w:val="center"/>
          </w:tcPr>
          <w:p>
            <w:pPr>
              <w:tabs>
                <w:tab w:val="left" w:pos="7812"/>
              </w:tabs>
              <w:jc w:val="center"/>
              <w:rPr>
                <w:rFonts w:hint="default" w:ascii="宋体" w:hAnsi="宋体" w:eastAsia="宋体"/>
                <w:b/>
                <w:bCs/>
                <w:spacing w:val="-2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pacing w:val="-20"/>
                <w:sz w:val="22"/>
                <w:szCs w:val="24"/>
              </w:rPr>
              <w:t>自我</w:t>
            </w:r>
            <w:r>
              <w:rPr>
                <w:rFonts w:hint="eastAsia" w:ascii="宋体" w:hAnsi="宋体" w:eastAsia="宋体"/>
                <w:b/>
                <w:bCs/>
                <w:spacing w:val="-20"/>
                <w:sz w:val="22"/>
                <w:szCs w:val="24"/>
                <w:lang w:val="en-US" w:eastAsia="zh-CN"/>
              </w:rPr>
              <w:t>介绍及工作经历</w:t>
            </w:r>
          </w:p>
          <w:p>
            <w:pPr>
              <w:tabs>
                <w:tab w:val="left" w:pos="7812"/>
              </w:tabs>
              <w:jc w:val="center"/>
              <w:rPr>
                <w:rFonts w:ascii="宋体" w:hAnsi="宋体" w:eastAsia="宋体"/>
                <w:b/>
                <w:bCs/>
                <w:sz w:val="18"/>
                <w:szCs w:val="20"/>
              </w:rPr>
            </w:pPr>
            <w:r>
              <w:rPr>
                <w:rFonts w:ascii="宋体" w:hAnsi="宋体" w:eastAsia="宋体"/>
                <w:b/>
                <w:bCs/>
                <w:spacing w:val="-20"/>
                <w:sz w:val="22"/>
                <w:szCs w:val="24"/>
              </w:rPr>
              <w:t xml:space="preserve"> </w:t>
            </w:r>
          </w:p>
        </w:tc>
        <w:tc>
          <w:tcPr>
            <w:tcW w:w="9100" w:type="dxa"/>
            <w:gridSpan w:val="6"/>
          </w:tcPr>
          <w:p>
            <w:pPr>
              <w:tabs>
                <w:tab w:val="left" w:pos="7812"/>
              </w:tabs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1298" w:type="dxa"/>
            <w:vAlign w:val="center"/>
          </w:tcPr>
          <w:p>
            <w:pPr>
              <w:tabs>
                <w:tab w:val="left" w:pos="7812"/>
              </w:tabs>
              <w:jc w:val="center"/>
              <w:rPr>
                <w:rFonts w:hint="default" w:ascii="宋体" w:hAnsi="宋体" w:eastAsia="宋体"/>
                <w:b/>
                <w:bCs/>
                <w:spacing w:val="-2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pacing w:val="-20"/>
                <w:sz w:val="22"/>
                <w:szCs w:val="24"/>
                <w:lang w:val="en-US" w:eastAsia="zh-CN"/>
              </w:rPr>
              <w:t>加入理由</w:t>
            </w:r>
          </w:p>
        </w:tc>
        <w:tc>
          <w:tcPr>
            <w:tcW w:w="9100" w:type="dxa"/>
            <w:gridSpan w:val="6"/>
          </w:tcPr>
          <w:p>
            <w:pPr>
              <w:tabs>
                <w:tab w:val="left" w:pos="7812"/>
              </w:tabs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98" w:type="dxa"/>
            <w:vAlign w:val="center"/>
          </w:tcPr>
          <w:p>
            <w:pPr>
              <w:tabs>
                <w:tab w:val="left" w:pos="7812"/>
              </w:tabs>
              <w:jc w:val="center"/>
              <w:rPr>
                <w:rFonts w:hint="eastAsia" w:ascii="宋体" w:hAnsi="宋体" w:eastAsia="宋体"/>
                <w:b/>
                <w:bCs/>
                <w:spacing w:val="-2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pacing w:val="-20"/>
                <w:sz w:val="22"/>
                <w:szCs w:val="24"/>
                <w:lang w:val="en-US" w:eastAsia="zh-CN"/>
              </w:rPr>
              <w:t>是否接受调剂</w:t>
            </w:r>
          </w:p>
        </w:tc>
        <w:tc>
          <w:tcPr>
            <w:tcW w:w="9100" w:type="dxa"/>
            <w:gridSpan w:val="6"/>
            <w:vAlign w:val="center"/>
          </w:tcPr>
          <w:p>
            <w:pPr>
              <w:tabs>
                <w:tab w:val="left" w:pos="7812"/>
              </w:tabs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>是（ ）   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29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812"/>
              </w:tabs>
              <w:jc w:val="center"/>
              <w:rPr>
                <w:rFonts w:hint="default" w:ascii="宋体" w:hAnsi="宋体" w:eastAsia="宋体"/>
                <w:b/>
                <w:bCs/>
                <w:spacing w:val="-2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pacing w:val="-20"/>
                <w:sz w:val="22"/>
                <w:szCs w:val="24"/>
                <w:lang w:val="en-US" w:eastAsia="zh-CN"/>
              </w:rPr>
              <w:t>接受调剂的部门</w:t>
            </w:r>
          </w:p>
        </w:tc>
        <w:tc>
          <w:tcPr>
            <w:tcW w:w="9100" w:type="dxa"/>
            <w:gridSpan w:val="6"/>
            <w:vAlign w:val="center"/>
          </w:tcPr>
          <w:p>
            <w:pPr>
              <w:tabs>
                <w:tab w:val="left" w:pos="7812"/>
              </w:tabs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</w:p>
          <w:p>
            <w:pPr>
              <w:tabs>
                <w:tab w:val="left" w:pos="7812"/>
              </w:tabs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志愿者服务中心（ ）</w:t>
            </w:r>
          </w:p>
          <w:p>
            <w:pPr>
              <w:tabs>
                <w:tab w:val="left" w:pos="7812"/>
              </w:tabs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</w:p>
          <w:p>
            <w:pPr>
              <w:tabs>
                <w:tab w:val="left" w:pos="7812"/>
              </w:tabs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新媒体中心：秘书部（ ）文字部（ ）编辑部（ ）摄影部（ ）</w:t>
            </w:r>
          </w:p>
          <w:p>
            <w:pPr>
              <w:tabs>
                <w:tab w:val="left" w:pos="7812"/>
              </w:tabs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</w:p>
          <w:p>
            <w:pPr>
              <w:tabs>
                <w:tab w:val="left" w:pos="7812"/>
              </w:tabs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bookmarkEnd w:id="0"/>
    </w:tbl>
    <w:p>
      <w:pPr>
        <w:jc w:val="right"/>
        <w:rPr>
          <w:rFonts w:ascii="黑体" w:hAnsi="黑体" w:eastAsia="黑体"/>
          <w:b/>
          <w:bCs/>
          <w:sz w:val="10"/>
          <w:szCs w:val="10"/>
        </w:rPr>
      </w:pPr>
      <w:r>
        <w:rPr>
          <w:rFonts w:ascii="黑体" w:hAnsi="黑体" w:eastAsia="黑体"/>
          <w:b/>
          <w:bCs/>
          <w:sz w:val="10"/>
          <w:szCs w:val="1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391795</wp:posOffset>
                </wp:positionH>
                <wp:positionV relativeFrom="page">
                  <wp:posOffset>8002905</wp:posOffset>
                </wp:positionV>
                <wp:extent cx="5407660" cy="2032000"/>
                <wp:effectExtent l="0" t="0" r="0" b="0"/>
                <wp:wrapNone/>
                <wp:docPr id="10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660" cy="2032000"/>
                        </a:xfrm>
                        <a:prstGeom prst="rect">
                          <a:avLst/>
                        </a:prstGeom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注：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Chars="0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南京信息工程大学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第二届校友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学生助理团下设新媒体中心和志愿者服务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中心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两个学生团体。新媒体中心分设秘书部、文字部、编辑部、摄影部四个部门。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Chars="0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  <w:bookmarkStart w:id="1" w:name="_Hlk51188056"/>
                            <w:bookmarkStart w:id="2" w:name="_Hlk51188057"/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扫描右侧二维码进入Q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Q群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，查看迎新文件，获取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>南京信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息工程大学</w:t>
                            </w:r>
                            <w:r>
                              <w:rPr>
                                <w:rFonts w:hint="default"/>
                                <w:sz w:val="28"/>
                                <w:szCs w:val="32"/>
                                <w:lang w:val="en-US"/>
                              </w:rPr>
                              <w:t>校友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工作学生助理团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招新具体事宜。</w:t>
                            </w:r>
                            <w:bookmarkEnd w:id="1"/>
                            <w:bookmarkEnd w:id="2"/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Chars="0"/>
                              <w:textAlignment w:val="auto"/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报名表填写好后将电子版发到邮箱：</w:t>
                            </w:r>
                            <w:r>
                              <w:rPr>
                                <w:rFonts w:hint="default"/>
                                <w:sz w:val="28"/>
                                <w:szCs w:val="32"/>
                                <w:lang w:val="en-US"/>
                              </w:rPr>
                              <w:t>xyb@nuist.edu.cn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，并于面试时携带纸质版。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报名表填写好后将电子版发到邮箱：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0.85pt;margin-top:630.15pt;height:160pt;width:425.8pt;mso-position-horizontal-relative:page;mso-position-vertical-relative:page;z-index:251659264;mso-width-relative:page;mso-height-relative:page;" filled="f" stroked="f" coordsize="21600,21600" o:gfxdata="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9kj&#10;RtsAAAAMAQAADwAAAAAAAAABACAAAAAiAAAAZHJzL2Rvd25yZXYueG1sUEsBAhQAFAAAAAgAh07i&#10;QLDy8aofAgAAOgQAAA4AAAAAAAAAAQAgAAAAKgEAAGRycy9lMm9Eb2MueG1sUEsFBgAAAAAGAAYA&#10;WQEAALsF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注：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Chars="0"/>
                        <w:textAlignment w:val="auto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南京信息工程大学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第二届校友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工作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学生助理团下设新媒体中心和志愿者服务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中心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两个学生团体。新媒体中心分设秘书部、文字部、编辑部、摄影部四个部门。</w:t>
                      </w:r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Chars="0"/>
                        <w:textAlignment w:val="auto"/>
                        <w:rPr>
                          <w:sz w:val="28"/>
                          <w:szCs w:val="32"/>
                        </w:rPr>
                      </w:pPr>
                      <w:bookmarkStart w:id="1" w:name="_Hlk51188056"/>
                      <w:bookmarkStart w:id="2" w:name="_Hlk51188057"/>
                      <w:r>
                        <w:rPr>
                          <w:rFonts w:hint="eastAsia"/>
                          <w:sz w:val="28"/>
                          <w:szCs w:val="32"/>
                        </w:rPr>
                        <w:t>扫描右侧二维码进入Q</w:t>
                      </w:r>
                      <w:r>
                        <w:rPr>
                          <w:sz w:val="28"/>
                          <w:szCs w:val="32"/>
                        </w:rPr>
                        <w:t>Q群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，查看迎新文件，获取</w:t>
                      </w:r>
                      <w:r>
                        <w:rPr>
                          <w:sz w:val="28"/>
                          <w:szCs w:val="32"/>
                        </w:rPr>
                        <w:t>南京信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息工程大学</w:t>
                      </w:r>
                      <w:r>
                        <w:rPr>
                          <w:rFonts w:hint="default"/>
                          <w:sz w:val="28"/>
                          <w:szCs w:val="32"/>
                          <w:lang w:val="en-US"/>
                        </w:rPr>
                        <w:t>校友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工作学生助理团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招新具体事宜。</w:t>
                      </w:r>
                      <w:bookmarkEnd w:id="1"/>
                      <w:bookmarkEnd w:id="2"/>
                    </w:p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Chars="0"/>
                        <w:textAlignment w:val="auto"/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报名表填写好后将电子版发到邮箱：</w:t>
                      </w:r>
                      <w:r>
                        <w:rPr>
                          <w:rFonts w:hint="default"/>
                          <w:sz w:val="28"/>
                          <w:szCs w:val="32"/>
                          <w:lang w:val="en-US"/>
                        </w:rPr>
                        <w:t>xyb@nuist.edu.cn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，并于面试时携带纸质版。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sz w:val="24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sz w:val="22"/>
                          <w:szCs w:val="24"/>
                        </w:rPr>
                      </w:pPr>
                    </w:p>
                    <w:p>
                      <w:pPr>
                        <w:rPr>
                          <w:sz w:val="22"/>
                          <w:szCs w:val="24"/>
                        </w:rPr>
                      </w:pPr>
                    </w:p>
                    <w:p>
                      <w:pPr>
                        <w:rPr>
                          <w:sz w:val="22"/>
                          <w:szCs w:val="24"/>
                        </w:rPr>
                      </w:pPr>
                    </w:p>
                    <w:p>
                      <w:pPr>
                        <w:rPr>
                          <w:sz w:val="22"/>
                          <w:szCs w:val="24"/>
                        </w:rPr>
                      </w:pPr>
                    </w:p>
                    <w:p>
                      <w:pPr>
                        <w:rPr>
                          <w:sz w:val="22"/>
                          <w:szCs w:val="24"/>
                        </w:rPr>
                      </w:pP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报名表填写好后将电子版发到邮箱：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ascii="黑体" w:hAnsi="黑体" w:eastAsia="黑体"/>
          <w:b/>
          <w:bCs/>
          <w:sz w:val="10"/>
          <w:szCs w:val="10"/>
        </w:rPr>
      </w:pPr>
    </w:p>
    <w:p>
      <w:pPr>
        <w:jc w:val="center"/>
        <w:rPr>
          <w:rFonts w:ascii="黑体" w:hAnsi="黑体" w:eastAsia="黑体"/>
          <w:b/>
          <w:bCs/>
          <w:sz w:val="10"/>
          <w:szCs w:val="10"/>
        </w:rPr>
      </w:pPr>
      <w:r>
        <w:rPr>
          <w:rFonts w:hint="eastAsia" w:ascii="黑体" w:hAnsi="黑体" w:eastAsia="黑体"/>
          <w:b/>
          <w:bCs/>
          <w:sz w:val="10"/>
          <w:szCs w:val="1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5269230</wp:posOffset>
            </wp:positionH>
            <wp:positionV relativeFrom="paragraph">
              <wp:posOffset>47625</wp:posOffset>
            </wp:positionV>
            <wp:extent cx="1495425" cy="1426210"/>
            <wp:effectExtent l="0" t="0" r="3175" b="8890"/>
            <wp:wrapSquare wrapText="bothSides"/>
            <wp:docPr id="4" name="图片 4" descr="1d056a905ba09e3a26c5e6830272d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d056a905ba09e3a26c5e6830272d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黑体" w:hAnsi="黑体" w:eastAsia="黑体"/>
          <w:b/>
          <w:bCs/>
          <w:sz w:val="10"/>
          <w:szCs w:val="10"/>
        </w:rPr>
      </w:pPr>
    </w:p>
    <w:p>
      <w:pPr>
        <w:jc w:val="center"/>
        <w:rPr>
          <w:rFonts w:hint="eastAsia" w:ascii="黑体" w:hAnsi="黑体" w:eastAsia="黑体"/>
          <w:b/>
          <w:bCs/>
          <w:sz w:val="10"/>
          <w:szCs w:val="10"/>
          <w:lang w:eastAsia="zh-CN"/>
        </w:rPr>
      </w:pPr>
    </w:p>
    <w:p>
      <w:pPr>
        <w:spacing w:after="312" w:afterLines="100"/>
        <w:rPr>
          <w:rFonts w:ascii="黑体" w:hAnsi="黑体" w:eastAsia="黑体"/>
          <w:b/>
          <w:bCs/>
          <w:sz w:val="10"/>
          <w:szCs w:val="1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1ODRlYWUwYzBhMTU5NjJlMDc2N2MzMDdkNDBmODcifQ=="/>
    <w:docVar w:name="KSO_WPS_MARK_KEY" w:val="8261b218-e7ff-43ac-a4f1-023f24cf3de9"/>
  </w:docVars>
  <w:rsids>
    <w:rsidRoot w:val="00000000"/>
    <w:rsid w:val="0BE0280D"/>
    <w:rsid w:val="4EF432FB"/>
    <w:rsid w:val="568F5380"/>
    <w:rsid w:val="6C043E7A"/>
    <w:rsid w:val="7490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55E8EE-5BF9-4A18-B313-BE8B7434E7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Paragraphs>79</Paragraphs>
  <TotalTime>16</TotalTime>
  <ScaleCrop>false</ScaleCrop>
  <LinksUpToDate>false</LinksUpToDate>
  <CharactersWithSpaces>119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2020-09-16T14:38:00Z</dcterms:created>
  <dc:creator>ChenXi Xu</dc:creator>
  <cp:lastModifiedBy>柒</cp:lastModifiedBy>
  <dcterms:modified xsi:type="dcterms:W3CDTF">2024-09-07T14:27:54Z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C2E07FAE83214CC9AA7B9F6D8541F447</vt:lpwstr>
  </property>
  <property fmtid="{D5CDD505-2E9C-101B-9397-08002B2CF9AE}" pid="3" name="KSOProductBuildVer">
    <vt:lpwstr>2052-11.1.0.12165</vt:lpwstr>
  </property>
</Properties>
</file>